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57928065" w:displacedByCustomXml="next"/>
    <w:sdt>
      <w:sdtPr>
        <w:rPr>
          <w:rFonts w:ascii="Calibri" w:eastAsiaTheme="minorHAnsi" w:hAnsi="Calibri" w:cs="Calibri"/>
          <w:color w:val="auto"/>
          <w:spacing w:val="0"/>
        </w:rPr>
        <w:id w:val="-959491317"/>
        <w:docPartObj>
          <w:docPartGallery w:val="Cover Pages"/>
          <w:docPartUnique/>
        </w:docPartObj>
      </w:sdtPr>
      <w:sdtContent>
        <w:p w14:paraId="4974145D" w14:textId="66C3765B" w:rsidR="00D000E1" w:rsidRPr="00DD2D90" w:rsidRDefault="00D000E1" w:rsidP="00D000E1">
          <w:pPr>
            <w:pStyle w:val="Subtitle"/>
            <w:rPr>
              <w:rFonts w:ascii="Arial Black" w:hAnsi="Arial Black" w:cstheme="minorBidi"/>
              <w:color w:val="000000" w:themeColor="text1"/>
            </w:rPr>
          </w:pPr>
        </w:p>
        <w:p w14:paraId="053E17D1" w14:textId="77777777" w:rsidR="00D000E1" w:rsidRPr="00DD2D90" w:rsidRDefault="00D000E1" w:rsidP="00D000E1">
          <w:r w:rsidRPr="00DD2D90">
            <w:rPr>
              <w:noProof/>
            </w:rPr>
            <mc:AlternateContent>
              <mc:Choice Requires="wps">
                <w:drawing>
                  <wp:anchor distT="0" distB="0" distL="114300" distR="114300" simplePos="0" relativeHeight="251662336" behindDoc="0" locked="0" layoutInCell="1" allowOverlap="1" wp14:anchorId="68EB3881" wp14:editId="34C42EC8">
                    <wp:simplePos x="0" y="0"/>
                    <wp:positionH relativeFrom="page">
                      <wp:posOffset>5376672</wp:posOffset>
                    </wp:positionH>
                    <wp:positionV relativeFrom="page">
                      <wp:posOffset>268224</wp:posOffset>
                    </wp:positionV>
                    <wp:extent cx="2183384" cy="9591458"/>
                    <wp:effectExtent l="0" t="0" r="7620" b="0"/>
                    <wp:wrapNone/>
                    <wp:docPr id="47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3384" cy="9591458"/>
                            </a:xfrm>
                            <a:prstGeom prst="rect">
                              <a:avLst/>
                            </a:prstGeom>
                            <a:gradFill>
                              <a:gsLst>
                                <a:gs pos="58000">
                                  <a:schemeClr val="bg1"/>
                                </a:gs>
                                <a:gs pos="32000">
                                  <a:srgbClr val="8C0003">
                                    <a:alpha val="86000"/>
                                  </a:srgbClr>
                                </a:gs>
                                <a:gs pos="0">
                                  <a:srgbClr val="8C0003">
                                    <a:lumMod val="88000"/>
                                    <a:lumOff val="1200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F48C7" w14:textId="73A05E6B" w:rsidR="00D000E1" w:rsidRDefault="00D000E1" w:rsidP="00D000E1">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EB3881" id="Rectangle 268" o:spid="_x0000_s1026" style="position:absolute;margin-left:423.35pt;margin-top:21.1pt;width:171.9pt;height:755.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" fillcolor="#b80004" stroked="f" strokeweight="1pt">
                    <v:fill color2="white [3212]" colors="0 #b80004;20972f #8c0003;38011f white" focus="100%" type="gradient"/>
                    <v:textbox inset="14.4pt,,14.4pt">
                      <w:txbxContent>
                        <w:p w14:paraId="685F48C7" w14:textId="73A05E6B" w:rsidR="00D000E1" w:rsidRDefault="00D000E1" w:rsidP="00D000E1">
                          <w:pPr>
                            <w:pStyle w:val="Subtitle"/>
                            <w:rPr>
                              <w:rFonts w:cstheme="minorBidi"/>
                              <w:color w:val="FFFFFF" w:themeColor="background1"/>
                            </w:rPr>
                          </w:pPr>
                        </w:p>
                      </w:txbxContent>
                    </v:textbox>
                    <w10:wrap anchorx="page" anchory="page"/>
                  </v:rect>
                </w:pict>
              </mc:Fallback>
            </mc:AlternateContent>
          </w:r>
          <w:r w:rsidRPr="00DD2D90">
            <w:rPr>
              <w:rFonts w:eastAsiaTheme="majorEastAsia" w:cstheme="majorBidi"/>
              <w:b/>
              <w:noProof/>
            </w:rPr>
            <mc:AlternateContent>
              <mc:Choice Requires="wps">
                <w:drawing>
                  <wp:anchor distT="45720" distB="45720" distL="114300" distR="114300" simplePos="0" relativeHeight="251660288" behindDoc="0" locked="0" layoutInCell="1" allowOverlap="1" wp14:anchorId="111A71E1" wp14:editId="3E8F8913">
                    <wp:simplePos x="0" y="0"/>
                    <wp:positionH relativeFrom="page">
                      <wp:posOffset>295275</wp:posOffset>
                    </wp:positionH>
                    <wp:positionV relativeFrom="paragraph">
                      <wp:posOffset>-314177</wp:posOffset>
                    </wp:positionV>
                    <wp:extent cx="48177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77F67B" w14:textId="105F2A66" w:rsidR="00D000E1" w:rsidRPr="000A55F1" w:rsidRDefault="00981B35" w:rsidP="00D000E1">
                                <w:pPr>
                                  <w:pStyle w:val="Title"/>
                                  <w:jc w:val="right"/>
                                  <w:rPr>
                                    <w:rFonts w:ascii="Arial Black" w:hAnsi="Arial Black"/>
                                    <w:caps/>
                                    <w:color w:val="auto"/>
                                    <w:sz w:val="80"/>
                                    <w:szCs w:val="80"/>
                                  </w:rPr>
                                </w:pPr>
                                <w:r>
                                  <w:rPr>
                                    <w:rFonts w:ascii="Arial Black" w:hAnsi="Arial Black"/>
                                    <w:caps/>
                                    <w:color w:val="auto"/>
                                    <w:sz w:val="80"/>
                                    <w:szCs w:val="80"/>
                                  </w:rPr>
                                  <w:t>Kankee Briefs</w:t>
                                </w:r>
                              </w:p>
                              <w:p w14:paraId="08396B30" w14:textId="3CA41ADA" w:rsidR="00D000E1" w:rsidRDefault="009A5536" w:rsidP="00D000E1">
                                <w:pPr>
                                  <w:jc w:val="right"/>
                                </w:pPr>
                                <w:r w:rsidRPr="009A5536">
                                  <w:rPr>
                                    <w:rFonts w:ascii="Arial Black" w:hAnsi="Arial Black"/>
                                    <w:color w:val="000000" w:themeColor="text1"/>
                                    <w:sz w:val="30"/>
                                    <w:szCs w:val="30"/>
                                  </w:rPr>
                                  <w:t>Resolved:  Governments ought to consider healthcare to be a public good rather than a private commodity.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1A71E1" id="_x0000_t202" coordsize="21600,21600" o:spt="202" path="m,l,21600r21600,l21600,xe">
                    <v:stroke joinstyle="miter"/>
                    <v:path gradientshapeok="t" o:connecttype="rect"/>
                  </v:shapetype>
                  <v:shape id="Text Box 2" o:spid="_x0000_s1027" type="#_x0000_t202" style="position:absolute;margin-left:23.25pt;margin-top:-24.75pt;width:379.35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" filled="f" stroked="f">
                    <v:textbox style="mso-fit-shape-to-text:t">
                      <w:txbxContent>
                        <w:p w14:paraId="2A77F67B" w14:textId="105F2A66" w:rsidR="00D000E1" w:rsidRPr="000A55F1" w:rsidRDefault="00981B35" w:rsidP="00D000E1">
                          <w:pPr>
                            <w:pStyle w:val="Title"/>
                            <w:jc w:val="right"/>
                            <w:rPr>
                              <w:rFonts w:ascii="Arial Black" w:hAnsi="Arial Black"/>
                              <w:caps/>
                              <w:color w:val="auto"/>
                              <w:sz w:val="80"/>
                              <w:szCs w:val="80"/>
                            </w:rPr>
                          </w:pPr>
                          <w:r>
                            <w:rPr>
                              <w:rFonts w:ascii="Arial Black" w:hAnsi="Arial Black"/>
                              <w:caps/>
                              <w:color w:val="auto"/>
                              <w:sz w:val="80"/>
                              <w:szCs w:val="80"/>
                            </w:rPr>
                            <w:t>Kankee Briefs</w:t>
                          </w:r>
                        </w:p>
                        <w:p w14:paraId="08396B30" w14:textId="3CA41ADA" w:rsidR="00D000E1" w:rsidRDefault="009A5536" w:rsidP="00D000E1">
                          <w:pPr>
                            <w:jc w:val="right"/>
                          </w:pPr>
                          <w:r w:rsidRPr="009A5536">
                            <w:rPr>
                              <w:rFonts w:ascii="Arial Black" w:hAnsi="Arial Black"/>
                              <w:color w:val="000000" w:themeColor="text1"/>
                              <w:sz w:val="30"/>
                              <w:szCs w:val="30"/>
                            </w:rPr>
                            <w:t>Resolved:  Governments ought to consider healthcare to be a public good rather than a private commodity.</w:t>
                          </w:r>
                        </w:p>
                      </w:txbxContent>
                    </v:textbox>
                    <w10:wrap type="square" anchorx="page"/>
                  </v:shape>
                </w:pict>
              </mc:Fallback>
            </mc:AlternateContent>
          </w:r>
          <w:r w:rsidRPr="00DD2D90">
            <w:rPr>
              <w:noProof/>
            </w:rPr>
            <mc:AlternateContent>
              <mc:Choice Requires="wps">
                <w:drawing>
                  <wp:anchor distT="0" distB="0" distL="114300" distR="114300" simplePos="0" relativeHeight="251659264" behindDoc="0" locked="0" layoutInCell="1" allowOverlap="1" wp14:anchorId="238A6A8E" wp14:editId="10269C76">
                    <wp:simplePos x="0" y="0"/>
                    <wp:positionH relativeFrom="page">
                      <wp:posOffset>196835</wp:posOffset>
                    </wp:positionH>
                    <wp:positionV relativeFrom="page">
                      <wp:posOffset>263968</wp:posOffset>
                    </wp:positionV>
                    <wp:extent cx="5043170" cy="5573640"/>
                    <wp:effectExtent l="0" t="0" r="5080" b="8255"/>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3170" cy="5573640"/>
                            </a:xfrm>
                            <a:prstGeom prst="rect">
                              <a:avLst/>
                            </a:prstGeom>
                            <a:gradFill flip="none" rotWithShape="1">
                              <a:gsLst>
                                <a:gs pos="100000">
                                  <a:schemeClr val="bg1"/>
                                </a:gs>
                                <a:gs pos="55000">
                                  <a:srgbClr val="FF6B2B">
                                    <a:alpha val="92000"/>
                                  </a:srgbClr>
                                </a:gs>
                              </a:gsLst>
                              <a:lin ang="5400000" scaled="1"/>
                              <a:tileRect/>
                            </a:gradFill>
                            <a:ln>
                              <a:noFill/>
                            </a:ln>
                          </wps:spPr>
                          <wps:txbx>
                            <w:txbxContent>
                              <w:p w14:paraId="1DD1D872" w14:textId="77777777" w:rsidR="00D000E1" w:rsidRDefault="00D000E1" w:rsidP="00D000E1">
                                <w:pPr>
                                  <w:spacing w:before="240"/>
                                  <w:rPr>
                                    <w:rFonts w:ascii="Arial Black" w:hAnsi="Arial Black"/>
                                    <w:color w:val="FFFFFF" w:themeColor="background1"/>
                                  </w:rPr>
                                </w:pPr>
                              </w:p>
                              <w:p w14:paraId="1669563F" w14:textId="77777777" w:rsidR="00D000E1" w:rsidRDefault="00D000E1" w:rsidP="00D000E1">
                                <w:pPr>
                                  <w:spacing w:before="240"/>
                                  <w:rPr>
                                    <w:rFonts w:ascii="Arial Black" w:hAnsi="Arial Black"/>
                                    <w:color w:val="FFFFFF" w:themeColor="background1"/>
                                  </w:rPr>
                                </w:pPr>
                                <w:r>
                                  <w:rPr>
                                    <w:rFonts w:ascii="Arial Black" w:hAnsi="Arial Black"/>
                                    <w:color w:val="FFFFFF" w:themeColor="background1"/>
                                  </w:rPr>
                                  <w:t xml:space="preserve">        </w:t>
                                </w:r>
                              </w:p>
                              <w:p w14:paraId="621E77A4" w14:textId="77777777" w:rsidR="00D000E1" w:rsidRDefault="00D000E1" w:rsidP="00D000E1">
                                <w:pPr>
                                  <w:spacing w:before="240"/>
                                  <w:ind w:left="1008"/>
                                  <w:jc w:val="right"/>
                                  <w:rPr>
                                    <w:rFonts w:ascii="Arial Black" w:hAnsi="Arial Black"/>
                                    <w:color w:val="FFFFFF" w:themeColor="background1"/>
                                  </w:rPr>
                                </w:pPr>
                              </w:p>
                              <w:p w14:paraId="45E0B6BA" w14:textId="77777777" w:rsidR="00D000E1" w:rsidRDefault="00D000E1" w:rsidP="00D000E1">
                                <w:pPr>
                                  <w:spacing w:before="240"/>
                                  <w:ind w:left="1008"/>
                                  <w:jc w:val="right"/>
                                  <w:rPr>
                                    <w:rFonts w:ascii="Arial Black" w:hAnsi="Arial Black"/>
                                    <w:color w:val="FFFFFF" w:themeColor="background1"/>
                                  </w:rPr>
                                </w:pPr>
                              </w:p>
                              <w:p w14:paraId="58CEE9D7" w14:textId="77777777" w:rsidR="00D000E1" w:rsidRDefault="00D000E1" w:rsidP="00D000E1">
                                <w:pPr>
                                  <w:spacing w:before="240"/>
                                  <w:ind w:left="1008"/>
                                  <w:jc w:val="right"/>
                                  <w:rPr>
                                    <w:rFonts w:ascii="Arial Black" w:hAnsi="Arial Black"/>
                                    <w:color w:val="FFFFFF" w:themeColor="background1"/>
                                  </w:rPr>
                                </w:pPr>
                              </w:p>
                              <w:p w14:paraId="14EDC901" w14:textId="77777777" w:rsidR="00D000E1" w:rsidRDefault="00D000E1" w:rsidP="00D000E1">
                                <w:pPr>
                                  <w:spacing w:before="240"/>
                                  <w:ind w:left="1008"/>
                                  <w:jc w:val="right"/>
                                  <w:rPr>
                                    <w:rFonts w:ascii="Arial Black" w:hAnsi="Arial Black"/>
                                    <w:color w:val="FFFFFF" w:themeColor="background1"/>
                                  </w:rPr>
                                </w:pPr>
                              </w:p>
                              <w:p w14:paraId="0144F46C" w14:textId="77777777" w:rsidR="00D000E1" w:rsidRPr="0007450B" w:rsidRDefault="00D000E1" w:rsidP="00D000E1">
                                <w:pPr>
                                  <w:spacing w:before="240"/>
                                  <w:ind w:left="1008"/>
                                  <w:jc w:val="right"/>
                                  <w:rPr>
                                    <w:rFonts w:ascii="Arial Black" w:hAnsi="Arial Black"/>
                                    <w:color w:val="FFFFFF" w:themeColor="background1"/>
                                    <w14:textFill>
                                      <w14:gradFill>
                                        <w14:gsLst>
                                          <w14:gs w14:pos="84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D618A88" w14:textId="77777777" w:rsidR="00D000E1" w:rsidRDefault="00D000E1" w:rsidP="00D000E1">
                                <w:pPr>
                                  <w:spacing w:before="240"/>
                                  <w:ind w:left="1008"/>
                                  <w:jc w:val="right"/>
                                  <w:rPr>
                                    <w:rFonts w:ascii="Arial Black" w:hAnsi="Arial Black"/>
                                    <w:color w:val="FFFFFF" w:themeColor="background1"/>
                                  </w:rPr>
                                </w:pPr>
                              </w:p>
                              <w:p w14:paraId="320C5F32" w14:textId="77777777" w:rsidR="00D000E1" w:rsidRDefault="00D000E1" w:rsidP="00D000E1">
                                <w:pPr>
                                  <w:spacing w:before="240"/>
                                  <w:ind w:left="1008"/>
                                  <w:jc w:val="right"/>
                                  <w:rPr>
                                    <w:rFonts w:ascii="Arial Black" w:hAnsi="Arial Black"/>
                                    <w:color w:val="FFFFFF" w:themeColor="background1"/>
                                  </w:rPr>
                                </w:pPr>
                              </w:p>
                              <w:p w14:paraId="1FACD3AA" w14:textId="77777777" w:rsidR="00D000E1" w:rsidRPr="0007450B" w:rsidRDefault="00D000E1" w:rsidP="00D000E1">
                                <w:pPr>
                                  <w:spacing w:before="240"/>
                                  <w:ind w:left="1008"/>
                                  <w:jc w:val="right"/>
                                  <w:rPr>
                                    <w:rFonts w:ascii="Arial Black" w:hAnsi="Arial Black"/>
                                    <w:color w:val="FFFFFF" w:themeColor="background1"/>
                                    <w14:textFill>
                                      <w14:gradFill>
                                        <w14:gsLst>
                                          <w14:gs w14:pos="73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440D3B6" w14:textId="77777777" w:rsidR="00D000E1" w:rsidRDefault="00D000E1" w:rsidP="00D000E1">
                                <w:pPr>
                                  <w:spacing w:before="240"/>
                                  <w:ind w:left="1008"/>
                                  <w:jc w:val="right"/>
                                  <w:rPr>
                                    <w:rFonts w:ascii="Arial Black" w:hAnsi="Arial Black"/>
                                    <w:color w:val="FFFFFF" w:themeColor="background1"/>
                                  </w:rPr>
                                </w:pPr>
                              </w:p>
                              <w:p w14:paraId="0606B461" w14:textId="77777777" w:rsidR="00D000E1" w:rsidRDefault="00D000E1" w:rsidP="00D000E1">
                                <w:pPr>
                                  <w:spacing w:before="240"/>
                                  <w:ind w:left="1008"/>
                                  <w:jc w:val="right"/>
                                  <w:rPr>
                                    <w:rFonts w:ascii="Arial Black" w:hAnsi="Arial Black"/>
                                    <w:color w:val="FFFFFF" w:themeColor="background1"/>
                                  </w:rPr>
                                </w:pPr>
                              </w:p>
                              <w:p w14:paraId="4A4296C0" w14:textId="77777777" w:rsidR="00D000E1" w:rsidRDefault="00D000E1" w:rsidP="00D000E1">
                                <w:pPr>
                                  <w:spacing w:before="240"/>
                                  <w:ind w:left="1008"/>
                                  <w:jc w:val="right"/>
                                  <w:rPr>
                                    <w:rFonts w:ascii="Arial Black" w:hAnsi="Arial Black"/>
                                    <w:color w:val="FFFFFF" w:themeColor="background1"/>
                                  </w:rPr>
                                </w:pPr>
                              </w:p>
                              <w:p w14:paraId="779E0F59" w14:textId="77777777" w:rsidR="00D000E1" w:rsidRDefault="00D000E1" w:rsidP="00D000E1">
                                <w:pPr>
                                  <w:spacing w:before="240"/>
                                  <w:ind w:left="1008"/>
                                  <w:jc w:val="right"/>
                                  <w:rPr>
                                    <w:rFonts w:ascii="Arial Black" w:hAnsi="Arial Black"/>
                                    <w:color w:val="FFFFFF" w:themeColor="background1"/>
                                  </w:rPr>
                                </w:pPr>
                              </w:p>
                              <w:p w14:paraId="05BFD41A" w14:textId="77777777" w:rsidR="00D000E1" w:rsidRDefault="00D000E1" w:rsidP="00D000E1">
                                <w:pPr>
                                  <w:spacing w:before="240"/>
                                  <w:ind w:left="1008"/>
                                  <w:jc w:val="right"/>
                                  <w:rPr>
                                    <w:rFonts w:ascii="Arial Black" w:hAnsi="Arial Black"/>
                                    <w:color w:val="FFFFFF" w:themeColor="background1"/>
                                  </w:rPr>
                                </w:pPr>
                              </w:p>
                              <w:p w14:paraId="2B38AC35" w14:textId="77777777" w:rsidR="00D000E1" w:rsidRDefault="00D000E1" w:rsidP="00D000E1">
                                <w:pPr>
                                  <w:spacing w:before="240"/>
                                  <w:ind w:left="1008"/>
                                  <w:jc w:val="right"/>
                                  <w:rPr>
                                    <w:rFonts w:ascii="Arial Black" w:hAnsi="Arial Black"/>
                                    <w:color w:val="FFFFFF" w:themeColor="background1"/>
                                  </w:rPr>
                                </w:pPr>
                              </w:p>
                              <w:p w14:paraId="38334106" w14:textId="77777777" w:rsidR="00D000E1" w:rsidRDefault="00D000E1" w:rsidP="00D000E1">
                                <w:pPr>
                                  <w:spacing w:before="240"/>
                                  <w:ind w:left="1008"/>
                                  <w:jc w:val="right"/>
                                  <w:rPr>
                                    <w:rFonts w:ascii="Arial Black" w:hAnsi="Arial Black"/>
                                    <w:color w:val="FFFFFF" w:themeColor="background1"/>
                                  </w:rPr>
                                </w:pPr>
                              </w:p>
                              <w:p w14:paraId="21525FDE" w14:textId="77777777" w:rsidR="00D000E1" w:rsidRDefault="00D000E1" w:rsidP="00D000E1">
                                <w:pPr>
                                  <w:spacing w:before="240"/>
                                  <w:ind w:left="1008"/>
                                  <w:jc w:val="right"/>
                                  <w:rPr>
                                    <w:rFonts w:ascii="Arial Black" w:hAnsi="Arial Black"/>
                                    <w:color w:val="FFFFFF" w:themeColor="background1"/>
                                  </w:rPr>
                                </w:pPr>
                              </w:p>
                              <w:p w14:paraId="70349592" w14:textId="77777777" w:rsidR="00D000E1" w:rsidRDefault="00D000E1" w:rsidP="00D000E1">
                                <w:pPr>
                                  <w:spacing w:before="240"/>
                                  <w:ind w:left="1008"/>
                                  <w:jc w:val="right"/>
                                  <w:rPr>
                                    <w:rFonts w:ascii="Arial Black" w:hAnsi="Arial Black"/>
                                    <w:color w:val="FFFFFF" w:themeColor="background1"/>
                                  </w:rPr>
                                </w:pPr>
                              </w:p>
                              <w:p w14:paraId="2C5AFEA5" w14:textId="77777777" w:rsidR="00D000E1" w:rsidRDefault="00D000E1" w:rsidP="00D000E1">
                                <w:pPr>
                                  <w:spacing w:before="240"/>
                                  <w:ind w:left="1008"/>
                                  <w:jc w:val="right"/>
                                  <w:rPr>
                                    <w:rFonts w:ascii="Arial Black" w:hAnsi="Arial Black"/>
                                    <w:color w:val="FFFFFF" w:themeColor="background1"/>
                                  </w:rPr>
                                </w:pPr>
                              </w:p>
                              <w:p w14:paraId="39E7DC7B" w14:textId="77777777" w:rsidR="00D000E1" w:rsidRDefault="00D000E1" w:rsidP="00D000E1">
                                <w:pPr>
                                  <w:spacing w:before="240"/>
                                  <w:ind w:left="1008"/>
                                  <w:jc w:val="right"/>
                                  <w:rPr>
                                    <w:rFonts w:ascii="Arial Black" w:hAnsi="Arial Black"/>
                                    <w:color w:val="FFFFFF" w:themeColor="background1"/>
                                  </w:rPr>
                                </w:pPr>
                              </w:p>
                              <w:p w14:paraId="0F021AAD" w14:textId="77777777" w:rsidR="00D000E1" w:rsidRPr="000A55F1" w:rsidRDefault="00D000E1" w:rsidP="00D000E1">
                                <w:pPr>
                                  <w:spacing w:before="240"/>
                                  <w:ind w:left="1008"/>
                                  <w:jc w:val="right"/>
                                  <w:rPr>
                                    <w:rFonts w:ascii="Arial Black" w:hAnsi="Arial Black"/>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8A6A8E" id="Rectangle 16" o:spid="_x0000_s1028" style="position:absolute;margin-left:15.5pt;margin-top:20.8pt;width:397.1pt;height:43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" fillcolor="#ff6b2b" stroked="f">
                    <v:fill color2="white [3212]" o:opacity2="60293f" rotate="t" colors="0 #ff6b2b;36045f #ff6b2b" focus="100%" type="gradient"/>
                    <v:textbox inset="21.6pt,1in,21.6pt">
                      <w:txbxContent>
                        <w:p w14:paraId="1DD1D872" w14:textId="77777777" w:rsidR="00D000E1" w:rsidRDefault="00D000E1" w:rsidP="00D000E1">
                          <w:pPr>
                            <w:spacing w:before="240"/>
                            <w:rPr>
                              <w:rFonts w:ascii="Arial Black" w:hAnsi="Arial Black"/>
                              <w:color w:val="FFFFFF" w:themeColor="background1"/>
                            </w:rPr>
                          </w:pPr>
                        </w:p>
                        <w:p w14:paraId="1669563F" w14:textId="77777777" w:rsidR="00D000E1" w:rsidRDefault="00D000E1" w:rsidP="00D000E1">
                          <w:pPr>
                            <w:spacing w:before="240"/>
                            <w:rPr>
                              <w:rFonts w:ascii="Arial Black" w:hAnsi="Arial Black"/>
                              <w:color w:val="FFFFFF" w:themeColor="background1"/>
                            </w:rPr>
                          </w:pPr>
                          <w:r>
                            <w:rPr>
                              <w:rFonts w:ascii="Arial Black" w:hAnsi="Arial Black"/>
                              <w:color w:val="FFFFFF" w:themeColor="background1"/>
                            </w:rPr>
                            <w:t xml:space="preserve">        </w:t>
                          </w:r>
                        </w:p>
                        <w:p w14:paraId="621E77A4" w14:textId="77777777" w:rsidR="00D000E1" w:rsidRDefault="00D000E1" w:rsidP="00D000E1">
                          <w:pPr>
                            <w:spacing w:before="240"/>
                            <w:ind w:left="1008"/>
                            <w:jc w:val="right"/>
                            <w:rPr>
                              <w:rFonts w:ascii="Arial Black" w:hAnsi="Arial Black"/>
                              <w:color w:val="FFFFFF" w:themeColor="background1"/>
                            </w:rPr>
                          </w:pPr>
                        </w:p>
                        <w:p w14:paraId="45E0B6BA" w14:textId="77777777" w:rsidR="00D000E1" w:rsidRDefault="00D000E1" w:rsidP="00D000E1">
                          <w:pPr>
                            <w:spacing w:before="240"/>
                            <w:ind w:left="1008"/>
                            <w:jc w:val="right"/>
                            <w:rPr>
                              <w:rFonts w:ascii="Arial Black" w:hAnsi="Arial Black"/>
                              <w:color w:val="FFFFFF" w:themeColor="background1"/>
                            </w:rPr>
                          </w:pPr>
                        </w:p>
                        <w:p w14:paraId="58CEE9D7" w14:textId="77777777" w:rsidR="00D000E1" w:rsidRDefault="00D000E1" w:rsidP="00D000E1">
                          <w:pPr>
                            <w:spacing w:before="240"/>
                            <w:ind w:left="1008"/>
                            <w:jc w:val="right"/>
                            <w:rPr>
                              <w:rFonts w:ascii="Arial Black" w:hAnsi="Arial Black"/>
                              <w:color w:val="FFFFFF" w:themeColor="background1"/>
                            </w:rPr>
                          </w:pPr>
                        </w:p>
                        <w:p w14:paraId="14EDC901" w14:textId="77777777" w:rsidR="00D000E1" w:rsidRDefault="00D000E1" w:rsidP="00D000E1">
                          <w:pPr>
                            <w:spacing w:before="240"/>
                            <w:ind w:left="1008"/>
                            <w:jc w:val="right"/>
                            <w:rPr>
                              <w:rFonts w:ascii="Arial Black" w:hAnsi="Arial Black"/>
                              <w:color w:val="FFFFFF" w:themeColor="background1"/>
                            </w:rPr>
                          </w:pPr>
                        </w:p>
                        <w:p w14:paraId="0144F46C" w14:textId="77777777" w:rsidR="00D000E1" w:rsidRPr="0007450B" w:rsidRDefault="00D000E1" w:rsidP="00D000E1">
                          <w:pPr>
                            <w:spacing w:before="240"/>
                            <w:ind w:left="1008"/>
                            <w:jc w:val="right"/>
                            <w:rPr>
                              <w:rFonts w:ascii="Arial Black" w:hAnsi="Arial Black"/>
                              <w:color w:val="FFFFFF" w:themeColor="background1"/>
                              <w14:textFill>
                                <w14:gradFill>
                                  <w14:gsLst>
                                    <w14:gs w14:pos="84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D618A88" w14:textId="77777777" w:rsidR="00D000E1" w:rsidRDefault="00D000E1" w:rsidP="00D000E1">
                          <w:pPr>
                            <w:spacing w:before="240"/>
                            <w:ind w:left="1008"/>
                            <w:jc w:val="right"/>
                            <w:rPr>
                              <w:rFonts w:ascii="Arial Black" w:hAnsi="Arial Black"/>
                              <w:color w:val="FFFFFF" w:themeColor="background1"/>
                            </w:rPr>
                          </w:pPr>
                        </w:p>
                        <w:p w14:paraId="320C5F32" w14:textId="77777777" w:rsidR="00D000E1" w:rsidRDefault="00D000E1" w:rsidP="00D000E1">
                          <w:pPr>
                            <w:spacing w:before="240"/>
                            <w:ind w:left="1008"/>
                            <w:jc w:val="right"/>
                            <w:rPr>
                              <w:rFonts w:ascii="Arial Black" w:hAnsi="Arial Black"/>
                              <w:color w:val="FFFFFF" w:themeColor="background1"/>
                            </w:rPr>
                          </w:pPr>
                        </w:p>
                        <w:p w14:paraId="1FACD3AA" w14:textId="77777777" w:rsidR="00D000E1" w:rsidRPr="0007450B" w:rsidRDefault="00D000E1" w:rsidP="00D000E1">
                          <w:pPr>
                            <w:spacing w:before="240"/>
                            <w:ind w:left="1008"/>
                            <w:jc w:val="right"/>
                            <w:rPr>
                              <w:rFonts w:ascii="Arial Black" w:hAnsi="Arial Black"/>
                              <w:color w:val="FFFFFF" w:themeColor="background1"/>
                              <w14:textFill>
                                <w14:gradFill>
                                  <w14:gsLst>
                                    <w14:gs w14:pos="73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440D3B6" w14:textId="77777777" w:rsidR="00D000E1" w:rsidRDefault="00D000E1" w:rsidP="00D000E1">
                          <w:pPr>
                            <w:spacing w:before="240"/>
                            <w:ind w:left="1008"/>
                            <w:jc w:val="right"/>
                            <w:rPr>
                              <w:rFonts w:ascii="Arial Black" w:hAnsi="Arial Black"/>
                              <w:color w:val="FFFFFF" w:themeColor="background1"/>
                            </w:rPr>
                          </w:pPr>
                        </w:p>
                        <w:p w14:paraId="0606B461" w14:textId="77777777" w:rsidR="00D000E1" w:rsidRDefault="00D000E1" w:rsidP="00D000E1">
                          <w:pPr>
                            <w:spacing w:before="240"/>
                            <w:ind w:left="1008"/>
                            <w:jc w:val="right"/>
                            <w:rPr>
                              <w:rFonts w:ascii="Arial Black" w:hAnsi="Arial Black"/>
                              <w:color w:val="FFFFFF" w:themeColor="background1"/>
                            </w:rPr>
                          </w:pPr>
                        </w:p>
                        <w:p w14:paraId="4A4296C0" w14:textId="77777777" w:rsidR="00D000E1" w:rsidRDefault="00D000E1" w:rsidP="00D000E1">
                          <w:pPr>
                            <w:spacing w:before="240"/>
                            <w:ind w:left="1008"/>
                            <w:jc w:val="right"/>
                            <w:rPr>
                              <w:rFonts w:ascii="Arial Black" w:hAnsi="Arial Black"/>
                              <w:color w:val="FFFFFF" w:themeColor="background1"/>
                            </w:rPr>
                          </w:pPr>
                        </w:p>
                        <w:p w14:paraId="779E0F59" w14:textId="77777777" w:rsidR="00D000E1" w:rsidRDefault="00D000E1" w:rsidP="00D000E1">
                          <w:pPr>
                            <w:spacing w:before="240"/>
                            <w:ind w:left="1008"/>
                            <w:jc w:val="right"/>
                            <w:rPr>
                              <w:rFonts w:ascii="Arial Black" w:hAnsi="Arial Black"/>
                              <w:color w:val="FFFFFF" w:themeColor="background1"/>
                            </w:rPr>
                          </w:pPr>
                        </w:p>
                        <w:p w14:paraId="05BFD41A" w14:textId="77777777" w:rsidR="00D000E1" w:rsidRDefault="00D000E1" w:rsidP="00D000E1">
                          <w:pPr>
                            <w:spacing w:before="240"/>
                            <w:ind w:left="1008"/>
                            <w:jc w:val="right"/>
                            <w:rPr>
                              <w:rFonts w:ascii="Arial Black" w:hAnsi="Arial Black"/>
                              <w:color w:val="FFFFFF" w:themeColor="background1"/>
                            </w:rPr>
                          </w:pPr>
                        </w:p>
                        <w:p w14:paraId="2B38AC35" w14:textId="77777777" w:rsidR="00D000E1" w:rsidRDefault="00D000E1" w:rsidP="00D000E1">
                          <w:pPr>
                            <w:spacing w:before="240"/>
                            <w:ind w:left="1008"/>
                            <w:jc w:val="right"/>
                            <w:rPr>
                              <w:rFonts w:ascii="Arial Black" w:hAnsi="Arial Black"/>
                              <w:color w:val="FFFFFF" w:themeColor="background1"/>
                            </w:rPr>
                          </w:pPr>
                        </w:p>
                        <w:p w14:paraId="38334106" w14:textId="77777777" w:rsidR="00D000E1" w:rsidRDefault="00D000E1" w:rsidP="00D000E1">
                          <w:pPr>
                            <w:spacing w:before="240"/>
                            <w:ind w:left="1008"/>
                            <w:jc w:val="right"/>
                            <w:rPr>
                              <w:rFonts w:ascii="Arial Black" w:hAnsi="Arial Black"/>
                              <w:color w:val="FFFFFF" w:themeColor="background1"/>
                            </w:rPr>
                          </w:pPr>
                        </w:p>
                        <w:p w14:paraId="21525FDE" w14:textId="77777777" w:rsidR="00D000E1" w:rsidRDefault="00D000E1" w:rsidP="00D000E1">
                          <w:pPr>
                            <w:spacing w:before="240"/>
                            <w:ind w:left="1008"/>
                            <w:jc w:val="right"/>
                            <w:rPr>
                              <w:rFonts w:ascii="Arial Black" w:hAnsi="Arial Black"/>
                              <w:color w:val="FFFFFF" w:themeColor="background1"/>
                            </w:rPr>
                          </w:pPr>
                        </w:p>
                        <w:p w14:paraId="70349592" w14:textId="77777777" w:rsidR="00D000E1" w:rsidRDefault="00D000E1" w:rsidP="00D000E1">
                          <w:pPr>
                            <w:spacing w:before="240"/>
                            <w:ind w:left="1008"/>
                            <w:jc w:val="right"/>
                            <w:rPr>
                              <w:rFonts w:ascii="Arial Black" w:hAnsi="Arial Black"/>
                              <w:color w:val="FFFFFF" w:themeColor="background1"/>
                            </w:rPr>
                          </w:pPr>
                        </w:p>
                        <w:p w14:paraId="2C5AFEA5" w14:textId="77777777" w:rsidR="00D000E1" w:rsidRDefault="00D000E1" w:rsidP="00D000E1">
                          <w:pPr>
                            <w:spacing w:before="240"/>
                            <w:ind w:left="1008"/>
                            <w:jc w:val="right"/>
                            <w:rPr>
                              <w:rFonts w:ascii="Arial Black" w:hAnsi="Arial Black"/>
                              <w:color w:val="FFFFFF" w:themeColor="background1"/>
                            </w:rPr>
                          </w:pPr>
                        </w:p>
                        <w:p w14:paraId="39E7DC7B" w14:textId="77777777" w:rsidR="00D000E1" w:rsidRDefault="00D000E1" w:rsidP="00D000E1">
                          <w:pPr>
                            <w:spacing w:before="240"/>
                            <w:ind w:left="1008"/>
                            <w:jc w:val="right"/>
                            <w:rPr>
                              <w:rFonts w:ascii="Arial Black" w:hAnsi="Arial Black"/>
                              <w:color w:val="FFFFFF" w:themeColor="background1"/>
                            </w:rPr>
                          </w:pPr>
                        </w:p>
                        <w:p w14:paraId="0F021AAD" w14:textId="77777777" w:rsidR="00D000E1" w:rsidRPr="000A55F1" w:rsidRDefault="00D000E1" w:rsidP="00D000E1">
                          <w:pPr>
                            <w:spacing w:before="240"/>
                            <w:ind w:left="1008"/>
                            <w:jc w:val="right"/>
                            <w:rPr>
                              <w:rFonts w:ascii="Arial Black" w:hAnsi="Arial Black"/>
                              <w:color w:val="FFFFFF" w:themeColor="background1"/>
                            </w:rPr>
                          </w:pPr>
                        </w:p>
                      </w:txbxContent>
                    </v:textbox>
                    <w10:wrap anchorx="page" anchory="page"/>
                  </v:rect>
                </w:pict>
              </mc:Fallback>
            </mc:AlternateContent>
          </w:r>
        </w:p>
        <w:sdt>
          <w:sdtPr>
            <w:id w:val="264508251"/>
            <w:docPartObj>
              <w:docPartGallery w:val="Cover Pages"/>
              <w:docPartUnique/>
            </w:docPartObj>
          </w:sdtPr>
          <w:sdtContent>
            <w:p w14:paraId="3A247336" w14:textId="77777777" w:rsidR="00D000E1" w:rsidRPr="00DD2D90" w:rsidRDefault="00D000E1" w:rsidP="00D000E1">
              <w:r w:rsidRPr="00DD2D90">
                <w:rPr>
                  <w:rFonts w:eastAsiaTheme="majorEastAsia" w:cstheme="majorBidi"/>
                  <w:b/>
                  <w:noProof/>
                </w:rPr>
                <mc:AlternateContent>
                  <mc:Choice Requires="wps">
                    <w:drawing>
                      <wp:anchor distT="0" distB="0" distL="114300" distR="114300" simplePos="0" relativeHeight="251663360" behindDoc="0" locked="0" layoutInCell="1" allowOverlap="1" wp14:anchorId="344D0A4C" wp14:editId="0A90DEA1">
                        <wp:simplePos x="0" y="0"/>
                        <wp:positionH relativeFrom="page">
                          <wp:posOffset>5454650</wp:posOffset>
                        </wp:positionH>
                        <wp:positionV relativeFrom="paragraph">
                          <wp:posOffset>217560</wp:posOffset>
                        </wp:positionV>
                        <wp:extent cx="2032781" cy="1174652"/>
                        <wp:effectExtent l="0" t="0" r="0" b="6985"/>
                        <wp:wrapNone/>
                        <wp:docPr id="2099517861" name="Text Box 9"/>
                        <wp:cNvGraphicFramePr/>
                        <a:graphic xmlns:a="http://schemas.openxmlformats.org/drawingml/2006/main">
                          <a:graphicData uri="http://schemas.microsoft.com/office/word/2010/wordprocessingShape">
                            <wps:wsp>
                              <wps:cNvSpPr txBox="1"/>
                              <wps:spPr>
                                <a:xfrm>
                                  <a:off x="0" y="0"/>
                                  <a:ext cx="2032781" cy="11746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6C03CE" w14:textId="34FB7B44" w:rsidR="00D000E1" w:rsidRDefault="00D000E1" w:rsidP="00D000E1">
                                    <w:r>
                                      <w:rPr>
                                        <w:rFonts w:ascii="Arial Black" w:hAnsi="Arial Black"/>
                                        <w:color w:val="000000" w:themeColor="text1"/>
                                        <w:sz w:val="30"/>
                                        <w:szCs w:val="30"/>
                                      </w:rPr>
                                      <w:t>Lincoln Douglas 20</w:t>
                                    </w:r>
                                    <w:r w:rsidR="00521967">
                                      <w:rPr>
                                        <w:rFonts w:ascii="Arial Black" w:hAnsi="Arial Black"/>
                                        <w:color w:val="000000" w:themeColor="text1"/>
                                        <w:sz w:val="30"/>
                                        <w:szCs w:val="30"/>
                                      </w:rPr>
                                      <w:t xml:space="preserve">26 NCFL Nationals </w:t>
                                    </w:r>
                                    <w:r w:rsidR="00F63522">
                                      <w:rPr>
                                        <w:rFonts w:ascii="Arial Black" w:hAnsi="Arial Black"/>
                                        <w:color w:val="000000" w:themeColor="text1"/>
                                        <w:sz w:val="30"/>
                                        <w:szCs w:val="30"/>
                                      </w:rPr>
                                      <w:t>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0A4C" id="Text Box 9" o:spid="_x0000_s1029" type="#_x0000_t202" style="position:absolute;margin-left:429.5pt;margin-top:17.15pt;width:160.05pt;height:9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" filled="f" stroked="f">
                        <v:textbox>
                          <w:txbxContent>
                            <w:p w14:paraId="706C03CE" w14:textId="34FB7B44" w:rsidR="00D000E1" w:rsidRDefault="00D000E1" w:rsidP="00D000E1">
                              <w:r>
                                <w:rPr>
                                  <w:rFonts w:ascii="Arial Black" w:hAnsi="Arial Black"/>
                                  <w:color w:val="000000" w:themeColor="text1"/>
                                  <w:sz w:val="30"/>
                                  <w:szCs w:val="30"/>
                                </w:rPr>
                                <w:t>Lincoln Douglas 20</w:t>
                              </w:r>
                              <w:r w:rsidR="00521967">
                                <w:rPr>
                                  <w:rFonts w:ascii="Arial Black" w:hAnsi="Arial Black"/>
                                  <w:color w:val="000000" w:themeColor="text1"/>
                                  <w:sz w:val="30"/>
                                  <w:szCs w:val="30"/>
                                </w:rPr>
                                <w:t xml:space="preserve">26 NCFL Nationals </w:t>
                              </w:r>
                              <w:r w:rsidR="00F63522">
                                <w:rPr>
                                  <w:rFonts w:ascii="Arial Black" w:hAnsi="Arial Black"/>
                                  <w:color w:val="000000" w:themeColor="text1"/>
                                  <w:sz w:val="30"/>
                                  <w:szCs w:val="30"/>
                                </w:rPr>
                                <w:t>Brief</w:t>
                              </w:r>
                            </w:p>
                          </w:txbxContent>
                        </v:textbox>
                        <w10:wrap anchorx="page"/>
                      </v:shape>
                    </w:pict>
                  </mc:Fallback>
                </mc:AlternateContent>
              </w:r>
              <w:r w:rsidRPr="00DD2D90">
                <w:rPr>
                  <w:noProof/>
                </w:rPr>
                <w:t xml:space="preserve"> </w:t>
              </w:r>
            </w:p>
            <w:p w14:paraId="2364A0A2" w14:textId="7342BA7B" w:rsidR="00D000E1" w:rsidRPr="00DD2D90" w:rsidRDefault="00D000E1" w:rsidP="00D000E1">
              <w:pPr>
                <w:rPr>
                  <w:rFonts w:eastAsiaTheme="majorEastAsia" w:cstheme="majorBidi"/>
                  <w:b/>
                </w:rPr>
              </w:pPr>
              <w:r w:rsidRPr="00DD2D90">
                <w:rPr>
                  <w:rFonts w:eastAsiaTheme="majorEastAsia" w:cstheme="majorBidi"/>
                  <w:b/>
                  <w:noProof/>
                </w:rPr>
                <mc:AlternateContent>
                  <mc:Choice Requires="wps">
                    <w:drawing>
                      <wp:anchor distT="45720" distB="45720" distL="114300" distR="114300" simplePos="0" relativeHeight="251665408" behindDoc="0" locked="0" layoutInCell="1" allowOverlap="1" wp14:anchorId="72B971DE" wp14:editId="4F52585E">
                        <wp:simplePos x="0" y="0"/>
                        <wp:positionH relativeFrom="column">
                          <wp:posOffset>-617220</wp:posOffset>
                        </wp:positionH>
                        <wp:positionV relativeFrom="paragraph">
                          <wp:posOffset>6557010</wp:posOffset>
                        </wp:positionV>
                        <wp:extent cx="4900295" cy="775970"/>
                        <wp:effectExtent l="0" t="0" r="0" b="5080"/>
                        <wp:wrapSquare wrapText="bothSides"/>
                        <wp:docPr id="310068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295" cy="7759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3FB249" w14:textId="1BCCA3B3" w:rsidR="00D000E1" w:rsidRPr="00E94D3D" w:rsidRDefault="00D000E1" w:rsidP="00D000E1">
                                    <w:pPr>
                                      <w:spacing w:line="240" w:lineRule="auto"/>
                                      <w:rPr>
                                        <w:rFonts w:ascii="Arial Black" w:hAnsi="Arial Black"/>
                                      </w:rPr>
                                    </w:pPr>
                                    <w:r w:rsidRPr="00E94D3D">
                                      <w:rPr>
                                        <w:rFonts w:ascii="Arial Black" w:hAnsi="Arial Black"/>
                                        <w:color w:val="000000" w:themeColor="text1"/>
                                      </w:rPr>
                                      <w:t>Volunteers:</w:t>
                                    </w:r>
                                    <w:r>
                                      <w:rPr>
                                        <w:rFonts w:ascii="Arial Black" w:hAnsi="Arial Black"/>
                                        <w:color w:val="000000" w:themeColor="text1"/>
                                      </w:rPr>
                                      <w:t xml:space="preserve"> </w:t>
                                    </w:r>
                                    <w:r w:rsidRPr="00E94D3D">
                                      <w:rPr>
                                        <w:rFonts w:ascii="Arial Black" w:hAnsi="Arial Black"/>
                                      </w:rPr>
                                      <w:t>Brett Boelkens (Editor)</w:t>
                                    </w:r>
                                    <w:r w:rsidR="004C5C14">
                                      <w:rPr>
                                        <w:rFonts w:ascii="Arial Black" w:hAnsi="Arial Black"/>
                                      </w:rPr>
                                      <w:t xml:space="preserve">, </w:t>
                                    </w:r>
                                    <w:r w:rsidR="00366A5E" w:rsidRPr="00366A5E">
                                      <w:rPr>
                                        <w:rFonts w:ascii="Arial Black" w:hAnsi="Arial Black"/>
                                      </w:rPr>
                                      <w:t>Melissa Khadivi, Kimberly Nguyen, Jeremiah Hawley, Ruy Liao, Jayden Sampat, Vanessa Xu, and Abhiram Vellanki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971DE" id="_x0000_s1030" type="#_x0000_t202" style="position:absolute;margin-left:-48.6pt;margin-top:516.3pt;width:385.85pt;height:61.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" filled="f" stroked="f">
                        <v:textbox>
                          <w:txbxContent>
                            <w:p w14:paraId="083FB249" w14:textId="1BCCA3B3" w:rsidR="00D000E1" w:rsidRPr="00E94D3D" w:rsidRDefault="00D000E1" w:rsidP="00D000E1">
                              <w:pPr>
                                <w:spacing w:line="240" w:lineRule="auto"/>
                                <w:rPr>
                                  <w:rFonts w:ascii="Arial Black" w:hAnsi="Arial Black"/>
                                </w:rPr>
                              </w:pPr>
                              <w:r w:rsidRPr="00E94D3D">
                                <w:rPr>
                                  <w:rFonts w:ascii="Arial Black" w:hAnsi="Arial Black"/>
                                  <w:color w:val="000000" w:themeColor="text1"/>
                                </w:rPr>
                                <w:t>Volunteers:</w:t>
                              </w:r>
                              <w:r>
                                <w:rPr>
                                  <w:rFonts w:ascii="Arial Black" w:hAnsi="Arial Black"/>
                                  <w:color w:val="000000" w:themeColor="text1"/>
                                </w:rPr>
                                <w:t xml:space="preserve"> </w:t>
                              </w:r>
                              <w:r w:rsidRPr="00E94D3D">
                                <w:rPr>
                                  <w:rFonts w:ascii="Arial Black" w:hAnsi="Arial Black"/>
                                </w:rPr>
                                <w:t>Brett Boelkens (Editor)</w:t>
                              </w:r>
                              <w:r w:rsidR="004C5C14">
                                <w:rPr>
                                  <w:rFonts w:ascii="Arial Black" w:hAnsi="Arial Black"/>
                                </w:rPr>
                                <w:t xml:space="preserve">, </w:t>
                              </w:r>
                              <w:r w:rsidR="00366A5E" w:rsidRPr="00366A5E">
                                <w:rPr>
                                  <w:rFonts w:ascii="Arial Black" w:hAnsi="Arial Black"/>
                                </w:rPr>
                                <w:t>Melissa Khadivi, Kimberly Nguyen, Jeremiah Hawley, Ruy Liao, Jayden Sampat, Vanessa Xu, and Abhiram Vellanki</w:t>
                              </w:r>
                            </w:p>
                          </w:txbxContent>
                        </v:textbox>
                        <w10:wrap type="square"/>
                      </v:shape>
                    </w:pict>
                  </mc:Fallback>
                </mc:AlternateContent>
              </w:r>
              <w:r w:rsidRPr="00DD2D90">
                <w:rPr>
                  <w:rFonts w:eastAsiaTheme="majorEastAsia" w:cstheme="majorBidi"/>
                  <w:b/>
                  <w:noProof/>
                </w:rPr>
                <mc:AlternateContent>
                  <mc:Choice Requires="wps">
                    <w:drawing>
                      <wp:anchor distT="45720" distB="45720" distL="114300" distR="114300" simplePos="0" relativeHeight="251661312" behindDoc="0" locked="0" layoutInCell="1" allowOverlap="1" wp14:anchorId="5CE53A47" wp14:editId="2D0CC941">
                        <wp:simplePos x="0" y="0"/>
                        <wp:positionH relativeFrom="page">
                          <wp:posOffset>5050155</wp:posOffset>
                        </wp:positionH>
                        <wp:positionV relativeFrom="paragraph">
                          <wp:posOffset>4328160</wp:posOffset>
                        </wp:positionV>
                        <wp:extent cx="1945640" cy="1404620"/>
                        <wp:effectExtent l="0" t="0" r="0" b="0"/>
                        <wp:wrapSquare wrapText="bothSides"/>
                        <wp:docPr id="1226980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404620"/>
                                </a:xfrm>
                                <a:prstGeom prst="rect">
                                  <a:avLst/>
                                </a:prstGeom>
                                <a:noFill/>
                                <a:ln w="9525">
                                  <a:noFill/>
                                  <a:miter lim="800000"/>
                                  <a:headEnd/>
                                  <a:tailEnd/>
                                </a:ln>
                              </wps:spPr>
                              <wps:txbx>
                                <w:txbxContent>
                                  <w:p w14:paraId="45C68605" w14:textId="77777777" w:rsidR="00D000E1" w:rsidRDefault="00D000E1" w:rsidP="00D000E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53A47" id="_x0000_s1031" type="#_x0000_t202" style="position:absolute;margin-left:397.65pt;margin-top:340.8pt;width:153.2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" filled="f" stroked="f">
                        <v:textbox style="mso-fit-shape-to-text:t">
                          <w:txbxContent>
                            <w:p w14:paraId="45C68605" w14:textId="77777777" w:rsidR="00D000E1" w:rsidRDefault="00D000E1" w:rsidP="00D000E1"/>
                          </w:txbxContent>
                        </v:textbox>
                        <w10:wrap type="square" anchorx="page"/>
                      </v:shape>
                    </w:pict>
                  </mc:Fallback>
                </mc:AlternateContent>
              </w:r>
            </w:p>
          </w:sdtContent>
        </w:sdt>
        <w:p w14:paraId="5A380506" w14:textId="61F8EAEE" w:rsidR="005A5EE8" w:rsidRPr="00DD2D90" w:rsidRDefault="00F63522" w:rsidP="005A5EE8">
          <w:r w:rsidRPr="00DD2D90">
            <w:rPr>
              <w:noProof/>
            </w:rPr>
            <w:drawing>
              <wp:anchor distT="0" distB="0" distL="114300" distR="114300" simplePos="0" relativeHeight="251664384" behindDoc="0" locked="0" layoutInCell="1" allowOverlap="1" wp14:anchorId="2514FEC5" wp14:editId="094FBE7B">
                <wp:simplePos x="0" y="0"/>
                <wp:positionH relativeFrom="margin">
                  <wp:posOffset>-459740</wp:posOffset>
                </wp:positionH>
                <wp:positionV relativeFrom="margin">
                  <wp:posOffset>3217545</wp:posOffset>
                </wp:positionV>
                <wp:extent cx="4762500" cy="4762500"/>
                <wp:effectExtent l="0" t="0" r="0" b="0"/>
                <wp:wrapSquare wrapText="bothSides"/>
                <wp:docPr id="1290259094" name="Picture 12" descr="A colorful triang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59094" name="Picture 12" descr="A colorful triangle with a black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anchor>
            </w:drawing>
          </w:r>
          <w:r w:rsidR="005A5EE8" w:rsidRPr="00DD2D90">
            <w:br w:type="page"/>
          </w:r>
        </w:p>
      </w:sdtContent>
    </w:sdt>
    <w:p w14:paraId="32259657" w14:textId="4FCD15DB" w:rsidR="005A5EE8" w:rsidRPr="00D05211" w:rsidRDefault="005A5EE8" w:rsidP="005A5EE8">
      <w:pPr>
        <w:pStyle w:val="Heading2"/>
        <w:rPr>
          <w:rFonts w:ascii="Arial Black" w:hAnsi="Arial Black"/>
          <w:color w:val="B43E1F"/>
          <w:szCs w:val="44"/>
          <w:u w:val="single"/>
        </w:rPr>
      </w:pPr>
      <w:r w:rsidRPr="00D05211">
        <w:rPr>
          <w:rFonts w:ascii="Arial Black" w:hAnsi="Arial Black"/>
          <w:color w:val="B43E1F"/>
          <w:szCs w:val="44"/>
          <w:u w:val="single"/>
        </w:rPr>
        <w:t xml:space="preserve">Letter From </w:t>
      </w:r>
      <w:proofErr w:type="gramStart"/>
      <w:r w:rsidRPr="00D05211">
        <w:rPr>
          <w:rFonts w:ascii="Arial Black" w:hAnsi="Arial Black"/>
          <w:color w:val="B43E1F"/>
          <w:szCs w:val="44"/>
          <w:u w:val="single"/>
        </w:rPr>
        <w:t>The</w:t>
      </w:r>
      <w:proofErr w:type="gramEnd"/>
      <w:r w:rsidRPr="00D05211">
        <w:rPr>
          <w:rFonts w:ascii="Arial Black" w:hAnsi="Arial Black"/>
          <w:color w:val="B43E1F"/>
          <w:szCs w:val="44"/>
          <w:u w:val="single"/>
        </w:rPr>
        <w:t xml:space="preserve"> Editor</w:t>
      </w:r>
    </w:p>
    <w:p w14:paraId="00314788" w14:textId="77777777" w:rsidR="00E96D2C" w:rsidRPr="00DD2D90" w:rsidRDefault="00E96D2C" w:rsidP="00E96D2C">
      <w:r w:rsidRPr="00DD2D90">
        <w:t>Worthwhile topic research is a hefty task for the experienced debaters and coaches – this is why many debate organizations have consolidated topic research in the form of briefs. However, debate briefs cost hundreds of dollars over the course of a year of topics, which can add up quickly, especially for smaller programs just starting off. Some of the best debaters in the country often spend thousands of dollars on debate briefs and private coaches who have competed and coached debate for decades that will strategize and research for them. This is a stark comparison to a small school, which sometimes will not even have a full-time debate coach. Debate is expensive enough without trying to outcompete the best and brightest minds money can buy.</w:t>
      </w:r>
    </w:p>
    <w:p w14:paraId="7D91E978" w14:textId="77777777" w:rsidR="00E96D2C" w:rsidRPr="00DD2D90" w:rsidRDefault="00E96D2C" w:rsidP="00E96D2C"/>
    <w:p w14:paraId="61B6A238" w14:textId="77777777" w:rsidR="00E96D2C" w:rsidRPr="00DD2D90" w:rsidRDefault="00E96D2C" w:rsidP="00E96D2C">
      <w:r w:rsidRPr="00DD2D90">
        <w:t>Money should never be the reason why someone’s debate career is not successful. Kankee Briefs hopes to eliminate those financial inequities as much as possible by removing the research gap between those who can afford private coaching, and those who can’t. For the past six years, we’ve released debate briefs for every NSDA topic, at no charge to debaters.</w:t>
      </w:r>
    </w:p>
    <w:p w14:paraId="367A2FB6" w14:textId="77777777" w:rsidR="00E96D2C" w:rsidRPr="00DD2D90" w:rsidRDefault="00E96D2C" w:rsidP="00E96D2C"/>
    <w:p w14:paraId="08852C24" w14:textId="77777777" w:rsidR="00E96D2C" w:rsidRPr="00DD2D90" w:rsidRDefault="00E96D2C" w:rsidP="00E96D2C">
      <w:r w:rsidRPr="00DD2D90">
        <w:t>Every two months during the school year, the most recent Kankee Brief can be sent directly to your email inbox if you sign up for our email list by filling out the Google Form linked below with your name and email.</w:t>
      </w:r>
    </w:p>
    <w:p w14:paraId="77FB1E71" w14:textId="77777777" w:rsidR="00E96D2C" w:rsidRPr="00DD2D90" w:rsidRDefault="00E96D2C" w:rsidP="00E96D2C"/>
    <w:p w14:paraId="77CBCC2F" w14:textId="77777777" w:rsidR="00E96D2C" w:rsidRPr="00DD2D90" w:rsidRDefault="00E96D2C" w:rsidP="00E96D2C">
      <w:r w:rsidRPr="00DD2D90">
        <w:t xml:space="preserve">Click on the link </w:t>
      </w:r>
      <w:hyperlink r:id="rId9" w:history="1">
        <w:r w:rsidRPr="00DD2D90">
          <w:rPr>
            <w:rStyle w:val="Hyperlink"/>
          </w:rPr>
          <w:t>here</w:t>
        </w:r>
      </w:hyperlink>
      <w:r w:rsidRPr="00DD2D90">
        <w:t xml:space="preserve"> for a Google Form to access our email list.</w:t>
      </w:r>
    </w:p>
    <w:p w14:paraId="60652015" w14:textId="77777777" w:rsidR="00E96D2C" w:rsidRPr="00DD2D90" w:rsidRDefault="00E96D2C" w:rsidP="00E96D2C"/>
    <w:p w14:paraId="228CACF5" w14:textId="77777777" w:rsidR="00E96D2C" w:rsidRPr="00DD2D90" w:rsidRDefault="00E96D2C" w:rsidP="00E96D2C">
      <w:r w:rsidRPr="00DD2D90">
        <w:t>Kankee Briefs will always remain free for everyone, but we have a small favor to ask. If you found any value in what we do, please support us via Patreon. Your support helps free up our time for higher quality evidence and topic analyses where we otherwise would put hours at the office. Your support is entirely optional, but is still exceptionally appreciated by our volunteers. You can also be recognized by name in every new Kankee Brief release in the list of our supporters.</w:t>
      </w:r>
    </w:p>
    <w:p w14:paraId="09D3F8FE" w14:textId="77777777" w:rsidR="00E96D2C" w:rsidRPr="00DD2D90" w:rsidRDefault="00E96D2C" w:rsidP="00E96D2C"/>
    <w:p w14:paraId="2403CE6A" w14:textId="77777777" w:rsidR="00E96D2C" w:rsidRPr="00DD2D90" w:rsidRDefault="00E96D2C" w:rsidP="00E96D2C">
      <w:r w:rsidRPr="00DD2D90">
        <w:t>Please email me at </w:t>
      </w:r>
      <w:hyperlink r:id="rId10" w:history="1">
        <w:r w:rsidRPr="00DD2D90">
          <w:rPr>
            <w:rStyle w:val="Hyperlink"/>
          </w:rPr>
          <w:t>karkingkankee@gmail.com</w:t>
        </w:r>
      </w:hyperlink>
      <w:r w:rsidRPr="00DD2D90">
        <w:t> if you have any questions, comments, or concerns.</w:t>
      </w:r>
    </w:p>
    <w:p w14:paraId="4B6570FE" w14:textId="418B9AF0" w:rsidR="005A5EE8" w:rsidRPr="00DD2D90" w:rsidRDefault="005A5EE8" w:rsidP="005A5EE8">
      <w:pPr>
        <w:pStyle w:val="Heading2"/>
        <w:rPr>
          <w:rFonts w:ascii="Arial Black" w:hAnsi="Arial Black"/>
          <w:color w:val="B43E1F"/>
          <w:sz w:val="22"/>
          <w:szCs w:val="22"/>
          <w:u w:val="single"/>
        </w:rPr>
      </w:pPr>
      <w:r w:rsidRPr="00DD2D90">
        <w:rPr>
          <w:rFonts w:ascii="Arial Black" w:hAnsi="Arial Black"/>
          <w:color w:val="B43E1F"/>
          <w:sz w:val="22"/>
          <w:szCs w:val="22"/>
          <w:u w:val="single"/>
        </w:rPr>
        <w:t>Supporters</w:t>
      </w:r>
    </w:p>
    <w:p w14:paraId="7A8739AC" w14:textId="6EDE4BCA" w:rsidR="0023094D" w:rsidRDefault="009C4A5A" w:rsidP="009C4A5A">
      <w:pPr>
        <w:pStyle w:val="Heading4"/>
      </w:pPr>
      <w:r>
        <w:t>Scott Brown</w:t>
      </w:r>
    </w:p>
    <w:p w14:paraId="055A5C4F" w14:textId="239D122A" w:rsidR="009C4A5A" w:rsidRDefault="009C4A5A" w:rsidP="009C4A5A">
      <w:pPr>
        <w:pStyle w:val="Heading4"/>
      </w:pPr>
      <w:r>
        <w:t xml:space="preserve">Devyn (Toby) Blaylock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764"/>
          </mc:Choice>
          <mc:Fallback>
            <w:t>❤</w:t>
          </mc:Fallback>
        </mc:AlternateContent>
      </w:r>
    </w:p>
    <w:p w14:paraId="1DB0E25A" w14:textId="60E4B3EF" w:rsidR="009C4A5A" w:rsidRDefault="009C4A5A" w:rsidP="009C4A5A">
      <w:pPr>
        <w:pStyle w:val="Heading4"/>
      </w:pPr>
      <w:r>
        <w:t>Crystal Huddleston</w:t>
      </w:r>
    </w:p>
    <w:p w14:paraId="3211A707" w14:textId="649335C2" w:rsidR="009C4A5A" w:rsidRDefault="009C4A5A" w:rsidP="009C4A5A">
      <w:pPr>
        <w:pStyle w:val="Heading4"/>
      </w:pPr>
      <w:r>
        <w:t>Julie Larnard-Newbury</w:t>
      </w:r>
    </w:p>
    <w:p w14:paraId="665E6813" w14:textId="2B32FB0B" w:rsidR="009C4A5A" w:rsidRDefault="009C4A5A" w:rsidP="009C4A5A">
      <w:pPr>
        <w:pStyle w:val="Heading4"/>
      </w:pPr>
      <w:r>
        <w:t>Jordan Hart</w:t>
      </w:r>
    </w:p>
    <w:p w14:paraId="67C6CEC0" w14:textId="75F96879" w:rsidR="009C4A5A" w:rsidRDefault="009C4A5A" w:rsidP="009C4A5A">
      <w:pPr>
        <w:pStyle w:val="Heading4"/>
      </w:pPr>
      <w:r>
        <w:t>David Henning</w:t>
      </w:r>
    </w:p>
    <w:p w14:paraId="6F2E56E2" w14:textId="4DA1DEB7" w:rsidR="009C4A5A" w:rsidRDefault="009C4A5A" w:rsidP="009C4A5A">
      <w:pPr>
        <w:pStyle w:val="Heading4"/>
      </w:pPr>
      <w:r>
        <w:t>Colter Herrings</w:t>
      </w:r>
    </w:p>
    <w:p w14:paraId="0A66AB1B" w14:textId="1A87DDB4" w:rsidR="009C4A5A" w:rsidRDefault="009C4A5A" w:rsidP="009C4A5A">
      <w:pPr>
        <w:pStyle w:val="Heading4"/>
      </w:pPr>
      <w:r>
        <w:t>Jim P.</w:t>
      </w:r>
    </w:p>
    <w:p w14:paraId="64F494CA" w14:textId="76F4E4C9" w:rsidR="009C4A5A" w:rsidRDefault="009C4A5A" w:rsidP="009C4A5A">
      <w:pPr>
        <w:pStyle w:val="Heading4"/>
      </w:pPr>
      <w:r>
        <w:t>Dominic Henderson</w:t>
      </w:r>
    </w:p>
    <w:p w14:paraId="2D1778EC" w14:textId="2AE07842" w:rsidR="009C4A5A" w:rsidRPr="009C4A5A" w:rsidRDefault="009C4A5A" w:rsidP="009C4A5A">
      <w:pPr>
        <w:pStyle w:val="Heading4"/>
      </w:pPr>
      <w:r>
        <w:t>N Z</w:t>
      </w:r>
    </w:p>
    <w:p w14:paraId="558B05C6" w14:textId="77777777" w:rsidR="00681E1B" w:rsidRPr="00DD2D90" w:rsidRDefault="00681E1B" w:rsidP="00681E1B"/>
    <w:p w14:paraId="2ECEF24F" w14:textId="77777777" w:rsidR="00D72D44" w:rsidRPr="00DD2D90" w:rsidRDefault="00D72D44" w:rsidP="00D72D44"/>
    <w:p w14:paraId="0672ADF6" w14:textId="77777777" w:rsidR="00F63522" w:rsidRPr="00D05211" w:rsidRDefault="00F63522" w:rsidP="00F63522">
      <w:pPr>
        <w:pStyle w:val="Heading2"/>
        <w:rPr>
          <w:rFonts w:ascii="Arial Black" w:hAnsi="Arial Black"/>
          <w:color w:val="B43E1F"/>
          <w:szCs w:val="44"/>
          <w:u w:val="single"/>
        </w:rPr>
      </w:pPr>
      <w:r w:rsidRPr="00D05211">
        <w:rPr>
          <w:rFonts w:ascii="Arial Black" w:hAnsi="Arial Black"/>
          <w:color w:val="B43E1F"/>
          <w:szCs w:val="44"/>
          <w:u w:val="single"/>
        </w:rPr>
        <w:t>Topic Analysis</w:t>
      </w:r>
    </w:p>
    <w:p w14:paraId="78886711" w14:textId="77777777" w:rsidR="00F63522" w:rsidRPr="00D05211" w:rsidRDefault="00F63522" w:rsidP="00F63522">
      <w:pPr>
        <w:pStyle w:val="Heading3"/>
        <w:rPr>
          <w:rFonts w:ascii="Arial Black" w:hAnsi="Arial Black"/>
          <w:color w:val="B43E1F"/>
          <w:szCs w:val="32"/>
        </w:rPr>
      </w:pPr>
      <w:r w:rsidRPr="00D05211">
        <w:rPr>
          <w:rFonts w:ascii="Arial Black" w:hAnsi="Arial Black"/>
          <w:color w:val="B43E1F"/>
          <w:szCs w:val="32"/>
        </w:rPr>
        <w:t>1.1 Introduction</w:t>
      </w:r>
    </w:p>
    <w:p w14:paraId="23E6F9ED" w14:textId="77777777" w:rsidR="00F63522" w:rsidRPr="00D05211" w:rsidRDefault="00F63522" w:rsidP="00F63522">
      <w:pPr>
        <w:pStyle w:val="Heading4"/>
        <w:numPr>
          <w:ilvl w:val="2"/>
          <w:numId w:val="19"/>
        </w:numPr>
        <w:rPr>
          <w:szCs w:val="26"/>
        </w:rPr>
      </w:pPr>
      <w:r w:rsidRPr="00D05211">
        <w:rPr>
          <w:szCs w:val="26"/>
        </w:rPr>
        <w:t>Introduction</w:t>
      </w:r>
    </w:p>
    <w:p w14:paraId="60DF270B" w14:textId="3EE931C0" w:rsidR="001A063D" w:rsidRDefault="00B87DD8" w:rsidP="00D05211">
      <w:pPr>
        <w:spacing w:line="480" w:lineRule="auto"/>
      </w:pPr>
      <w:r w:rsidRPr="00DD2D90">
        <w:t>Resolved: Governments ought to consider healthcare to be a public good rather than a private commodity.</w:t>
      </w:r>
    </w:p>
    <w:p w14:paraId="7F557250" w14:textId="1C1306DD" w:rsidR="00C45957" w:rsidRPr="00DD2D90" w:rsidRDefault="001A063D" w:rsidP="00D05211">
      <w:pPr>
        <w:spacing w:line="480" w:lineRule="auto"/>
        <w:ind w:firstLine="720"/>
      </w:pPr>
      <w:r>
        <w:t>R</w:t>
      </w:r>
      <w:r w:rsidR="00F85161" w:rsidRPr="00DD2D90">
        <w:t>eplacing the US healthcare system with the public provision</w:t>
      </w:r>
      <w:r>
        <w:t xml:space="preserve"> of</w:t>
      </w:r>
      <w:r w:rsidR="00F85161" w:rsidRPr="00DD2D90">
        <w:t xml:space="preserve"> and/or payment </w:t>
      </w:r>
      <w:r>
        <w:t>for</w:t>
      </w:r>
      <w:r w:rsidR="00F85161" w:rsidRPr="00DD2D90">
        <w:t xml:space="preserve"> healthcare has been the </w:t>
      </w:r>
      <w:r w:rsidR="00F85161" w:rsidRPr="00DD2D90">
        <w:rPr>
          <w:i/>
          <w:iCs/>
        </w:rPr>
        <w:t>most popular topic</w:t>
      </w:r>
      <w:r>
        <w:rPr>
          <w:i/>
          <w:iCs/>
        </w:rPr>
        <w:t xml:space="preserve"> </w:t>
      </w:r>
      <w:r>
        <w:t>in</w:t>
      </w:r>
      <w:r w:rsidRPr="00DD2D90">
        <w:t xml:space="preserve"> competitive </w:t>
      </w:r>
      <w:r>
        <w:t xml:space="preserve">high school and college </w:t>
      </w:r>
      <w:r w:rsidRPr="00DD2D90">
        <w:t>debate history</w:t>
      </w:r>
      <w:r w:rsidR="00614920" w:rsidRPr="00DD2D90">
        <w:t xml:space="preserve">. </w:t>
      </w:r>
      <w:r>
        <w:t>Culminating all healthcare topics from Policy, Public Forum, and Lincoln-Douglas shows this topic has been debated</w:t>
      </w:r>
      <w:r w:rsidR="00614920" w:rsidRPr="00DD2D90">
        <w:t xml:space="preserve"> </w:t>
      </w:r>
      <w:r w:rsidR="00F85161" w:rsidRPr="00DD2D90">
        <w:t xml:space="preserve">15+ </w:t>
      </w:r>
      <w:r>
        <w:t xml:space="preserve">times, averaging out to being debated roughly once a decade for the past 80+ years. </w:t>
      </w:r>
      <w:r w:rsidR="00C45957">
        <w:t>If you i</w:t>
      </w:r>
      <w:r>
        <w:t>nclud</w:t>
      </w:r>
      <w:r w:rsidR="00C45957">
        <w:t>e</w:t>
      </w:r>
      <w:r>
        <w:t xml:space="preserve"> topics </w:t>
      </w:r>
      <w:r w:rsidR="00C45957">
        <w:t xml:space="preserve">in the same issue area, meaning topics </w:t>
      </w:r>
      <w:r>
        <w:t xml:space="preserve">related </w:t>
      </w:r>
      <w:r w:rsidR="00C45957">
        <w:t>and relevant to</w:t>
      </w:r>
      <w:r>
        <w:t xml:space="preserve"> but </w:t>
      </w:r>
      <w:r w:rsidR="00C45957">
        <w:t>not focused</w:t>
      </w:r>
      <w:r>
        <w:t xml:space="preserve"> specifically </w:t>
      </w:r>
      <w:r w:rsidR="00C45957">
        <w:t>on</w:t>
      </w:r>
      <w:r>
        <w:t xml:space="preserve"> </w:t>
      </w:r>
      <w:r w:rsidR="00C45957">
        <w:t xml:space="preserve">a national </w:t>
      </w:r>
      <w:r>
        <w:t>health service/insurance</w:t>
      </w:r>
      <w:r w:rsidR="00C45957">
        <w:t xml:space="preserve"> (such as the 2021 Sept-Oct LD topic on medical intellectual property rights), the sheer number of health-related topics grows even larger</w:t>
      </w:r>
      <w:r>
        <w:t xml:space="preserve">. Debaters have argued this topic even in the years of yore, such as the </w:t>
      </w:r>
      <w:r w:rsidR="00C45957">
        <w:t xml:space="preserve">1935-1936 policy topic debated throughout </w:t>
      </w:r>
      <w:r>
        <w:t xml:space="preserve">the Great Depression, which was before the creation of our private healthcare system during the Second World War. </w:t>
      </w:r>
      <w:r w:rsidR="00C45957">
        <w:t>And we know for a fact that this topic will be debated again in the future, both since the problem is almost intractable and unsolvable, but also because healthcare is u</w:t>
      </w:r>
      <w:r w:rsidR="00C45957" w:rsidRPr="00DD2D90">
        <w:t>pcoming policy topic</w:t>
      </w:r>
      <w:r w:rsidR="00C45957">
        <w:t xml:space="preserve"> for next year. Healthcare is not even a unique topic for NCFL Nationals given it was also debated for LD in </w:t>
      </w:r>
      <w:r w:rsidR="00C45957" w:rsidRPr="00DD2D90">
        <w:t>2009</w:t>
      </w:r>
      <w:r w:rsidR="00C45957">
        <w:t>. A debate topic history lesson raises questions about why</w:t>
      </w:r>
      <w:r w:rsidR="00C45957" w:rsidRPr="00DD2D90">
        <w:t xml:space="preserve"> </w:t>
      </w:r>
      <w:r w:rsidR="00C45957">
        <w:t>healthcare is such a</w:t>
      </w:r>
      <w:r w:rsidR="00C45957" w:rsidRPr="00DD2D90">
        <w:t xml:space="preserve"> </w:t>
      </w:r>
      <w:r w:rsidR="00C45957">
        <w:t xml:space="preserve">fantastically </w:t>
      </w:r>
      <w:r w:rsidR="00C45957" w:rsidRPr="00DD2D90">
        <w:t>popular</w:t>
      </w:r>
      <w:r w:rsidR="00C45957">
        <w:t xml:space="preserve"> topic among topic selection committees? The answer will greatly aid us in learning about the topic, as knowing the unique features of that resulted in healthcare as such a remarkably common topic area informs us what we ought to be aware of and watch out for.</w:t>
      </w:r>
    </w:p>
    <w:p w14:paraId="128957D5" w14:textId="425C398F" w:rsidR="00F42E6C" w:rsidRDefault="00F42E6C" w:rsidP="00D05211">
      <w:pPr>
        <w:spacing w:line="480" w:lineRule="auto"/>
        <w:ind w:firstLine="360"/>
      </w:pPr>
      <w:r>
        <w:t xml:space="preserve">One, </w:t>
      </w:r>
      <w:r w:rsidR="00E46597">
        <w:t>healthcare</w:t>
      </w:r>
      <w:r w:rsidR="00E46597">
        <w:t xml:space="preserve"> debates are routinely obfuscated by </w:t>
      </w:r>
      <w:r>
        <w:t>unclear definitions</w:t>
      </w:r>
      <w:r w:rsidR="00E46597">
        <w:t xml:space="preserve">, such as the meaning of healthcare itself. Is healthcare inclusive of concepts that impact health, but are not directly related to the provision of healthcare, such as anti-smoking campaigns? </w:t>
      </w:r>
      <w:r w:rsidR="0050057D">
        <w:t>Physicians routinely do checkups and minor services to prevent illnesses before they happen, but it is unclear how far that extends, if at all, beyond the clinic. Does it include</w:t>
      </w:r>
      <w:r w:rsidR="00E46597">
        <w:t xml:space="preserve"> bolstering public health infrastructure via municipal sewage and water systems, key factors in the prevention of cholerae or legionnaires’ disease? If doctors argue we have an </w:t>
      </w:r>
      <w:r w:rsidR="0050057D">
        <w:t>‘</w:t>
      </w:r>
      <w:r w:rsidR="00E46597">
        <w:t>epidemic</w:t>
      </w:r>
      <w:r w:rsidR="0050057D">
        <w:t>’</w:t>
      </w:r>
      <w:r w:rsidR="00E46597">
        <w:t xml:space="preserve"> of gun violence</w:t>
      </w:r>
      <w:r w:rsidR="0050057D">
        <w:t>, millions are becoming ‘addicted’ to social media, or that we ought to prevent ‘non-communicable diseases,’ is within the definition of healthcare? I legitimately do not know</w:t>
      </w:r>
      <w:r w:rsidR="005B198C">
        <w:t xml:space="preserve">; however, due to the inherent vagueness of what healthcare is, there is a non-negligible risk that doctors may provide lackluster care for those that do not follow doctors’ orders in a preventive lifestyle context (i.e. withholding insulin for those drinking soda in times of rationing) This problem is exacerbated in the context of replacement proposals such as the national health insurance (NHI) or the national health service (NHS). </w:t>
      </w:r>
    </w:p>
    <w:p w14:paraId="32BF77FC" w14:textId="1F6A10F0" w:rsidR="005B198C" w:rsidRDefault="00F42E6C" w:rsidP="00D05211">
      <w:pPr>
        <w:spacing w:line="480" w:lineRule="auto"/>
        <w:ind w:firstLine="360"/>
      </w:pPr>
      <w:r>
        <w:t>Two</w:t>
      </w:r>
      <w:r w:rsidR="00C45957">
        <w:t xml:space="preserve">, healthcare, at least in a US-specific context, is a </w:t>
      </w:r>
      <w:r w:rsidR="00C45957" w:rsidRPr="00DD2D90">
        <w:t>high depth</w:t>
      </w:r>
      <w:r w:rsidR="00C45957">
        <w:t xml:space="preserve"> but low </w:t>
      </w:r>
      <w:r w:rsidR="00C45957" w:rsidRPr="00DD2D90">
        <w:t>breadth</w:t>
      </w:r>
      <w:r w:rsidR="00C45957">
        <w:t xml:space="preserve"> topic. American healthcare policy </w:t>
      </w:r>
      <w:r>
        <w:t>is</w:t>
      </w:r>
      <w:r w:rsidR="00C45957">
        <w:t xml:space="preserve"> extremely complicated due to how it emerged by accident and evolved via piece-meal, hodge-podge reforms as opposed to an overarching central plan</w:t>
      </w:r>
      <w:r>
        <w:t xml:space="preserve">. The US has private and public payers for private provision of care as well as direct public provision of care by the government, whose complexity is magnified due to federalism causing different interpretations of all the above policies throughout the fifty states. </w:t>
      </w:r>
      <w:r w:rsidR="005B198C">
        <w:t>Healthcare policy is</w:t>
      </w:r>
      <w:r w:rsidR="008E3D45">
        <w:t xml:space="preserve"> also</w:t>
      </w:r>
      <w:r w:rsidR="005B198C">
        <w:t xml:space="preserve"> </w:t>
      </w:r>
      <w:proofErr w:type="gramStart"/>
      <w:r w:rsidR="005B198C">
        <w:t>alphabet</w:t>
      </w:r>
      <w:proofErr w:type="gramEnd"/>
      <w:r w:rsidR="005B198C">
        <w:t xml:space="preserve"> soup</w:t>
      </w:r>
      <w:r w:rsidR="008E3D45">
        <w:t xml:space="preserve">. </w:t>
      </w:r>
      <w:r w:rsidR="005B198C">
        <w:t>In private</w:t>
      </w:r>
      <w:r w:rsidR="008E3D45">
        <w:t xml:space="preserve"> payer</w:t>
      </w:r>
      <w:r w:rsidR="005B198C">
        <w:t xml:space="preserve"> healthcare, there is </w:t>
      </w:r>
      <w:r w:rsidR="005B198C">
        <w:t>ESI</w:t>
      </w:r>
      <w:r w:rsidR="005B198C">
        <w:t xml:space="preserve"> (</w:t>
      </w:r>
      <w:r w:rsidR="005B198C">
        <w:t>Employer-Sponsored Insurance</w:t>
      </w:r>
      <w:r w:rsidR="005B198C">
        <w:t>)</w:t>
      </w:r>
      <w:r w:rsidR="008E3D45">
        <w:t xml:space="preserve"> and individual insurance, which are both influenced by </w:t>
      </w:r>
      <w:r w:rsidR="005B198C">
        <w:t>HMO</w:t>
      </w:r>
      <w:r w:rsidR="005B198C">
        <w:t xml:space="preserve"> (</w:t>
      </w:r>
      <w:r w:rsidR="005B198C">
        <w:t>Health Maintenance Organization</w:t>
      </w:r>
      <w:r w:rsidR="005B198C">
        <w:t xml:space="preserve">), </w:t>
      </w:r>
      <w:r w:rsidR="005B198C">
        <w:t>PPO</w:t>
      </w:r>
      <w:r w:rsidR="005B198C">
        <w:t xml:space="preserve"> (</w:t>
      </w:r>
      <w:r w:rsidR="005B198C">
        <w:t>Preferred Provider Organization</w:t>
      </w:r>
      <w:r w:rsidR="005B198C">
        <w:t>)</w:t>
      </w:r>
      <w:r w:rsidR="008E3D45">
        <w:t>, HSA (</w:t>
      </w:r>
      <w:r w:rsidR="008E3D45">
        <w:t>Health Savings</w:t>
      </w:r>
      <w:r w:rsidR="008E3D45">
        <w:t xml:space="preserve"> </w:t>
      </w:r>
      <w:r w:rsidR="008E3D45">
        <w:t>Account</w:t>
      </w:r>
      <w:r w:rsidR="008E3D45">
        <w:t xml:space="preserve">), and </w:t>
      </w:r>
      <w:r w:rsidR="008E3D45">
        <w:t>HDHP</w:t>
      </w:r>
      <w:r w:rsidR="008E3D45">
        <w:t xml:space="preserve"> (</w:t>
      </w:r>
      <w:proofErr w:type="gramStart"/>
      <w:r w:rsidR="008E3D45">
        <w:t>High Deductible</w:t>
      </w:r>
      <w:proofErr w:type="gramEnd"/>
      <w:r w:rsidR="008E3D45">
        <w:t xml:space="preserve"> </w:t>
      </w:r>
      <w:r w:rsidR="008E3D45">
        <w:t>Health Plan</w:t>
      </w:r>
      <w:r w:rsidR="008E3D45">
        <w:t xml:space="preserve">). </w:t>
      </w:r>
      <w:r w:rsidR="005B198C">
        <w:t xml:space="preserve">In government </w:t>
      </w:r>
      <w:r w:rsidR="008E3D45">
        <w:t xml:space="preserve">payer </w:t>
      </w:r>
      <w:r w:rsidR="005B198C">
        <w:t xml:space="preserve">healthcare, there is </w:t>
      </w:r>
      <w:r w:rsidR="008E3D45">
        <w:t xml:space="preserve">the </w:t>
      </w:r>
      <w:r w:rsidR="008E3D45">
        <w:t>ACA (Affordable</w:t>
      </w:r>
      <w:r w:rsidR="008E3D45">
        <w:t xml:space="preserve"> </w:t>
      </w:r>
      <w:r w:rsidR="008E3D45">
        <w:t>Care Act)</w:t>
      </w:r>
      <w:r w:rsidR="008E3D45">
        <w:t xml:space="preserve">, Medicare, Medicaid, </w:t>
      </w:r>
      <w:r w:rsidR="005B198C">
        <w:t>COBRA</w:t>
      </w:r>
      <w:r w:rsidR="005B198C">
        <w:t xml:space="preserve"> (</w:t>
      </w:r>
      <w:r w:rsidR="005B198C" w:rsidRPr="005B198C">
        <w:t>Consolidated Omnibus Budget Reconciliation Act</w:t>
      </w:r>
      <w:r w:rsidR="005B198C">
        <w:t>)</w:t>
      </w:r>
      <w:r w:rsidR="008E3D45">
        <w:t xml:space="preserve">, and </w:t>
      </w:r>
      <w:r w:rsidR="008E3D45">
        <w:t>CHIP</w:t>
      </w:r>
      <w:r w:rsidR="008E3D45">
        <w:t xml:space="preserve"> (Children's Health Insurance Program). In government provided healthcare, there is TRICARE and the VA (Veterans Affairs). If this was not sufficiently confusing enough, these distinctions between payer and provision alongside private and public care are fuzzy, and there is seemingly endless </w:t>
      </w:r>
      <w:proofErr w:type="gramStart"/>
      <w:r w:rsidR="008E3D45">
        <w:t>more healthcare</w:t>
      </w:r>
      <w:proofErr w:type="gramEnd"/>
      <w:r w:rsidR="008E3D45">
        <w:t xml:space="preserve"> policy lingo that I lack pages to explain. </w:t>
      </w:r>
    </w:p>
    <w:p w14:paraId="082410EE" w14:textId="5DE4657B" w:rsidR="00F42E6C" w:rsidRPr="00DD2D90" w:rsidRDefault="00F42E6C" w:rsidP="00D05211">
      <w:pPr>
        <w:spacing w:line="480" w:lineRule="auto"/>
        <w:ind w:firstLine="360"/>
      </w:pPr>
      <w:r>
        <w:t xml:space="preserve">Three, </w:t>
      </w:r>
      <w:r w:rsidR="000110DE">
        <w:t>h</w:t>
      </w:r>
      <w:r>
        <w:t>ealthcare</w:t>
      </w:r>
      <w:r w:rsidR="000110DE">
        <w:t xml:space="preserve"> policy</w:t>
      </w:r>
      <w:r>
        <w:t xml:space="preserve"> is the nexus of multiple</w:t>
      </w:r>
      <w:r w:rsidR="000110DE">
        <w:t xml:space="preserve"> </w:t>
      </w:r>
      <w:r>
        <w:t>academic discipline</w:t>
      </w:r>
      <w:r w:rsidR="000110DE">
        <w:t xml:space="preserve">s that simultaneously overlap and discuss the same issue area but result in differing conclusions in sharp contradistinction with each other due to the premises of that discipline. A clear-cut example is a neoliberal economist arguing for fiscal conservativism to lower the deficit and avoid high taxation that might harm the economy, which is an independent driver of better health outcomes. The national debt and economic growth issues can easily be framed as paradigm-defining issues that ought to be prioritized first-and-foremost above all other concerns. However, this approach may seem profoundly unethical to a care ethicist or socialist when they see people dying </w:t>
      </w:r>
      <w:r w:rsidR="00A91425">
        <w:t xml:space="preserve">in </w:t>
      </w:r>
      <w:r w:rsidR="000110DE">
        <w:t xml:space="preserve">the streets from illnesses easily treatable due to their inability to pay their hospital bills. </w:t>
      </w:r>
      <w:r w:rsidR="00A91425">
        <w:t>Seemingly senseless premature deaths that we otherwise could prevent are intuitively moral wrongs to many; this is a position shared by everyone from the accused healthcare CEO killer Luigi Mangione to the Marxist philosopher Friedrich Engels in his essays on social murder. Regardless of how healthcare harms may shock our collective conscious, the severity of these moral wrongs do</w:t>
      </w:r>
      <w:r w:rsidR="00F84F6E">
        <w:t>es</w:t>
      </w:r>
      <w:r w:rsidR="00A91425">
        <w:t xml:space="preserve"> not erase the original concerns of the economist: how do we pay for it and does it do more harm than good.  </w:t>
      </w:r>
    </w:p>
    <w:p w14:paraId="7BF54FC2" w14:textId="6ABCCEE6" w:rsidR="00F84F6E" w:rsidRDefault="00A91425" w:rsidP="00D05211">
      <w:pPr>
        <w:spacing w:line="480" w:lineRule="auto"/>
        <w:ind w:firstLine="360"/>
      </w:pPr>
      <w:r>
        <w:t xml:space="preserve">Knowing all the above factors, it is worthwhile looking at the </w:t>
      </w:r>
      <w:r w:rsidR="00F42E6C" w:rsidRPr="00DD2D90">
        <w:t>vari</w:t>
      </w:r>
      <w:r>
        <w:t>ety of</w:t>
      </w:r>
      <w:r w:rsidR="00F42E6C" w:rsidRPr="00DD2D90">
        <w:t xml:space="preserve"> approaches </w:t>
      </w:r>
      <w:r>
        <w:t>to the topic in the list</w:t>
      </w:r>
      <w:r w:rsidR="00F84F6E">
        <w:t xml:space="preserve"> below</w:t>
      </w:r>
      <w:r>
        <w:t xml:space="preserve">. </w:t>
      </w:r>
      <w:r w:rsidR="00F84F6E">
        <w:t>Each has hyperlinks at the end of the bullet point that will take you to that subsection of the topic analysis if you need a more in-depth explanation of that argument.</w:t>
      </w:r>
    </w:p>
    <w:p w14:paraId="1523D754" w14:textId="248901E3" w:rsidR="00F84F6E" w:rsidRPr="00F84F6E" w:rsidRDefault="00F84F6E" w:rsidP="00D05211">
      <w:pPr>
        <w:pStyle w:val="ListBullet"/>
        <w:spacing w:line="480" w:lineRule="auto"/>
        <w:rPr>
          <w:rStyle w:val="Emphasis"/>
          <w:b w:val="0"/>
          <w:iCs w:val="0"/>
          <w:u w:val="none"/>
        </w:rPr>
      </w:pPr>
      <w:r w:rsidRPr="00F84F6E">
        <w:rPr>
          <w:rStyle w:val="Emphasis"/>
        </w:rPr>
        <w:t>Political Econom</w:t>
      </w:r>
      <w:r>
        <w:rPr>
          <w:rStyle w:val="Emphasis"/>
        </w:rPr>
        <w:t>y</w:t>
      </w:r>
      <w:r w:rsidRPr="00F84F6E">
        <w:rPr>
          <w:rStyle w:val="Emphasis"/>
        </w:rPr>
        <w:t xml:space="preserve"> Theory</w:t>
      </w:r>
      <w:r>
        <w:t xml:space="preserve">: </w:t>
      </w:r>
      <w:r>
        <w:t>economists of yore largely ignored issues related to healthcare</w:t>
      </w:r>
      <w:r w:rsidRPr="00DD2D90">
        <w:t xml:space="preserve"> of commodities</w:t>
      </w:r>
      <w:r w:rsidR="008E3D45">
        <w:t>, but the comparison between</w:t>
      </w:r>
      <w:r w:rsidRPr="00DD2D90">
        <w:t xml:space="preserve"> Marxian</w:t>
      </w:r>
      <w:r w:rsidR="008E3D45">
        <w:t xml:space="preserve"> economics</w:t>
      </w:r>
      <w:r w:rsidRPr="00DD2D90">
        <w:t xml:space="preserve"> v. Neoclassical economics (Friedrich Hayek, Milton Friedman, Ludwig von Mises)</w:t>
      </w:r>
      <w:r w:rsidR="008E3D45">
        <w:t xml:space="preserve"> is key to discussions on the pros and cons of central planning</w:t>
      </w:r>
      <w:r w:rsidRPr="00DD2D90">
        <w:t xml:space="preserve"> (see contentions </w:t>
      </w:r>
      <w:hyperlink w:anchor="_1.2.7_Commodification_Bad" w:history="1">
        <w:r w:rsidRPr="00C11721">
          <w:rPr>
            <w:rStyle w:val="Hyperlink"/>
          </w:rPr>
          <w:t>2.7</w:t>
        </w:r>
      </w:hyperlink>
      <w:r w:rsidRPr="00DD2D90">
        <w:t xml:space="preserve">, </w:t>
      </w:r>
      <w:hyperlink w:anchor="_1.2.8_Commodity_Fetishism/Medicaliz" w:history="1">
        <w:r w:rsidRPr="00C11721">
          <w:rPr>
            <w:rStyle w:val="Hyperlink"/>
          </w:rPr>
          <w:t>2.8</w:t>
        </w:r>
      </w:hyperlink>
      <w:r w:rsidRPr="00DD2D90">
        <w:t xml:space="preserve">, and </w:t>
      </w:r>
      <w:hyperlink w:anchor="_1.3.5_Authoritarianism/Property_Rig" w:history="1">
        <w:r w:rsidRPr="00C11721">
          <w:rPr>
            <w:rStyle w:val="Hyperlink"/>
          </w:rPr>
          <w:t>3.5</w:t>
        </w:r>
      </w:hyperlink>
      <w:r w:rsidRPr="00DD2D90">
        <w:t>)</w:t>
      </w:r>
    </w:p>
    <w:p w14:paraId="1801CB64" w14:textId="79E5E02B" w:rsidR="00F42E6C" w:rsidRPr="00DD2D90" w:rsidRDefault="00F42E6C" w:rsidP="00D05211">
      <w:pPr>
        <w:pStyle w:val="ListBullet"/>
        <w:spacing w:line="480" w:lineRule="auto"/>
      </w:pPr>
      <w:r w:rsidRPr="00F84F6E">
        <w:rPr>
          <w:rStyle w:val="Emphasis"/>
        </w:rPr>
        <w:t xml:space="preserve">Developmental </w:t>
      </w:r>
      <w:r w:rsidR="00F84F6E" w:rsidRPr="00F84F6E">
        <w:rPr>
          <w:rStyle w:val="Emphasis"/>
        </w:rPr>
        <w:t>E</w:t>
      </w:r>
      <w:r w:rsidRPr="00F84F6E">
        <w:rPr>
          <w:rStyle w:val="Emphasis"/>
        </w:rPr>
        <w:t>conomics</w:t>
      </w:r>
      <w:r w:rsidR="00F84F6E">
        <w:t>:</w:t>
      </w:r>
      <w:r w:rsidRPr="00DD2D90">
        <w:t xml:space="preserve"> </w:t>
      </w:r>
      <w:r w:rsidR="008E3D45">
        <w:t xml:space="preserve">debates on this topic largely will focus on the US; however, this topic is not US specific. The Global North has routinely used </w:t>
      </w:r>
      <w:r w:rsidR="008E3D45" w:rsidRPr="00DD2D90">
        <w:t>international financial</w:t>
      </w:r>
      <w:r w:rsidR="008E3D45">
        <w:t xml:space="preserve"> </w:t>
      </w:r>
      <w:r w:rsidR="005B12CB">
        <w:t xml:space="preserve">institutions like the International Monetary Fund (IMF), World Bank, and World Trade Organization (WTO) and international health organizations like the World Health Organization (WHO) to advance </w:t>
      </w:r>
      <w:r w:rsidR="005B12CB">
        <w:t xml:space="preserve">Global North </w:t>
      </w:r>
      <w:r w:rsidR="005B12CB">
        <w:t>interests in selling their health commodities abroad (</w:t>
      </w:r>
      <w:r w:rsidR="005B12CB" w:rsidRPr="00DD2D90">
        <w:t xml:space="preserve">see contention </w:t>
      </w:r>
      <w:hyperlink w:anchor="_1.2.6_Global_South" w:history="1">
        <w:r w:rsidR="005B12CB" w:rsidRPr="00C11721">
          <w:rPr>
            <w:rStyle w:val="Hyperlink"/>
          </w:rPr>
          <w:t>2.6</w:t>
        </w:r>
      </w:hyperlink>
      <w:r w:rsidR="005B12CB">
        <w:t xml:space="preserve">). This includes the IMF and World Bank promoting structural adjustment programs in response to sovereign debt crises as well as the WTO promoting medical intellectual property protections. </w:t>
      </w:r>
      <w:proofErr w:type="spellStart"/>
      <w:r w:rsidR="005B12CB">
        <w:t>P</w:t>
      </w:r>
      <w:r w:rsidR="005B12CB" w:rsidRPr="00DD2D90">
        <w:t>hilanthrocapitalis</w:t>
      </w:r>
      <w:r w:rsidR="005B12CB">
        <w:t>ts</w:t>
      </w:r>
      <w:proofErr w:type="spellEnd"/>
      <w:r w:rsidR="005B12CB">
        <w:t xml:space="preserve"> like Bill Gates have used the underdevelopment of public health infrastructure to promote public-private partnerships (PPPs) between Global North health corporations and Global South governments. This has resulted in less economic development in the Global South, especially due to neglected tropical diseases (NTDs). However, some Global South countries like India have viewed pharmaceutical exports to the Global North as a key source of their economic development </w:t>
      </w:r>
      <w:r w:rsidRPr="00DD2D90">
        <w:t>(</w:t>
      </w:r>
      <w:r w:rsidR="005B12CB">
        <w:t>see contention</w:t>
      </w:r>
      <w:r w:rsidRPr="00DD2D90">
        <w:t xml:space="preserve"> </w:t>
      </w:r>
      <w:hyperlink w:anchor="_1.3.6_High_Drug" w:history="1">
        <w:r w:rsidRPr="00C11721">
          <w:rPr>
            <w:rStyle w:val="Hyperlink"/>
          </w:rPr>
          <w:t>3.6</w:t>
        </w:r>
      </w:hyperlink>
      <w:r w:rsidRPr="00DD2D90">
        <w:t>)</w:t>
      </w:r>
      <w:r w:rsidR="005B12CB">
        <w:t>.</w:t>
      </w:r>
    </w:p>
    <w:p w14:paraId="2A53EADE" w14:textId="3DDD84EE" w:rsidR="005B12CB" w:rsidRPr="00DD2D90" w:rsidRDefault="00F42E6C" w:rsidP="00D05211">
      <w:pPr>
        <w:pStyle w:val="ListBullet"/>
        <w:spacing w:line="480" w:lineRule="auto"/>
      </w:pPr>
      <w:r w:rsidRPr="00F84F6E">
        <w:rPr>
          <w:rStyle w:val="Emphasis"/>
        </w:rPr>
        <w:t xml:space="preserve">Healthcare </w:t>
      </w:r>
      <w:r w:rsidR="00F84F6E" w:rsidRPr="00F84F6E">
        <w:rPr>
          <w:rStyle w:val="Emphasis"/>
        </w:rPr>
        <w:t>P</w:t>
      </w:r>
      <w:r w:rsidRPr="00F84F6E">
        <w:rPr>
          <w:rStyle w:val="Emphasis"/>
        </w:rPr>
        <w:t>olicy</w:t>
      </w:r>
      <w:r w:rsidR="00F84F6E">
        <w:rPr>
          <w:rStyle w:val="Emphasis"/>
        </w:rPr>
        <w:t>:</w:t>
      </w:r>
      <w:r w:rsidRPr="00DD2D90">
        <w:t xml:space="preserve"> </w:t>
      </w:r>
      <w:r w:rsidR="005B12CB">
        <w:t>this contention is the catch-all contention for health promotion arguments. This includes a b</w:t>
      </w:r>
      <w:r w:rsidR="005B12CB" w:rsidRPr="00DD2D90">
        <w:t>iosecurity</w:t>
      </w:r>
      <w:r w:rsidR="005B12CB">
        <w:t xml:space="preserve"> perspective focused on </w:t>
      </w:r>
      <w:r w:rsidR="005B12CB" w:rsidRPr="00DD2D90">
        <w:t>pandemic preparedness</w:t>
      </w:r>
      <w:r w:rsidR="005B12CB">
        <w:t xml:space="preserve"> </w:t>
      </w:r>
      <w:r w:rsidR="005B12CB" w:rsidRPr="00DD2D90">
        <w:t xml:space="preserve">and bioweapon defense </w:t>
      </w:r>
      <w:r w:rsidR="005B12CB">
        <w:t>as well as a p</w:t>
      </w:r>
      <w:r w:rsidR="005B12CB" w:rsidRPr="00DD2D90">
        <w:t>harmaceutical innovation</w:t>
      </w:r>
      <w:r w:rsidR="005B12CB">
        <w:t xml:space="preserve"> perspective</w:t>
      </w:r>
      <w:r w:rsidR="00382D26">
        <w:t xml:space="preserve">. Major internal links include </w:t>
      </w:r>
      <w:r w:rsidR="00382D26">
        <w:t>coverage gaps</w:t>
      </w:r>
      <w:r w:rsidR="00382D26">
        <w:t xml:space="preserve"> and</w:t>
      </w:r>
      <w:r w:rsidR="00382D26">
        <w:t xml:space="preserve"> physician burnout</w:t>
      </w:r>
      <w:r w:rsidR="00382D26">
        <w:t xml:space="preserve">. Additionally, trends in the monopolization and financialization of healthcare are important </w:t>
      </w:r>
      <w:r w:rsidR="00382D26" w:rsidRPr="00DD2D90">
        <w:t xml:space="preserve">(see contention </w:t>
      </w:r>
      <w:hyperlink w:anchor="_1.2.4_Public_Health" w:history="1">
        <w:r w:rsidR="00382D26" w:rsidRPr="00C11721">
          <w:rPr>
            <w:rStyle w:val="Hyperlink"/>
          </w:rPr>
          <w:t>2.4</w:t>
        </w:r>
      </w:hyperlink>
      <w:r w:rsidR="00382D26" w:rsidRPr="00DD2D90">
        <w:t>)</w:t>
      </w:r>
      <w:r w:rsidR="005B12CB">
        <w:t xml:space="preserve">. </w:t>
      </w:r>
      <w:r w:rsidR="00382D26">
        <w:t xml:space="preserve">However, these benefits may be decreased or reversed via increased rationing, wait times, and rural doctor shortages (see contentions </w:t>
      </w:r>
      <w:hyperlink w:anchor="_1.3.3_Case_Turns" w:history="1">
        <w:r w:rsidR="00382D26" w:rsidRPr="00C11721">
          <w:rPr>
            <w:rStyle w:val="Hyperlink"/>
          </w:rPr>
          <w:t>3.3</w:t>
        </w:r>
      </w:hyperlink>
      <w:r w:rsidR="00382D26" w:rsidRPr="00DD2D90">
        <w:t xml:space="preserve"> and </w:t>
      </w:r>
      <w:hyperlink w:anchor="_1.3.4_Rural_Doctors" w:history="1">
        <w:r w:rsidR="00382D26" w:rsidRPr="00C11721">
          <w:rPr>
            <w:rStyle w:val="Hyperlink"/>
          </w:rPr>
          <w:t>3.4</w:t>
        </w:r>
      </w:hyperlink>
      <w:r w:rsidR="00382D26">
        <w:t>).</w:t>
      </w:r>
    </w:p>
    <w:p w14:paraId="34A0824C" w14:textId="1B56AC3D" w:rsidR="00F42E6C" w:rsidRPr="00DD2D90" w:rsidRDefault="00F42E6C" w:rsidP="00D05211">
      <w:pPr>
        <w:pStyle w:val="ListBullet"/>
        <w:spacing w:line="480" w:lineRule="auto"/>
      </w:pPr>
      <w:r w:rsidRPr="00F84F6E">
        <w:rPr>
          <w:rStyle w:val="Emphasis"/>
        </w:rPr>
        <w:t>Macroeconomics</w:t>
      </w:r>
      <w:r w:rsidR="00F84F6E" w:rsidRPr="00F84F6E">
        <w:rPr>
          <w:rStyle w:val="Emphasis"/>
        </w:rPr>
        <w:t xml:space="preserve"> and Fiscal Policy</w:t>
      </w:r>
      <w:r w:rsidR="00F84F6E">
        <w:t xml:space="preserve">: </w:t>
      </w:r>
      <w:r w:rsidR="00382D26">
        <w:t xml:space="preserve">National health expenditures (NHE) as a </w:t>
      </w:r>
      <w:proofErr w:type="gramStart"/>
      <w:r w:rsidR="00382D26">
        <w:t>percent</w:t>
      </w:r>
      <w:proofErr w:type="gramEnd"/>
      <w:r w:rsidR="00382D26">
        <w:t xml:space="preserve"> of US GDP have drastically increased over the past decades, which threatens crowding out other industries. Employer sponsored insurance also causes job-lock, harming the flexibility of the labor market. Additionally, inequality both within healthcare and inequality caused by healthcare has substantially increased. There are also concerns that the status quo system, despite being largely paid for by private insurers and individuals, is extremely expensive for the government, increasing US </w:t>
      </w:r>
      <w:r w:rsidRPr="00DD2D90">
        <w:t>debt-to-</w:t>
      </w:r>
      <w:r w:rsidR="00382D26">
        <w:t xml:space="preserve">GDP </w:t>
      </w:r>
      <w:r w:rsidR="00382D26" w:rsidRPr="00DD2D90">
        <w:t xml:space="preserve">(see contentions </w:t>
      </w:r>
      <w:hyperlink w:anchor="_1.2.1_Economy" w:history="1">
        <w:r w:rsidR="00382D26" w:rsidRPr="00C11721">
          <w:rPr>
            <w:rStyle w:val="Hyperlink"/>
          </w:rPr>
          <w:t>2.1</w:t>
        </w:r>
      </w:hyperlink>
      <w:r w:rsidR="00382D26" w:rsidRPr="00DD2D90">
        <w:t xml:space="preserve">, </w:t>
      </w:r>
      <w:hyperlink w:anchor="_1.2.2_Public_Debt" w:history="1">
        <w:r w:rsidR="00382D26" w:rsidRPr="00C11721">
          <w:rPr>
            <w:rStyle w:val="Hyperlink"/>
          </w:rPr>
          <w:t>2.2</w:t>
        </w:r>
      </w:hyperlink>
      <w:r w:rsidR="00382D26" w:rsidRPr="00DD2D90">
        <w:t xml:space="preserve">, </w:t>
      </w:r>
      <w:r w:rsidR="00382D26">
        <w:t xml:space="preserve">and </w:t>
      </w:r>
      <w:hyperlink w:anchor="_1.2.3_Inequality" w:history="1">
        <w:r w:rsidR="00382D26" w:rsidRPr="00C11721">
          <w:rPr>
            <w:rStyle w:val="Hyperlink"/>
          </w:rPr>
          <w:t>2.3</w:t>
        </w:r>
      </w:hyperlink>
      <w:r w:rsidR="00382D26">
        <w:t xml:space="preserve">). However, negative argumentation has said that </w:t>
      </w:r>
      <w:r w:rsidR="00382D26" w:rsidRPr="00DD2D90">
        <w:t xml:space="preserve">Keynesian economics </w:t>
      </w:r>
      <w:r w:rsidR="00382D26">
        <w:t xml:space="preserve">is wrong and would exacerbate </w:t>
      </w:r>
      <w:r w:rsidRPr="00DD2D90">
        <w:t>stagflation</w:t>
      </w:r>
      <w:r w:rsidR="00382D26">
        <w:t>, and the increase in government spending threatens the national debt or economic growth due to higher taxes</w:t>
      </w:r>
      <w:r w:rsidRPr="00DD2D90">
        <w:t xml:space="preserve"> </w:t>
      </w:r>
      <w:r w:rsidR="00382D26">
        <w:t xml:space="preserve">(see contentions </w:t>
      </w:r>
      <w:hyperlink w:anchor="_1.3.1_Economy" w:history="1">
        <w:r w:rsidRPr="00C11721">
          <w:rPr>
            <w:rStyle w:val="Hyperlink"/>
          </w:rPr>
          <w:t>3.1</w:t>
        </w:r>
      </w:hyperlink>
      <w:r w:rsidRPr="00DD2D90">
        <w:t xml:space="preserve"> and </w:t>
      </w:r>
      <w:hyperlink w:anchor="_1.3.2_Public_Debt/Rate" w:history="1">
        <w:r w:rsidRPr="00C11721">
          <w:rPr>
            <w:rStyle w:val="Hyperlink"/>
          </w:rPr>
          <w:t>3.2</w:t>
        </w:r>
      </w:hyperlink>
      <w:r w:rsidRPr="00DD2D90">
        <w:t>)</w:t>
      </w:r>
    </w:p>
    <w:p w14:paraId="0CB37401" w14:textId="34B99EB1" w:rsidR="00F42E6C" w:rsidRPr="00DD2D90" w:rsidRDefault="00F84F6E" w:rsidP="00D05211">
      <w:pPr>
        <w:pStyle w:val="ListBullet"/>
        <w:spacing w:line="480" w:lineRule="auto"/>
      </w:pPr>
      <w:r w:rsidRPr="00F84F6E">
        <w:rPr>
          <w:rStyle w:val="Emphasis"/>
        </w:rPr>
        <w:t>Minorities</w:t>
      </w:r>
      <w:r>
        <w:t xml:space="preserve">: </w:t>
      </w:r>
      <w:r w:rsidR="00382D26">
        <w:t xml:space="preserve">Structural features within healthcare harm some groups more </w:t>
      </w:r>
      <w:proofErr w:type="gramStart"/>
      <w:r w:rsidR="00382D26">
        <w:t>so than</w:t>
      </w:r>
      <w:proofErr w:type="gramEnd"/>
      <w:r w:rsidR="00382D26">
        <w:t xml:space="preserve"> others. For instance, employers are concerned about increased premiums as a result of hiring more costly employees from a health insurance perspective, causing </w:t>
      </w:r>
      <w:r w:rsidR="00F42E6C" w:rsidRPr="00DD2D90">
        <w:t xml:space="preserve">discrimination </w:t>
      </w:r>
      <w:r w:rsidR="00382D26">
        <w:t>against women, disabled folk, and old people</w:t>
      </w:r>
      <w:r w:rsidR="00F42E6C" w:rsidRPr="00DD2D90">
        <w:t xml:space="preserve"> (see contentions </w:t>
      </w:r>
      <w:hyperlink w:anchor="_1.2.3_Inequality" w:history="1">
        <w:r w:rsidR="00F42E6C" w:rsidRPr="00C11721">
          <w:rPr>
            <w:rStyle w:val="Hyperlink"/>
          </w:rPr>
          <w:t>2.3</w:t>
        </w:r>
      </w:hyperlink>
      <w:r w:rsidR="00F42E6C" w:rsidRPr="00DD2D90">
        <w:t xml:space="preserve"> and </w:t>
      </w:r>
      <w:hyperlink w:anchor="_1.2.5_Minorities" w:history="1">
        <w:r w:rsidR="00F42E6C" w:rsidRPr="00C11721">
          <w:rPr>
            <w:rStyle w:val="Hyperlink"/>
          </w:rPr>
          <w:t>2.5</w:t>
        </w:r>
      </w:hyperlink>
      <w:r w:rsidR="00F42E6C" w:rsidRPr="00DD2D90">
        <w:t>)</w:t>
      </w:r>
      <w:r w:rsidR="00382D26">
        <w:t>.</w:t>
      </w:r>
    </w:p>
    <w:p w14:paraId="5B760E66" w14:textId="6B61F2F5" w:rsidR="00F42E6C" w:rsidRPr="00DD2D90" w:rsidRDefault="00F42E6C" w:rsidP="00D05211">
      <w:pPr>
        <w:pStyle w:val="ListBullet"/>
        <w:spacing w:line="480" w:lineRule="auto"/>
      </w:pPr>
      <w:r w:rsidRPr="00F84F6E">
        <w:rPr>
          <w:rStyle w:val="Emphasis"/>
        </w:rPr>
        <w:t>Human rights</w:t>
      </w:r>
      <w:r w:rsidR="00F84F6E">
        <w:t>:</w:t>
      </w:r>
      <w:r w:rsidRPr="00DD2D90">
        <w:t xml:space="preserve"> </w:t>
      </w:r>
      <w:r w:rsidR="00382D26">
        <w:t>healthcare has been promoted via various UN treaties as a human right and universal healthcare is a</w:t>
      </w:r>
      <w:r w:rsidRPr="00DD2D90">
        <w:t xml:space="preserve"> UN </w:t>
      </w:r>
      <w:r w:rsidR="00382D26">
        <w:t xml:space="preserve">sustainable development goal. Healthcare is also key to supporting all other rights, such as the right to life </w:t>
      </w:r>
      <w:r w:rsidRPr="00DD2D90">
        <w:t xml:space="preserve">(see contention </w:t>
      </w:r>
      <w:hyperlink w:anchor="_1.2.7_Commodification_Bad" w:history="1">
        <w:r w:rsidRPr="00C11721">
          <w:rPr>
            <w:rStyle w:val="Hyperlink"/>
          </w:rPr>
          <w:t>2.7</w:t>
        </w:r>
      </w:hyperlink>
      <w:r w:rsidRPr="00DD2D90">
        <w:t>)</w:t>
      </w:r>
      <w:r w:rsidR="00382D26">
        <w:t>.</w:t>
      </w:r>
    </w:p>
    <w:p w14:paraId="5B133632" w14:textId="18DECFE8" w:rsidR="00F42E6C" w:rsidRPr="00DD2D90" w:rsidRDefault="00F42E6C" w:rsidP="00D05211">
      <w:pPr>
        <w:pStyle w:val="ListBullet"/>
        <w:spacing w:line="480" w:lineRule="auto"/>
      </w:pPr>
      <w:r w:rsidRPr="00F84F6E">
        <w:rPr>
          <w:rStyle w:val="Emphasis"/>
        </w:rPr>
        <w:t>Critical Advertising and Cultural Studies</w:t>
      </w:r>
      <w:r w:rsidR="00F84F6E">
        <w:rPr>
          <w:rStyle w:val="Emphasis"/>
        </w:rPr>
        <w:t>:</w:t>
      </w:r>
      <w:r w:rsidRPr="00DD2D90">
        <w:t xml:space="preserve"> </w:t>
      </w:r>
      <w:r w:rsidR="00382D26">
        <w:t xml:space="preserve">A </w:t>
      </w:r>
      <w:r w:rsidR="00382D26">
        <w:t xml:space="preserve">commodity </w:t>
      </w:r>
      <w:r w:rsidR="00382D26">
        <w:t>is not sold within a vacuum: per critical cultural studies by p</w:t>
      </w:r>
      <w:r w:rsidR="00382D26" w:rsidRPr="00DD2D90">
        <w:t>ost-Marxist</w:t>
      </w:r>
      <w:r w:rsidR="00382D26">
        <w:t>s</w:t>
      </w:r>
      <w:r w:rsidR="00382D26">
        <w:t xml:space="preserve"> and</w:t>
      </w:r>
      <w:r w:rsidR="00382D26">
        <w:t xml:space="preserve"> the</w:t>
      </w:r>
      <w:r w:rsidR="00382D26">
        <w:t xml:space="preserve"> Frankfurt School</w:t>
      </w:r>
      <w:r w:rsidR="00382D26">
        <w:t xml:space="preserve">, culture poses a fundamental element to artificially inflate the exchange-value of a commodity. This is intimately connected with the Marxist concept of commodity fetishism, where via advertising, we medicalize health issues, thinking of them as our individual faults as opposed to being caused by social forces </w:t>
      </w:r>
      <w:r w:rsidRPr="00DD2D90">
        <w:t xml:space="preserve">(see contentions </w:t>
      </w:r>
      <w:hyperlink w:anchor="_1.2.8_Commodity_Fetishism/Medicaliz" w:history="1">
        <w:r w:rsidRPr="00C11721">
          <w:rPr>
            <w:rStyle w:val="Hyperlink"/>
          </w:rPr>
          <w:t>2.8</w:t>
        </w:r>
      </w:hyperlink>
      <w:r w:rsidRPr="00DD2D90">
        <w:t>)</w:t>
      </w:r>
      <w:r w:rsidR="00382D26">
        <w:t>.</w:t>
      </w:r>
    </w:p>
    <w:p w14:paraId="1F2D694A" w14:textId="77777777" w:rsidR="00F07AAC" w:rsidRDefault="00F84F6E" w:rsidP="00D05211">
      <w:pPr>
        <w:spacing w:line="480" w:lineRule="auto"/>
        <w:ind w:firstLine="360"/>
      </w:pPr>
      <w:r>
        <w:t xml:space="preserve">Realize that despite the fact these </w:t>
      </w:r>
      <w:r>
        <w:t>contentions</w:t>
      </w:r>
      <w:r>
        <w:t xml:space="preserve"> may seem</w:t>
      </w:r>
      <w:r>
        <w:t xml:space="preserve"> largely</w:t>
      </w:r>
      <w:r>
        <w:t xml:space="preserve"> distinct from </w:t>
      </w:r>
      <w:r>
        <w:t>each</w:t>
      </w:r>
      <w:r>
        <w:t xml:space="preserve"> </w:t>
      </w:r>
      <w:r>
        <w:t>other</w:t>
      </w:r>
      <w:r>
        <w:t xml:space="preserve">, every argument fits within the </w:t>
      </w:r>
      <w:r w:rsidRPr="00DD2D90">
        <w:t xml:space="preserve">broader categories </w:t>
      </w:r>
      <w:r>
        <w:t xml:space="preserve">of </w:t>
      </w:r>
      <w:r w:rsidRPr="00DD2D90">
        <w:t xml:space="preserve">health, economics, and </w:t>
      </w:r>
      <w:r>
        <w:t>(bio)</w:t>
      </w:r>
      <w:r w:rsidRPr="00DD2D90">
        <w:t>ethics</w:t>
      </w:r>
      <w:r>
        <w:t>. The substance of a contention is merely the internal link chain to access those impacts. Due to the topic’s high depth, the level of complexity and nuance of argumentation in each contention is extremely high; however, due to the topic’s low breadth, most contentions interact with other contentions, somewhat to the point where seemingly separate arguments can b</w:t>
      </w:r>
      <w:r w:rsidRPr="00DD2D90">
        <w:t>lur together</w:t>
      </w:r>
      <w:r>
        <w:t xml:space="preserve">. </w:t>
      </w:r>
    </w:p>
    <w:p w14:paraId="2D17353C" w14:textId="77777777" w:rsidR="00322E7C" w:rsidRDefault="00F84F6E" w:rsidP="00D05211">
      <w:pPr>
        <w:spacing w:line="480" w:lineRule="auto"/>
        <w:ind w:firstLine="720"/>
      </w:pPr>
      <w:r>
        <w:t>For instance, better</w:t>
      </w:r>
      <w:r w:rsidRPr="00DD2D90">
        <w:t xml:space="preserve"> health</w:t>
      </w:r>
      <w:r>
        <w:t>care</w:t>
      </w:r>
      <w:r w:rsidRPr="00DD2D90">
        <w:t xml:space="preserve"> </w:t>
      </w:r>
      <w:r>
        <w:t xml:space="preserve">can result in decreased mortality and increased human capital development for workers otherwise unable to work due to ill-health, meaning a policy often framed as hurting the economy could increase long-run economic growth. </w:t>
      </w:r>
      <w:r w:rsidR="00F07AAC">
        <w:t xml:space="preserve">The negative can answer this directly with case turns, such as saying universal healthcare results in the rationing of care and increased wait times that results in a net decrease in the quality of healthcare. However, negative economic contentions have an interactive effect on affirmative public health contentions: for instance, a worse economy could negatively impact social determinants of health, meaning </w:t>
      </w:r>
      <w:r w:rsidR="00F07AAC">
        <w:t>in a round-about way</w:t>
      </w:r>
      <w:r w:rsidR="00F07AAC">
        <w:t xml:space="preserve"> the affirmative is harming </w:t>
      </w:r>
      <w:r w:rsidR="00F07AAC">
        <w:t xml:space="preserve">public </w:t>
      </w:r>
      <w:r w:rsidR="00F07AAC">
        <w:t>health. Economy-health debates become more complicated in the context of fiscal policy. P</w:t>
      </w:r>
      <w:r w:rsidR="00F07AAC">
        <w:t>er Keynesian economics,</w:t>
      </w:r>
      <w:r w:rsidR="00F07AAC">
        <w:t xml:space="preserve"> i</w:t>
      </w:r>
      <w:r>
        <w:t xml:space="preserve">f the economy is in a slump, </w:t>
      </w:r>
      <w:r w:rsidR="00F07AAC">
        <w:t xml:space="preserve">increased </w:t>
      </w:r>
      <w:r>
        <w:t xml:space="preserve">government </w:t>
      </w:r>
      <w:r w:rsidR="00F07AAC">
        <w:t xml:space="preserve">investment in the economy can quicken </w:t>
      </w:r>
      <w:r w:rsidR="00F07AAC">
        <w:t>an economic recovery</w:t>
      </w:r>
      <w:r w:rsidR="00F07AAC">
        <w:t xml:space="preserve"> via </w:t>
      </w:r>
      <w:r>
        <w:t>supplement</w:t>
      </w:r>
      <w:r w:rsidR="00F07AAC">
        <w:t xml:space="preserve">ing individual incomes and increasing aggregate demand. However, this logic does not occur in the context of high inflation and high debt-to-GDP ratios, wherein the increase in government investment could increase inflation and make it harder for the government to pay interest on the national debt, harming an economy financially </w:t>
      </w:r>
      <w:proofErr w:type="gramStart"/>
      <w:r w:rsidR="00F07AAC">
        <w:t>in an attempt to</w:t>
      </w:r>
      <w:proofErr w:type="gramEnd"/>
      <w:r w:rsidR="00F07AAC">
        <w:t xml:space="preserve"> improve the economy.</w:t>
      </w:r>
      <w:r w:rsidR="00C857F2">
        <w:t xml:space="preserve"> The financialized economic harms both put pressure on social determinants of health as described earlier as well as encourage the government to cut social spending with austerity, threatening fiscal sustainability of the affirmative’s healthcare program.</w:t>
      </w:r>
      <w:r w:rsidR="00F07AAC">
        <w:t xml:space="preserve"> </w:t>
      </w:r>
    </w:p>
    <w:p w14:paraId="5C7C4699" w14:textId="47FA819C" w:rsidR="002134C6" w:rsidRDefault="00C857F2" w:rsidP="00D05211">
      <w:pPr>
        <w:spacing w:line="480" w:lineRule="auto"/>
        <w:ind w:firstLine="720"/>
      </w:pPr>
      <w:proofErr w:type="gramStart"/>
      <w:r>
        <w:t>In all likelihood</w:t>
      </w:r>
      <w:proofErr w:type="gramEnd"/>
      <w:r>
        <w:t>, th</w:t>
      </w:r>
      <w:r w:rsidR="00322E7C">
        <w:t xml:space="preserve">e above discussion on the effects of the </w:t>
      </w:r>
      <w:r>
        <w:t>e</w:t>
      </w:r>
      <w:r>
        <w:t>conomy</w:t>
      </w:r>
      <w:r w:rsidR="00322E7C">
        <w:t xml:space="preserve"> on </w:t>
      </w:r>
      <w:r>
        <w:t>health</w:t>
      </w:r>
      <w:r w:rsidR="00322E7C">
        <w:t xml:space="preserve">, and vice versa, substantially increases the </w:t>
      </w:r>
      <w:r>
        <w:t>complex</w:t>
      </w:r>
      <w:r w:rsidR="00322E7C">
        <w:t>ity of the topic. However, because</w:t>
      </w:r>
      <w:r>
        <w:t xml:space="preserve"> of the fact healthcare is an in-depth topic</w:t>
      </w:r>
      <w:r w:rsidR="00322E7C">
        <w:t xml:space="preserve">, it is worthwhile </w:t>
      </w:r>
      <w:r w:rsidR="002134C6">
        <w:t>avoiding</w:t>
      </w:r>
      <w:r w:rsidR="00322E7C">
        <w:t xml:space="preserve"> </w:t>
      </w:r>
      <w:r w:rsidR="002134C6">
        <w:t xml:space="preserve">the </w:t>
      </w:r>
      <w:r w:rsidR="00322E7C">
        <w:t>oversimplif</w:t>
      </w:r>
      <w:r w:rsidR="002134C6">
        <w:t>ication of</w:t>
      </w:r>
      <w:r w:rsidR="00322E7C">
        <w:t xml:space="preserve"> the health debate by ignoring the potential </w:t>
      </w:r>
      <w:r w:rsidR="002134C6" w:rsidRPr="002134C6">
        <w:t xml:space="preserve">virtuous </w:t>
      </w:r>
      <w:r w:rsidR="00322E7C">
        <w:t xml:space="preserve">or vicious </w:t>
      </w:r>
      <w:r w:rsidR="002134C6">
        <w:t xml:space="preserve">cycle </w:t>
      </w:r>
      <w:r w:rsidR="00322E7C">
        <w:t xml:space="preserve">effects of one area on another. </w:t>
      </w:r>
      <w:r w:rsidR="002134C6">
        <w:t xml:space="preserve">However, do remember that </w:t>
      </w:r>
      <w:r w:rsidR="00322E7C" w:rsidRPr="00DD2D90">
        <w:t xml:space="preserve">even if something </w:t>
      </w:r>
      <w:r w:rsidR="002134C6">
        <w:t xml:space="preserve">seems bad </w:t>
      </w:r>
      <w:r w:rsidR="00322E7C" w:rsidRPr="00DD2D90">
        <w:t>per</w:t>
      </w:r>
      <w:r w:rsidR="002134C6">
        <w:t xml:space="preserve"> abstract theory or debate cross-applications, </w:t>
      </w:r>
      <w:r w:rsidR="00322E7C" w:rsidRPr="00DD2D90">
        <w:t xml:space="preserve">empirical studies </w:t>
      </w:r>
      <w:r w:rsidR="002134C6">
        <w:t>take priority over the theory because real-life effects ought to show whether a policy had a positive or negative effect. For decades, studies on healthcare routinely have found better health outcomes for countries with universal healthcare; this means that even if the social determinants of health or austerity arguments are true, their effects do not outweigh the larger benefits of a stronger healthcare system. Additionally, most methods course teach researchers to control for the effects of economic growth: arguments like “the economy turns health” are nonsensical if the affirmative studies already controlled for the health effects of an economic contraction. The bottom-line is that the interactive effects of these impacts are important</w:t>
      </w:r>
      <w:r w:rsidR="0071158B">
        <w:t xml:space="preserve"> and increase the demands on you to know how different impacts interact with each other; however, this demand is dampened by the fact that studies on the real-life effects already did this work for you.</w:t>
      </w:r>
    </w:p>
    <w:p w14:paraId="3F5E72BB" w14:textId="639AAC96" w:rsidR="00F84F6E" w:rsidRPr="00DD2D90" w:rsidRDefault="0071158B" w:rsidP="00D05211">
      <w:pPr>
        <w:spacing w:line="480" w:lineRule="auto"/>
        <w:ind w:firstLine="720"/>
      </w:pPr>
      <w:r>
        <w:t>Similarly to the interactive effects, different issue areas in the topic may seem isolated and distinct; however, there’s great c</w:t>
      </w:r>
      <w:r w:rsidR="00C857F2">
        <w:t>ross-applica</w:t>
      </w:r>
      <w:r>
        <w:t xml:space="preserve">bility between things like abstract political economic theory and the effects of implementation. For instance, via learning Marxist commodity theory, you can </w:t>
      </w:r>
      <w:r w:rsidRPr="00DD2D90">
        <w:t>differentiate</w:t>
      </w:r>
      <w:r>
        <w:t xml:space="preserve"> </w:t>
      </w:r>
      <w:proofErr w:type="gramStart"/>
      <w:r w:rsidRPr="00DD2D90">
        <w:t>exchange</w:t>
      </w:r>
      <w:r>
        <w:t>-value</w:t>
      </w:r>
      <w:proofErr w:type="gramEnd"/>
      <w:r>
        <w:t xml:space="preserve"> and</w:t>
      </w:r>
      <w:r w:rsidRPr="00DD2D90">
        <w:t xml:space="preserve"> </w:t>
      </w:r>
      <w:proofErr w:type="gramStart"/>
      <w:r w:rsidRPr="00DD2D90">
        <w:t>use</w:t>
      </w:r>
      <w:r>
        <w:t>-</w:t>
      </w:r>
      <w:r w:rsidRPr="00DD2D90">
        <w:t>value</w:t>
      </w:r>
      <w:proofErr w:type="gramEnd"/>
      <w:r>
        <w:t xml:space="preserve">, which could be valuable outside political theory in discussions of an </w:t>
      </w:r>
      <w:proofErr w:type="spellStart"/>
      <w:r>
        <w:t>economics</w:t>
      </w:r>
      <w:proofErr w:type="spellEnd"/>
      <w:r>
        <w:t xml:space="preserve"> disadvantage. From a health perspective, </w:t>
      </w:r>
      <w:proofErr w:type="gramStart"/>
      <w:r>
        <w:t>use-value</w:t>
      </w:r>
      <w:proofErr w:type="gramEnd"/>
      <w:r>
        <w:t xml:space="preserve"> means better meeting real-life needs and not pricing things based on speculative </w:t>
      </w:r>
      <w:proofErr w:type="gramStart"/>
      <w:r>
        <w:t>exchange-value</w:t>
      </w:r>
      <w:proofErr w:type="gramEnd"/>
      <w:r>
        <w:t xml:space="preserve"> in a market. Value is different for buyers and sellers in a market (exchange-value) compared to people with important unmet needs that cannot access the market (use-value). If an economics disadvantage says that universal healthcare decreases economic growth, use-value asks us why </w:t>
      </w:r>
      <w:proofErr w:type="gramStart"/>
      <w:r>
        <w:t>should we</w:t>
      </w:r>
      <w:proofErr w:type="gramEnd"/>
      <w:r>
        <w:t xml:space="preserve"> care about economic growth, as </w:t>
      </w:r>
      <w:r w:rsidR="00B84817">
        <w:t>it’s</w:t>
      </w:r>
      <w:r>
        <w:t xml:space="preserve"> premised in </w:t>
      </w:r>
      <w:r w:rsidR="00B84817">
        <w:t>unrepresentative</w:t>
      </w:r>
      <w:r>
        <w:t xml:space="preserve"> numbers and exchange-value unrelated to the </w:t>
      </w:r>
      <w:proofErr w:type="gramStart"/>
      <w:r>
        <w:t>actuals</w:t>
      </w:r>
      <w:proofErr w:type="gramEnd"/>
      <w:r>
        <w:t xml:space="preserve"> needs of society. </w:t>
      </w:r>
      <w:r w:rsidR="00B84817">
        <w:t xml:space="preserve">The economics might be accurate, but if we question the premise that those economic indicators measure the true health of an economy, it makes the contention </w:t>
      </w:r>
      <w:proofErr w:type="gramStart"/>
      <w:r w:rsidR="00B84817">
        <w:t>shakier</w:t>
      </w:r>
      <w:proofErr w:type="gramEnd"/>
      <w:r w:rsidR="00B84817">
        <w:t xml:space="preserve">. </w:t>
      </w:r>
    </w:p>
    <w:p w14:paraId="1375017D" w14:textId="0D52CB7C" w:rsidR="00B84817" w:rsidRPr="00DD2D90" w:rsidRDefault="00B84817" w:rsidP="00D05211">
      <w:pPr>
        <w:spacing w:line="480" w:lineRule="auto"/>
      </w:pPr>
      <w:r>
        <w:tab/>
        <w:t>Unluckily for everyone debating</w:t>
      </w:r>
      <w:r>
        <w:tab/>
        <w:t xml:space="preserve">this (as well as for everyone </w:t>
      </w:r>
      <w:proofErr w:type="gramStart"/>
      <w:r>
        <w:t>actually effected</w:t>
      </w:r>
      <w:proofErr w:type="gramEnd"/>
      <w:r>
        <w:t xml:space="preserve"> by these trends), </w:t>
      </w:r>
      <w:r w:rsidRPr="00DD2D90">
        <w:t>current events</w:t>
      </w:r>
      <w:r>
        <w:t xml:space="preserve"> also substantially increase the complexity of this topic. The federal g</w:t>
      </w:r>
      <w:r w:rsidRPr="00DD2D90">
        <w:t>ov</w:t>
      </w:r>
      <w:r>
        <w:t>ernment</w:t>
      </w:r>
      <w:r w:rsidRPr="00DD2D90">
        <w:t xml:space="preserve"> shutdown </w:t>
      </w:r>
      <w:r>
        <w:t xml:space="preserve">in </w:t>
      </w:r>
      <w:r w:rsidRPr="00DD2D90">
        <w:t>2025</w:t>
      </w:r>
      <w:r>
        <w:t xml:space="preserve"> over healthcare, and cuts to healthcare subsidies are causing skyrocketing premiums for those covered by the ACA. </w:t>
      </w:r>
      <w:r>
        <w:t>Luigi Mangione has shown the increasing popularity of anti-capitalist theory via his social media admiration after killing a healthcare CEO, showcasing mass popular discontent with the status quo healthcare system.</w:t>
      </w:r>
      <w:r>
        <w:t xml:space="preserve"> Due to the trade war and the war in Iran, the economy is suffering </w:t>
      </w:r>
      <w:r w:rsidRPr="00DD2D90">
        <w:t>near total labor market collapse</w:t>
      </w:r>
      <w:r>
        <w:t xml:space="preserve"> outside the healthcare </w:t>
      </w:r>
      <w:r w:rsidR="00E46597">
        <w:t>sector,</w:t>
      </w:r>
      <w:r>
        <w:t xml:space="preserve"> and the Federal Reserve is increasingly concerned by stagflation, meaning increased spending could make the economy even worse.</w:t>
      </w:r>
      <w:r w:rsidR="00E46597">
        <w:t xml:space="preserve"> Concurrently, there’s a c</w:t>
      </w:r>
      <w:r w:rsidR="00E46597" w:rsidRPr="00DD2D90">
        <w:t>ompetence crisis</w:t>
      </w:r>
      <w:r w:rsidR="00E46597">
        <w:t xml:space="preserve"> in the federal government as Project 2025 has replaced experts with loyalists, and there’s increasingly credible concerns of American </w:t>
      </w:r>
      <w:r w:rsidR="00E46597" w:rsidRPr="00DD2D90">
        <w:t>authoritarianism</w:t>
      </w:r>
      <w:r w:rsidR="00E46597">
        <w:t xml:space="preserve">, especially in the context of </w:t>
      </w:r>
      <w:r w:rsidR="00E46597" w:rsidRPr="00DD2D90">
        <w:t>consolidating</w:t>
      </w:r>
      <w:r w:rsidR="00E46597">
        <w:t xml:space="preserve"> healthcare</w:t>
      </w:r>
      <w:r w:rsidR="00E46597" w:rsidRPr="00DD2D90">
        <w:t xml:space="preserve"> data</w:t>
      </w:r>
      <w:r w:rsidR="00E46597">
        <w:t xml:space="preserve"> (as was attempted by DOGE).</w:t>
      </w:r>
    </w:p>
    <w:p w14:paraId="112820A7" w14:textId="6E9C0091" w:rsidR="008A2CB2" w:rsidRPr="00DD2D90" w:rsidRDefault="00B84817" w:rsidP="00D05211">
      <w:pPr>
        <w:spacing w:line="480" w:lineRule="auto"/>
      </w:pPr>
      <w:r>
        <w:tab/>
        <w:t xml:space="preserve">All these factors are a lot to keep in mind, and it is easy to be </w:t>
      </w:r>
      <w:r w:rsidRPr="00DD2D90">
        <w:t>overwhelmed</w:t>
      </w:r>
      <w:r>
        <w:t xml:space="preserve">, especially in a debate round. However, remember that irrespective of all the nitty-gritty details and the feedback loops caused by one thing </w:t>
      </w:r>
      <w:r w:rsidR="00E46597">
        <w:t>affecting</w:t>
      </w:r>
      <w:r>
        <w:t xml:space="preserve"> another, all that can matter are those broader impacts of health, economy, and (bio)ethics</w:t>
      </w:r>
      <w:r w:rsidR="00E46597">
        <w:t xml:space="preserve">. Strong framework debating also means you can avoid a great deal, but not </w:t>
      </w:r>
      <w:proofErr w:type="gramStart"/>
      <w:r w:rsidR="00E46597">
        <w:t>all of</w:t>
      </w:r>
      <w:proofErr w:type="gramEnd"/>
      <w:r w:rsidR="00E46597">
        <w:t xml:space="preserve"> the interactive effect/cross-application nonsense described above, as framework finds a subset of the topic you want to debate and allows you to focus your energies on just that subset.</w:t>
      </w:r>
    </w:p>
    <w:p w14:paraId="32A50166" w14:textId="10C4BCDB" w:rsidR="00022D36" w:rsidRDefault="00022D36" w:rsidP="00022D36">
      <w:pPr>
        <w:pStyle w:val="Heading4"/>
        <w:numPr>
          <w:ilvl w:val="2"/>
          <w:numId w:val="19"/>
        </w:numPr>
        <w:rPr>
          <w:szCs w:val="26"/>
        </w:rPr>
      </w:pPr>
      <w:r w:rsidRPr="00D05211">
        <w:rPr>
          <w:szCs w:val="26"/>
        </w:rPr>
        <w:t>What is Healthcare?</w:t>
      </w:r>
    </w:p>
    <w:p w14:paraId="146B3163" w14:textId="73709F38" w:rsidR="00D05211" w:rsidRPr="009278EB" w:rsidRDefault="00D05211" w:rsidP="00D05211">
      <w:pPr>
        <w:pStyle w:val="Heading4"/>
        <w:rPr>
          <w:szCs w:val="26"/>
        </w:rPr>
      </w:pPr>
      <w:r>
        <w:rPr>
          <w:szCs w:val="26"/>
        </w:rPr>
        <w:t xml:space="preserve">The </w:t>
      </w:r>
      <w:r w:rsidRPr="009278EB">
        <w:rPr>
          <w:szCs w:val="26"/>
        </w:rPr>
        <w:t xml:space="preserve">US healthcare </w:t>
      </w:r>
      <w:r>
        <w:rPr>
          <w:szCs w:val="26"/>
        </w:rPr>
        <w:t xml:space="preserve">system of employer-sponsored insurance was not designed, but was an accident of WWII </w:t>
      </w:r>
    </w:p>
    <w:p w14:paraId="6F52650D" w14:textId="77777777" w:rsidR="00D05211" w:rsidRPr="00DD2D90" w:rsidRDefault="00D05211" w:rsidP="00D05211">
      <w:r w:rsidRPr="009278EB">
        <w:rPr>
          <w:rStyle w:val="Heading4Char"/>
          <w:szCs w:val="26"/>
        </w:rPr>
        <w:t>Carroll 17</w:t>
      </w:r>
      <w:r w:rsidRPr="00DD2D90">
        <w:t xml:space="preserve"> [Aaron E. Carroll, chief health officer for and a distinguished professor of pediatrics at Indiana University, 9-5-2017, "The Real Reason the U.S. Has Employer-Sponsored Health Insurance,” NYT, https://www.nytimes.com/2017/09/05/upshot/the-real-reason-the-us-has-employer-sponsored-health-insurance.html]/Kankee </w:t>
      </w:r>
    </w:p>
    <w:p w14:paraId="46FB8581" w14:textId="77777777" w:rsidR="00D05211" w:rsidRPr="009C4A5A" w:rsidRDefault="00D05211" w:rsidP="00D05211">
      <w:pPr>
        <w:pBdr>
          <w:bottom w:val="single" w:sz="6" w:space="1" w:color="auto"/>
        </w:pBdr>
        <w:rPr>
          <w:sz w:val="16"/>
        </w:rPr>
      </w:pPr>
      <w:r w:rsidRPr="009C4A5A">
        <w:rPr>
          <w:sz w:val="16"/>
        </w:rPr>
        <w:t xml:space="preserve">The basic structure of </w:t>
      </w:r>
      <w:r w:rsidRPr="00DD2D90">
        <w:rPr>
          <w:rStyle w:val="StyleUnderline"/>
        </w:rPr>
        <w:t>the American health care system</w:t>
      </w:r>
      <w:r w:rsidRPr="009C4A5A">
        <w:rPr>
          <w:sz w:val="16"/>
        </w:rPr>
        <w:t xml:space="preserve">, in which most people have private insurance through their jobs, might seem historically inevitable, consistent with the capitalistic, individualist ethos of the nation. In truth, it was hardly preordained. In fact, the system </w:t>
      </w:r>
      <w:r w:rsidRPr="00DD2D90">
        <w:rPr>
          <w:rStyle w:val="StyleUnderline"/>
        </w:rPr>
        <w:t>is largely a result of</w:t>
      </w:r>
      <w:r w:rsidRPr="009C4A5A">
        <w:rPr>
          <w:sz w:val="16"/>
        </w:rPr>
        <w:t xml:space="preserve"> one event, </w:t>
      </w:r>
      <w:r w:rsidRPr="00DD2D90">
        <w:rPr>
          <w:rStyle w:val="StyleUnderline"/>
        </w:rPr>
        <w:t>World War II</w:t>
      </w:r>
      <w:r w:rsidRPr="009C4A5A">
        <w:rPr>
          <w:sz w:val="16"/>
        </w:rPr>
        <w:t xml:space="preserve">, and the </w:t>
      </w:r>
      <w:r w:rsidRPr="00DD2D90">
        <w:rPr>
          <w:rStyle w:val="StyleUnderline"/>
        </w:rPr>
        <w:t xml:space="preserve">wage </w:t>
      </w:r>
      <w:proofErr w:type="gramStart"/>
      <w:r w:rsidRPr="00DD2D90">
        <w:rPr>
          <w:rStyle w:val="StyleUnderline"/>
        </w:rPr>
        <w:t>freezes</w:t>
      </w:r>
      <w:proofErr w:type="gramEnd"/>
      <w:r w:rsidRPr="00DD2D90">
        <w:rPr>
          <w:rStyle w:val="StyleUnderline"/>
        </w:rPr>
        <w:t xml:space="preserve"> and tax policy</w:t>
      </w:r>
      <w:r w:rsidRPr="009C4A5A">
        <w:rPr>
          <w:sz w:val="16"/>
        </w:rPr>
        <w:t xml:space="preserve"> that emerged because of it. Unfortunately, what made sense then may not make as much right now. Well into the 20th century, there just wasn’t much need for health insurance. There wasn’t much health care to buy. But as doctors and hospitals learned how to do more, there was real money to be made. </w:t>
      </w:r>
      <w:r w:rsidRPr="00DD2D90">
        <w:rPr>
          <w:rStyle w:val="StyleUnderline"/>
        </w:rPr>
        <w:t>In 1929</w:t>
      </w:r>
      <w:r w:rsidRPr="009C4A5A">
        <w:rPr>
          <w:sz w:val="16"/>
        </w:rPr>
        <w:t xml:space="preserve">, a bunch of </w:t>
      </w:r>
      <w:r w:rsidRPr="00DD2D90">
        <w:rPr>
          <w:rStyle w:val="StyleUnderline"/>
        </w:rPr>
        <w:t>hospitals in Texas</w:t>
      </w:r>
      <w:r w:rsidRPr="009C4A5A">
        <w:rPr>
          <w:sz w:val="16"/>
        </w:rPr>
        <w:t xml:space="preserve"> joined up and </w:t>
      </w:r>
      <w:r w:rsidRPr="00DD2D90">
        <w:rPr>
          <w:rStyle w:val="StyleUnderline"/>
        </w:rPr>
        <w:t>formed an insurance plan called Blue</w:t>
      </w:r>
      <w:r w:rsidRPr="009C4A5A">
        <w:rPr>
          <w:sz w:val="16"/>
        </w:rPr>
        <w:t xml:space="preserve"> </w:t>
      </w:r>
      <w:r w:rsidRPr="00DD2D90">
        <w:rPr>
          <w:rStyle w:val="StyleUnderline"/>
        </w:rPr>
        <w:t>Cross to help people buy their services</w:t>
      </w:r>
      <w:r w:rsidRPr="009C4A5A">
        <w:rPr>
          <w:sz w:val="16"/>
        </w:rPr>
        <w:t xml:space="preserve">. </w:t>
      </w:r>
      <w:r w:rsidRPr="00DD2D90">
        <w:rPr>
          <w:rStyle w:val="StyleUnderline"/>
        </w:rPr>
        <w:t>Doctors didn’t like the idea of hospitals being in charge</w:t>
      </w:r>
      <w:r w:rsidRPr="009C4A5A">
        <w:rPr>
          <w:sz w:val="16"/>
        </w:rPr>
        <w:t xml:space="preserve">, </w:t>
      </w:r>
      <w:r w:rsidRPr="00DD2D90">
        <w:rPr>
          <w:rStyle w:val="StyleUnderline"/>
        </w:rPr>
        <w:t>so some in California created their own plan in 1939</w:t>
      </w:r>
      <w:r w:rsidRPr="009C4A5A">
        <w:rPr>
          <w:sz w:val="16"/>
        </w:rPr>
        <w:t xml:space="preserve">, which they called Blue Shield. </w:t>
      </w:r>
      <w:r w:rsidRPr="00DD2D90">
        <w:rPr>
          <w:rStyle w:val="StyleUnderline"/>
        </w:rPr>
        <w:t xml:space="preserve">As </w:t>
      </w:r>
      <w:r w:rsidRPr="009C4A5A">
        <w:rPr>
          <w:sz w:val="16"/>
        </w:rPr>
        <w:t>the</w:t>
      </w:r>
      <w:r w:rsidRPr="00DD2D90">
        <w:rPr>
          <w:rStyle w:val="StyleUnderline"/>
        </w:rPr>
        <w:t xml:space="preserve"> plans spread</w:t>
      </w:r>
      <w:r w:rsidRPr="009C4A5A">
        <w:rPr>
          <w:sz w:val="16"/>
        </w:rPr>
        <w:t xml:space="preserve">, </w:t>
      </w:r>
      <w:r w:rsidRPr="00DD2D90">
        <w:rPr>
          <w:rStyle w:val="StyleUnderline"/>
        </w:rPr>
        <w:t>many would purchase Blue Cross for hospital</w:t>
      </w:r>
      <w:r w:rsidRPr="009C4A5A">
        <w:rPr>
          <w:sz w:val="16"/>
        </w:rPr>
        <w:t xml:space="preserve"> </w:t>
      </w:r>
      <w:r w:rsidRPr="00DD2D90">
        <w:rPr>
          <w:rStyle w:val="StyleUnderline"/>
        </w:rPr>
        <w:t>services</w:t>
      </w:r>
      <w:r w:rsidRPr="009C4A5A">
        <w:rPr>
          <w:sz w:val="16"/>
        </w:rPr>
        <w:t xml:space="preserve">, and Blue Shield for physician services, until they merged to form Blue Cross and Blue Shield in 1982. </w:t>
      </w:r>
      <w:r w:rsidRPr="00DD2D90">
        <w:rPr>
          <w:rStyle w:val="StyleUnderline"/>
        </w:rPr>
        <w:t>Most insurance in the first half of the 20th century was bought privately</w:t>
      </w:r>
      <w:r w:rsidRPr="009C4A5A">
        <w:rPr>
          <w:sz w:val="16"/>
        </w:rPr>
        <w:t xml:space="preserve">, but few people wanted it. Things changed during World War II. </w:t>
      </w:r>
      <w:r w:rsidRPr="00DD2D90">
        <w:rPr>
          <w:rStyle w:val="StyleUnderline"/>
        </w:rPr>
        <w:t>In 1942</w:t>
      </w:r>
      <w:r w:rsidRPr="009C4A5A">
        <w:rPr>
          <w:sz w:val="16"/>
        </w:rPr>
        <w:t xml:space="preserve">, </w:t>
      </w:r>
      <w:r w:rsidRPr="00DD2D90">
        <w:rPr>
          <w:rStyle w:val="StyleUnderline"/>
        </w:rPr>
        <w:t>with so many eligible workers diverted to military service</w:t>
      </w:r>
      <w:r w:rsidRPr="009C4A5A">
        <w:rPr>
          <w:sz w:val="16"/>
        </w:rPr>
        <w:t xml:space="preserve">, </w:t>
      </w:r>
      <w:r w:rsidRPr="00DD2D90">
        <w:rPr>
          <w:rStyle w:val="StyleUnderline"/>
        </w:rPr>
        <w:t xml:space="preserve">the nation was facing a severe </w:t>
      </w:r>
      <w:r w:rsidRPr="00DD2D90">
        <w:rPr>
          <w:rStyle w:val="Emphasis"/>
        </w:rPr>
        <w:t>labor shortage</w:t>
      </w:r>
      <w:r w:rsidRPr="009C4A5A">
        <w:rPr>
          <w:sz w:val="16"/>
        </w:rPr>
        <w:t xml:space="preserve">. </w:t>
      </w:r>
      <w:r w:rsidRPr="00DD2D90">
        <w:rPr>
          <w:rStyle w:val="StyleUnderline"/>
        </w:rPr>
        <w:t>Economists feared that businesses would keep raising salaries to compete for workers</w:t>
      </w:r>
      <w:r w:rsidRPr="009C4A5A">
        <w:rPr>
          <w:sz w:val="16"/>
        </w:rPr>
        <w:t xml:space="preserve">, </w:t>
      </w:r>
      <w:r w:rsidRPr="00DD2D90">
        <w:rPr>
          <w:rStyle w:val="StyleUnderline"/>
        </w:rPr>
        <w:t>and</w:t>
      </w:r>
      <w:r w:rsidRPr="009C4A5A">
        <w:rPr>
          <w:sz w:val="16"/>
        </w:rPr>
        <w:t xml:space="preserve"> that infla</w:t>
      </w:r>
      <w:r w:rsidRPr="00DD2D90">
        <w:rPr>
          <w:rStyle w:val="StyleUnderline"/>
        </w:rPr>
        <w:t>tion would spiral out of control as the country came out of the Depression</w:t>
      </w:r>
      <w:r w:rsidRPr="009C4A5A">
        <w:rPr>
          <w:sz w:val="16"/>
        </w:rPr>
        <w:t xml:space="preserve">. To prevent this, President </w:t>
      </w:r>
      <w:r w:rsidRPr="00DD2D90">
        <w:rPr>
          <w:rStyle w:val="StyleUnderline"/>
        </w:rPr>
        <w:t>Roosevelt</w:t>
      </w:r>
      <w:r w:rsidRPr="009C4A5A">
        <w:rPr>
          <w:sz w:val="16"/>
        </w:rPr>
        <w:t xml:space="preserve"> signed Executive Order 9250, establishing the Office of Economic Stabilization. This </w:t>
      </w:r>
      <w:r w:rsidRPr="00DD2D90">
        <w:rPr>
          <w:rStyle w:val="StyleUnderline"/>
        </w:rPr>
        <w:t>froze</w:t>
      </w:r>
      <w:r w:rsidRPr="009C4A5A">
        <w:rPr>
          <w:sz w:val="16"/>
        </w:rPr>
        <w:t xml:space="preserve"> </w:t>
      </w:r>
      <w:r w:rsidRPr="00DD2D90">
        <w:rPr>
          <w:rStyle w:val="StyleUnderline"/>
        </w:rPr>
        <w:t>wages</w:t>
      </w:r>
      <w:r w:rsidRPr="009C4A5A">
        <w:rPr>
          <w:sz w:val="16"/>
        </w:rPr>
        <w:t xml:space="preserve">. </w:t>
      </w:r>
      <w:r w:rsidRPr="00DD2D90">
        <w:rPr>
          <w:rStyle w:val="StyleUnderline"/>
        </w:rPr>
        <w:t>Businesses were not allowed to raise pay to attract workers</w:t>
      </w:r>
      <w:r w:rsidRPr="009C4A5A">
        <w:rPr>
          <w:sz w:val="16"/>
        </w:rPr>
        <w:t xml:space="preserve">. </w:t>
      </w:r>
      <w:r w:rsidRPr="00DD2D90">
        <w:rPr>
          <w:rStyle w:val="StyleUnderline"/>
        </w:rPr>
        <w:t>Businesses</w:t>
      </w:r>
      <w:r w:rsidRPr="009C4A5A">
        <w:rPr>
          <w:sz w:val="16"/>
        </w:rPr>
        <w:t xml:space="preserve"> were smart, though, and instead they </w:t>
      </w:r>
      <w:r w:rsidRPr="00DD2D90">
        <w:rPr>
          <w:rStyle w:val="StyleUnderline"/>
        </w:rPr>
        <w:t>began to use benefits to compete</w:t>
      </w:r>
      <w:r w:rsidRPr="009C4A5A">
        <w:rPr>
          <w:sz w:val="16"/>
        </w:rPr>
        <w:t xml:space="preserve">. </w:t>
      </w:r>
      <w:r w:rsidRPr="00DD2D90">
        <w:rPr>
          <w:rStyle w:val="StyleUnderline"/>
        </w:rPr>
        <w:t>Specifically</w:t>
      </w:r>
      <w:r w:rsidRPr="009C4A5A">
        <w:rPr>
          <w:sz w:val="16"/>
        </w:rPr>
        <w:t xml:space="preserve">, </w:t>
      </w:r>
      <w:r w:rsidRPr="00DD2D90">
        <w:rPr>
          <w:rStyle w:val="StyleUnderline"/>
        </w:rPr>
        <w:t>to offer more</w:t>
      </w:r>
      <w:r w:rsidRPr="009C4A5A">
        <w:rPr>
          <w:sz w:val="16"/>
        </w:rPr>
        <w:t xml:space="preserve">, and more </w:t>
      </w:r>
      <w:r w:rsidRPr="00DD2D90">
        <w:rPr>
          <w:rStyle w:val="StyleUnderline"/>
        </w:rPr>
        <w:t>generous</w:t>
      </w:r>
      <w:r w:rsidRPr="009C4A5A">
        <w:rPr>
          <w:sz w:val="16"/>
        </w:rPr>
        <w:t xml:space="preserve">, </w:t>
      </w:r>
      <w:r w:rsidRPr="00DD2D90">
        <w:rPr>
          <w:rStyle w:val="StyleUnderline"/>
        </w:rPr>
        <w:t>health care insurance.</w:t>
      </w:r>
      <w:r w:rsidRPr="009C4A5A">
        <w:rPr>
          <w:sz w:val="16"/>
        </w:rPr>
        <w:t xml:space="preserve"> Then, </w:t>
      </w:r>
      <w:r w:rsidRPr="00DD2D90">
        <w:rPr>
          <w:rStyle w:val="StyleUnderline"/>
        </w:rPr>
        <w:t>in 1943</w:t>
      </w:r>
      <w:r w:rsidRPr="009C4A5A">
        <w:rPr>
          <w:sz w:val="16"/>
        </w:rPr>
        <w:t xml:space="preserve">, </w:t>
      </w:r>
      <w:r w:rsidRPr="00DD2D90">
        <w:rPr>
          <w:rStyle w:val="StyleUnderline"/>
        </w:rPr>
        <w:t>the Internal Revenue Service decided that employer-based health insurance should be exempt from taxation</w:t>
      </w:r>
      <w:r w:rsidRPr="009C4A5A">
        <w:rPr>
          <w:sz w:val="16"/>
        </w:rPr>
        <w:t xml:space="preserve">. </w:t>
      </w:r>
      <w:r w:rsidRPr="00DD2D90">
        <w:rPr>
          <w:rStyle w:val="StyleUnderline"/>
        </w:rPr>
        <w:t>This made it cheaper to get health insurance through a job than by other means</w:t>
      </w:r>
      <w:r w:rsidRPr="009C4A5A">
        <w:rPr>
          <w:sz w:val="16"/>
        </w:rPr>
        <w:t xml:space="preserve">. After World War II, Europe was devastated. As countries began to regroup and decide how they might provide health care to their citizens, often government was the only entity capable of doing so, with businesses and economies in ruin. The United States was in a completely different situation. Its economy was booming, and industry was more than happy to provide health care. This didn’t stop President Truman from considering and promoting a national health care system in 1945. This idea had a fair amount of public support, but business, in the form of the Chamber of Commerce, opposed it. So did the American Hospital Association and American Medical Association. Even many unions did, having spent so much political capital fighting for insurance benefits for their members. Confronted by such opposition from all sides, national health insurance failed — for not the first or last time. </w:t>
      </w:r>
      <w:r w:rsidRPr="00DD2D90">
        <w:rPr>
          <w:rStyle w:val="StyleUnderline"/>
        </w:rPr>
        <w:t>In 1940</w:t>
      </w:r>
      <w:r w:rsidRPr="009C4A5A">
        <w:rPr>
          <w:sz w:val="16"/>
        </w:rPr>
        <w:t xml:space="preserve">, </w:t>
      </w:r>
      <w:r w:rsidRPr="00DD2D90">
        <w:rPr>
          <w:rStyle w:val="StyleUnderline"/>
        </w:rPr>
        <w:t>about 9 percent of Americans had</w:t>
      </w:r>
      <w:r w:rsidRPr="009C4A5A">
        <w:rPr>
          <w:sz w:val="16"/>
        </w:rPr>
        <w:t xml:space="preserve"> some form of </w:t>
      </w:r>
      <w:r w:rsidRPr="00DD2D90">
        <w:rPr>
          <w:rStyle w:val="StyleUnderline"/>
        </w:rPr>
        <w:t>health insurance</w:t>
      </w:r>
      <w:r w:rsidRPr="009C4A5A">
        <w:rPr>
          <w:sz w:val="16"/>
        </w:rPr>
        <w:t xml:space="preserve">. </w:t>
      </w:r>
      <w:r w:rsidRPr="00DD2D90">
        <w:rPr>
          <w:rStyle w:val="StyleUnderline"/>
        </w:rPr>
        <w:t>By 1950</w:t>
      </w:r>
      <w:r w:rsidRPr="009C4A5A">
        <w:rPr>
          <w:sz w:val="16"/>
        </w:rPr>
        <w:t xml:space="preserve">, </w:t>
      </w:r>
      <w:r w:rsidRPr="00DD2D90">
        <w:rPr>
          <w:rStyle w:val="StyleUnderline"/>
        </w:rPr>
        <w:t>more than 50 percent</w:t>
      </w:r>
      <w:r w:rsidRPr="009C4A5A">
        <w:rPr>
          <w:sz w:val="16"/>
        </w:rPr>
        <w:t xml:space="preserve"> </w:t>
      </w:r>
      <w:r w:rsidRPr="00DD2D90">
        <w:rPr>
          <w:rStyle w:val="StyleUnderline"/>
        </w:rPr>
        <w:t>did</w:t>
      </w:r>
      <w:r w:rsidRPr="009C4A5A">
        <w:rPr>
          <w:sz w:val="16"/>
        </w:rPr>
        <w:t xml:space="preserve">. </w:t>
      </w:r>
      <w:r w:rsidRPr="00DD2D90">
        <w:rPr>
          <w:rStyle w:val="StyleUnderline"/>
        </w:rPr>
        <w:t>By 1960</w:t>
      </w:r>
      <w:r w:rsidRPr="009C4A5A">
        <w:rPr>
          <w:sz w:val="16"/>
        </w:rPr>
        <w:t xml:space="preserve">, </w:t>
      </w:r>
      <w:r w:rsidRPr="00DD2D90">
        <w:rPr>
          <w:rStyle w:val="StyleUnderline"/>
        </w:rPr>
        <w:t>more than two-thirds did</w:t>
      </w:r>
      <w:r w:rsidRPr="009C4A5A">
        <w:rPr>
          <w:sz w:val="16"/>
        </w:rPr>
        <w:t>. One effect of this system is job lock. People become dependent on their employment for their health insurance, and they are loath to leave their jobs, even when doing so might make their lives better. They are afraid that market exchange coverage might not be as good as what they have (and they’re most likely right). They’re afraid if they retire, Medicare won’t be as good (they’re right, too). They’re afraid that if the Affordable Care Act is repealed, they might not be able to find affordable insurance at all.</w:t>
      </w:r>
    </w:p>
    <w:p w14:paraId="77CEEF32" w14:textId="493DA265" w:rsidR="00D05211" w:rsidRPr="009278EB" w:rsidRDefault="001E39CA" w:rsidP="00D05211">
      <w:pPr>
        <w:pStyle w:val="Heading4"/>
        <w:rPr>
          <w:szCs w:val="26"/>
        </w:rPr>
      </w:pPr>
      <w:r>
        <w:rPr>
          <w:szCs w:val="26"/>
        </w:rPr>
        <w:t>Private insurance’s business model is based on their</w:t>
      </w:r>
      <w:r w:rsidR="00D05211" w:rsidRPr="009278EB">
        <w:rPr>
          <w:szCs w:val="26"/>
        </w:rPr>
        <w:t xml:space="preserve"> retained earnings ratio</w:t>
      </w:r>
      <w:r>
        <w:rPr>
          <w:szCs w:val="26"/>
        </w:rPr>
        <w:t xml:space="preserve"> They want to minimize reimbursements, maximize cost-sharing, and </w:t>
      </w:r>
      <w:proofErr w:type="gramStart"/>
      <w:r>
        <w:rPr>
          <w:szCs w:val="26"/>
        </w:rPr>
        <w:t>reducing</w:t>
      </w:r>
      <w:proofErr w:type="gramEnd"/>
      <w:r>
        <w:rPr>
          <w:szCs w:val="26"/>
        </w:rPr>
        <w:t xml:space="preserve"> utilization.</w:t>
      </w:r>
    </w:p>
    <w:p w14:paraId="58BB54D0" w14:textId="77777777" w:rsidR="00D05211" w:rsidRPr="00DD2D90" w:rsidRDefault="00D05211" w:rsidP="00D05211">
      <w:r w:rsidRPr="009278EB">
        <w:rPr>
          <w:b/>
          <w:bCs/>
          <w:sz w:val="26"/>
          <w:szCs w:val="26"/>
        </w:rPr>
        <w:t>BLS 26</w:t>
      </w:r>
      <w:r w:rsidRPr="00DD2D90">
        <w:t xml:space="preserve"> [Bureau of Labor Statistics, 2-13-2026, "How BLS Measures Price Change for Medical Care Services in the Consumer Price Index", https://www.bls.gov/cpi/factsheets/medical-care.htm]/Kankee</w:t>
      </w:r>
    </w:p>
    <w:p w14:paraId="366FBDBE" w14:textId="5C8BE8F6" w:rsidR="00D05211" w:rsidRPr="001E39CA" w:rsidRDefault="00D05211" w:rsidP="001E39CA">
      <w:r w:rsidRPr="00DD2D90">
        <w:rPr>
          <w:noProof/>
        </w:rPr>
        <w:drawing>
          <wp:inline distT="0" distB="0" distL="0" distR="0" wp14:anchorId="67DE15A7" wp14:editId="4DF1919E">
            <wp:extent cx="3715787" cy="2338529"/>
            <wp:effectExtent l="0" t="0" r="0" b="5080"/>
            <wp:docPr id="947871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71609" name=""/>
                    <pic:cNvPicPr/>
                  </pic:nvPicPr>
                  <pic:blipFill>
                    <a:blip r:embed="rId11"/>
                    <a:stretch>
                      <a:fillRect/>
                    </a:stretch>
                  </pic:blipFill>
                  <pic:spPr>
                    <a:xfrm>
                      <a:off x="0" y="0"/>
                      <a:ext cx="3722152" cy="2342535"/>
                    </a:xfrm>
                    <a:prstGeom prst="rect">
                      <a:avLst/>
                    </a:prstGeom>
                  </pic:spPr>
                </pic:pic>
              </a:graphicData>
            </a:graphic>
          </wp:inline>
        </w:drawing>
      </w:r>
    </w:p>
    <w:p w14:paraId="07445959" w14:textId="09950F11" w:rsidR="00E46597" w:rsidRPr="009278EB" w:rsidRDefault="00D05211" w:rsidP="00E46597">
      <w:pPr>
        <w:pStyle w:val="Heading4"/>
        <w:rPr>
          <w:szCs w:val="26"/>
        </w:rPr>
      </w:pPr>
      <w:r>
        <w:rPr>
          <w:szCs w:val="26"/>
        </w:rPr>
        <w:t xml:space="preserve">Proposals for replacing US healthcare include </w:t>
      </w:r>
      <w:r w:rsidR="00E46597" w:rsidRPr="009278EB">
        <w:rPr>
          <w:szCs w:val="26"/>
        </w:rPr>
        <w:t>NHS</w:t>
      </w:r>
      <w:r>
        <w:rPr>
          <w:szCs w:val="26"/>
        </w:rPr>
        <w:t xml:space="preserve"> and</w:t>
      </w:r>
      <w:r w:rsidR="00E46597" w:rsidRPr="009278EB">
        <w:rPr>
          <w:szCs w:val="26"/>
        </w:rPr>
        <w:t xml:space="preserve"> NHI</w:t>
      </w:r>
      <w:r>
        <w:rPr>
          <w:szCs w:val="26"/>
        </w:rPr>
        <w:t xml:space="preserve">, also known as </w:t>
      </w:r>
      <w:proofErr w:type="gramStart"/>
      <w:r>
        <w:rPr>
          <w:szCs w:val="26"/>
        </w:rPr>
        <w:t>single-payer</w:t>
      </w:r>
      <w:proofErr w:type="gramEnd"/>
    </w:p>
    <w:p w14:paraId="642456A4" w14:textId="77777777" w:rsidR="00E46597" w:rsidRPr="00DD2D90" w:rsidRDefault="00E46597" w:rsidP="00E46597">
      <w:proofErr w:type="spellStart"/>
      <w:r w:rsidRPr="009278EB">
        <w:rPr>
          <w:b/>
          <w:bCs/>
          <w:sz w:val="26"/>
          <w:szCs w:val="26"/>
        </w:rPr>
        <w:t>Waitzkin</w:t>
      </w:r>
      <w:proofErr w:type="spellEnd"/>
      <w:r w:rsidRPr="009278EB">
        <w:rPr>
          <w:b/>
          <w:bCs/>
          <w:sz w:val="26"/>
          <w:szCs w:val="26"/>
        </w:rPr>
        <w:t xml:space="preserve"> 20</w:t>
      </w:r>
      <w:r w:rsidRPr="00DD2D90">
        <w:t xml:space="preserve"> [Howard Waitzkin, Distinguished Professor Emeritus in the Department of Sociology and Health Sciences Center at the University of New Mexico and director of the Civilian Medical Resources Network, 5-11-2020, "Moving Beyond Capitalism for Our Health", NYU Press Blog, https://nyupress.org/blog/2020/05/11/moving-beyond-capitalism-for-our-health/]/Kankee</w:t>
      </w:r>
    </w:p>
    <w:p w14:paraId="3AB41EFD" w14:textId="12FEAAC5" w:rsidR="008A2CB2" w:rsidRPr="001E39CA" w:rsidRDefault="00E46597" w:rsidP="001E39CA">
      <w:pPr>
        <w:rPr>
          <w:sz w:val="16"/>
        </w:rPr>
      </w:pPr>
      <w:r w:rsidRPr="00D05211">
        <w:rPr>
          <w:sz w:val="16"/>
        </w:rPr>
        <w:t xml:space="preserve">With loss of control over the work process and a reduced ability to generate very high incomes compared to other professional workers, the medical profession has become proletarianized.[v] Due to a mystique of professionalism and incomes that remain high, physicians usually do not realize that their malaise reflects their changing social-class position. In a way, they have joined that highest stratum of workers to which V.I. Lenin and others referred as the “aristocracy of labor.”[vi] From Samir Amin’s perspective of political economy, the current wave of “generalized proletarianization” has engulfed the medical profession: “A rapidly growing proportion of workers are no more than sellers of their labor power to capital… a reality that should not be obscured by the apparent autonomy conferred on them by their legal status.”[vii] Beyond the changing class position of health professionals, the coming transformation will need to address the oligopolistic character of the insurance industry, the consolidation of large health systems, and the financialization of health services within global capitalism. In the United States, Obamacare has increased the flow of capitated public and private funds into the insurance industry. Through this process, Obamacare has extended the overall financialization of the global capitalist economy. This process has occurred in the context of financialization in the national health programs of other countries, especially in Europe, that previously have served as models in proposals for change in the United States. In this sense, the financial flows of health insurance cohere with John Bellamy Foster’s comment: “At the more stratospheric level represented by contemporary finance, the general formula for capital, or M-C-M′ [money-commodity-more money], is being increasingly supplanted by the circuit of speculative capital, M-M′, in which the production of use values disappears altogether and money simply begets more money.”[viii] In this context, it is important to reconsider the distinction between </w:t>
      </w:r>
      <w:r w:rsidRPr="00D05211">
        <w:rPr>
          <w:rStyle w:val="StyleUnderline"/>
        </w:rPr>
        <w:t>national health insurance</w:t>
      </w:r>
      <w:r w:rsidRPr="00D05211">
        <w:rPr>
          <w:sz w:val="16"/>
        </w:rPr>
        <w:t xml:space="preserve"> (NHI) and a national health service (NHS). NHI </w:t>
      </w:r>
      <w:r w:rsidRPr="00D05211">
        <w:rPr>
          <w:rStyle w:val="StyleUnderline"/>
        </w:rPr>
        <w:t xml:space="preserve">involves socialization of payments for health services but usually leaves intact private ownership at the level of infrastructure. Except for a small proportion of institutions like public hospitals and clinics, the means of production in health care under NHI remains privately owned. Canada is the best-known model of NHI, but </w:t>
      </w:r>
      <w:r w:rsidRPr="00D05211">
        <w:rPr>
          <w:rStyle w:val="Emphasis"/>
        </w:rPr>
        <w:t>South Korea</w:t>
      </w:r>
      <w:r w:rsidRPr="00D05211">
        <w:rPr>
          <w:rStyle w:val="StyleUnderline"/>
        </w:rPr>
        <w:t xml:space="preserve"> and </w:t>
      </w:r>
      <w:r w:rsidRPr="00D05211">
        <w:rPr>
          <w:rStyle w:val="Emphasis"/>
        </w:rPr>
        <w:t>Taiwan</w:t>
      </w:r>
      <w:r w:rsidRPr="00D05211">
        <w:rPr>
          <w:sz w:val="16"/>
        </w:rPr>
        <w:t xml:space="preserve"> also follow this approach. Despite their undeniable accomplishments, all these insurance systems have suffered from the inherent contradiction of public subsidization for accumulation of capital in the private sector, even if institutions that provide services legally maintain a “not for profit” status. In the United States the single-payer, “Improved Medicare for All” proposal of Physicians for a National Health Program (PNHP), as well as the U.S. Congressional legislation that embodies the singer-payer approach, is based on the Canadian model of NHI.[ix] NHS, by comparison, involves socialization of both payment for health services and the infrastructure through which services are provided. Under </w:t>
      </w:r>
      <w:r w:rsidRPr="00D05211">
        <w:rPr>
          <w:rStyle w:val="Emphasis"/>
        </w:rPr>
        <w:t>NHS</w:t>
      </w:r>
      <w:r w:rsidRPr="00D05211">
        <w:rPr>
          <w:sz w:val="16"/>
        </w:rPr>
        <w:t xml:space="preserve">, </w:t>
      </w:r>
      <w:r w:rsidRPr="00D05211">
        <w:rPr>
          <w:rStyle w:val="StyleUnderline"/>
        </w:rPr>
        <w:t>the state generally owns and operates hospitals, clinics, and other health institutions, which become part of the public sector rather than remaining under private ownership and control</w:t>
      </w:r>
      <w:r w:rsidRPr="00D05211">
        <w:rPr>
          <w:sz w:val="16"/>
        </w:rPr>
        <w:t xml:space="preserve">. In the capitalist world, </w:t>
      </w:r>
      <w:r w:rsidRPr="00D05211">
        <w:rPr>
          <w:rStyle w:val="Emphasis"/>
        </w:rPr>
        <w:t>Scotland</w:t>
      </w:r>
      <w:r w:rsidRPr="00D05211">
        <w:rPr>
          <w:rStyle w:val="StyleUnderline"/>
        </w:rPr>
        <w:t xml:space="preserve">, </w:t>
      </w:r>
      <w:r w:rsidRPr="00D05211">
        <w:rPr>
          <w:rStyle w:val="Emphasis"/>
        </w:rPr>
        <w:t>Wales</w:t>
      </w:r>
      <w:r w:rsidRPr="00D05211">
        <w:rPr>
          <w:rStyle w:val="StyleUnderline"/>
        </w:rPr>
        <w:t xml:space="preserve">, and </w:t>
      </w:r>
      <w:r w:rsidRPr="00D05211">
        <w:rPr>
          <w:rStyle w:val="Emphasis"/>
        </w:rPr>
        <w:t>Sweden</w:t>
      </w:r>
      <w:r w:rsidRPr="00D05211">
        <w:rPr>
          <w:rStyle w:val="StyleUnderline"/>
        </w:rPr>
        <w:t xml:space="preserve"> provide examples of NHS</w:t>
      </w:r>
      <w:r w:rsidRPr="00D05211">
        <w:rPr>
          <w:sz w:val="16"/>
        </w:rPr>
        <w:t xml:space="preserve">, where most health infrastructure exists within the public sector and most health professionals are employees of the state. The state apparatus includes elements that provide “welfare state” services like health care and other elements that protect the capitalist economic system. In the socialist world, Cuba offers the clearest remaining model of an NHS in which a private sector does not exist. The legislative proposal introduced in the United States during the 1970s and 1980s by Representative Ronald Dellums explicitly adopted the goals of a NHS. In the United States, PNHP’s single-payer proposal for NHI emerged from a retreat in New Hampshire during 1986, where activists struggled with these distinctions. Although most participants at the retreat had worked hard for the Dellums NHS proposal, they reached a consensus—albeit with some ambivalence—to shift their work to a NHI proposal based on Canada. The rationale for this shift involved two main considerations. First, Canada’s proximity and cultural similarity to the United States would make it more palatable for the U.S. population, and especially its congressional representatives. Secondly, a Canadian-style NHI proposal could be “doctor-friendly.” Under the PNHP proposal, physicians could continue to work in private practice, clinics, or hospitals. The main difference for physicians was that payments would be socialized so that the physicians would not have to worry about billing and collecting their fees for services provided. </w:t>
      </w:r>
    </w:p>
    <w:p w14:paraId="44CDCC50" w14:textId="74E6D5BD" w:rsidR="00022D36" w:rsidRPr="009278EB" w:rsidRDefault="00022D36" w:rsidP="00022D36">
      <w:pPr>
        <w:pStyle w:val="Heading4"/>
        <w:numPr>
          <w:ilvl w:val="2"/>
          <w:numId w:val="19"/>
        </w:numPr>
        <w:rPr>
          <w:szCs w:val="26"/>
        </w:rPr>
      </w:pPr>
      <w:r w:rsidRPr="009278EB">
        <w:rPr>
          <w:szCs w:val="26"/>
        </w:rPr>
        <w:t>What is a Public Good?</w:t>
      </w:r>
    </w:p>
    <w:p w14:paraId="24354A6C" w14:textId="3F49FFDE" w:rsidR="001E39CA" w:rsidRDefault="001E39CA" w:rsidP="000B0309">
      <w:pPr>
        <w:spacing w:line="480" w:lineRule="auto"/>
        <w:ind w:firstLine="720"/>
      </w:pPr>
      <w:r>
        <w:t xml:space="preserve">The ‘good’ aspect of a ‘public good’ does not the same as a ‘good’ in the context of goods and services. Hypothetically you can cite the healthcare categories in </w:t>
      </w:r>
      <w:r>
        <w:t>World Trade Organization treaties</w:t>
      </w:r>
      <w:r>
        <w:t xml:space="preserve"> like the </w:t>
      </w:r>
      <w:r>
        <w:t>General Agreement on Tariffs and Trade (GATT)</w:t>
      </w:r>
      <w:r>
        <w:t xml:space="preserve"> for goods and the General Agreement on Trade in Services (GATS) for services. Under this definition, healthcare would be a service and things like pharmaceuticals and medical equipment are goods. Similarly, a commodity in the context of commodity markets often </w:t>
      </w:r>
      <w:proofErr w:type="gramStart"/>
      <w:r>
        <w:t>mean</w:t>
      </w:r>
      <w:proofErr w:type="gramEnd"/>
      <w:r>
        <w:t xml:space="preserve"> material </w:t>
      </w:r>
      <w:proofErr w:type="gramStart"/>
      <w:r>
        <w:t>objects, and</w:t>
      </w:r>
      <w:proofErr w:type="gramEnd"/>
      <w:r>
        <w:t xml:space="preserve"> excluding services.</w:t>
      </w:r>
    </w:p>
    <w:p w14:paraId="359718A9" w14:textId="34527E6D" w:rsidR="001E39CA" w:rsidRDefault="001E39CA" w:rsidP="000B0309">
      <w:pPr>
        <w:spacing w:line="480" w:lineRule="auto"/>
        <w:ind w:firstLine="720"/>
      </w:pPr>
      <w:r>
        <w:t xml:space="preserve">However, for all intents and purposes, this topic is more </w:t>
      </w:r>
      <w:proofErr w:type="gramStart"/>
      <w:r>
        <w:t>expansive</w:t>
      </w:r>
      <w:proofErr w:type="gramEnd"/>
      <w:r>
        <w:t xml:space="preserve"> than goods, as the term ‘public good</w:t>
      </w:r>
      <w:proofErr w:type="gramStart"/>
      <w:r>
        <w:t>’  is</w:t>
      </w:r>
      <w:proofErr w:type="gramEnd"/>
      <w:r>
        <w:t xml:space="preserve"> not equivalent to a tradable good, with public goods including things that are not material, such as respect for property rights</w:t>
      </w:r>
      <w:r w:rsidR="00591DA6">
        <w:t xml:space="preserve">, education, or information. Additionally, since healthcare is a service, treating it as a tradable good is illogical. </w:t>
      </w:r>
    </w:p>
    <w:p w14:paraId="652A5C1D" w14:textId="24F64586" w:rsidR="001E39CA" w:rsidRPr="00DD2D90" w:rsidRDefault="001E39CA" w:rsidP="000B0309">
      <w:pPr>
        <w:spacing w:line="480" w:lineRule="auto"/>
        <w:ind w:firstLine="720"/>
      </w:pPr>
      <w:r>
        <w:t xml:space="preserve">Definitions of public goods are premised in economic theory based on the excludability and </w:t>
      </w:r>
      <w:proofErr w:type="spellStart"/>
      <w:r>
        <w:t>rivalrousness</w:t>
      </w:r>
      <w:proofErr w:type="spellEnd"/>
      <w:r>
        <w:t xml:space="preserve"> </w:t>
      </w:r>
      <w:proofErr w:type="gramStart"/>
      <w:r>
        <w:t>of a good</w:t>
      </w:r>
      <w:proofErr w:type="gramEnd"/>
      <w:r>
        <w:t xml:space="preserve">. Public goods are </w:t>
      </w:r>
      <w:proofErr w:type="gramStart"/>
      <w:r>
        <w:t>neither</w:t>
      </w:r>
      <w:proofErr w:type="gramEnd"/>
      <w:r>
        <w:t xml:space="preserve"> while private goods are both. What category a good belongs to is socially constructed via property rights regimes; depending on the preferences of a society, a good can be treated differently, but the effectiveness of that categorization is partially dependent on the good itself. </w:t>
      </w:r>
    </w:p>
    <w:p w14:paraId="5F574B36" w14:textId="15F21A81" w:rsidR="00D70E8D" w:rsidRPr="009278EB" w:rsidRDefault="001E39CA" w:rsidP="00D70E8D">
      <w:pPr>
        <w:pStyle w:val="Heading4"/>
        <w:rPr>
          <w:szCs w:val="26"/>
        </w:rPr>
      </w:pPr>
      <w:r>
        <w:rPr>
          <w:szCs w:val="26"/>
        </w:rPr>
        <w:t>Here is a c</w:t>
      </w:r>
      <w:r w:rsidR="003C5B65" w:rsidRPr="009278EB">
        <w:rPr>
          <w:szCs w:val="26"/>
        </w:rPr>
        <w:t>hart of</w:t>
      </w:r>
      <w:r>
        <w:rPr>
          <w:szCs w:val="26"/>
        </w:rPr>
        <w:t xml:space="preserve"> the</w:t>
      </w:r>
      <w:r w:rsidR="003C5B65" w:rsidRPr="009278EB">
        <w:rPr>
          <w:szCs w:val="26"/>
        </w:rPr>
        <w:t xml:space="preserve"> types of economic goods</w:t>
      </w:r>
    </w:p>
    <w:p w14:paraId="1D72D911" w14:textId="7A2C7B25" w:rsidR="00D70E8D" w:rsidRPr="00DD2D90" w:rsidRDefault="00D70E8D" w:rsidP="00D70E8D">
      <w:r w:rsidRPr="009278EB">
        <w:rPr>
          <w:b/>
          <w:bCs/>
          <w:sz w:val="26"/>
          <w:szCs w:val="26"/>
        </w:rPr>
        <w:t>Ansari 24</w:t>
      </w:r>
      <w:r w:rsidRPr="00DD2D90">
        <w:t xml:space="preserve"> [Saddique Ansari, 10-3-2024, "Types of Goods in Economics", Economics Online, https://www.economicsonline.co.uk/definitions/types-of-goods-in-economics.html/</w:t>
      </w:r>
      <w:r w:rsidR="00C174FC" w:rsidRPr="00DD2D90">
        <w:t>]/Kankee</w:t>
      </w:r>
    </w:p>
    <w:p w14:paraId="1F4C0D22" w14:textId="3D24276D" w:rsidR="00D70E8D" w:rsidRPr="00DD2D90" w:rsidRDefault="00D70E8D" w:rsidP="00D70E8D">
      <w:pPr>
        <w:pBdr>
          <w:bottom w:val="single" w:sz="6" w:space="1" w:color="auto"/>
        </w:pBdr>
      </w:pPr>
      <w:r w:rsidRPr="00DD2D90">
        <w:rPr>
          <w:noProof/>
        </w:rPr>
        <w:drawing>
          <wp:inline distT="0" distB="0" distL="0" distR="0" wp14:anchorId="2F094289" wp14:editId="629644B7">
            <wp:extent cx="3382575" cy="2693773"/>
            <wp:effectExtent l="0" t="0" r="8890" b="0"/>
            <wp:docPr id="221851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51638" name=""/>
                    <pic:cNvPicPr/>
                  </pic:nvPicPr>
                  <pic:blipFill>
                    <a:blip r:embed="rId12"/>
                    <a:stretch>
                      <a:fillRect/>
                    </a:stretch>
                  </pic:blipFill>
                  <pic:spPr>
                    <a:xfrm>
                      <a:off x="0" y="0"/>
                      <a:ext cx="3384448" cy="2695265"/>
                    </a:xfrm>
                    <a:prstGeom prst="rect">
                      <a:avLst/>
                    </a:prstGeom>
                  </pic:spPr>
                </pic:pic>
              </a:graphicData>
            </a:graphic>
          </wp:inline>
        </w:drawing>
      </w:r>
    </w:p>
    <w:p w14:paraId="69B022EA" w14:textId="77777777" w:rsidR="00CE7109" w:rsidRPr="009278EB" w:rsidRDefault="00CE7109" w:rsidP="00CE7109">
      <w:pPr>
        <w:pStyle w:val="Heading4"/>
        <w:rPr>
          <w:szCs w:val="26"/>
        </w:rPr>
      </w:pPr>
      <w:r>
        <w:rPr>
          <w:szCs w:val="26"/>
        </w:rPr>
        <w:t>This c</w:t>
      </w:r>
      <w:r w:rsidRPr="009278EB">
        <w:rPr>
          <w:szCs w:val="26"/>
        </w:rPr>
        <w:t xml:space="preserve">hart </w:t>
      </w:r>
      <w:r>
        <w:rPr>
          <w:szCs w:val="26"/>
        </w:rPr>
        <w:t>explains different implementation methods</w:t>
      </w:r>
      <w:r w:rsidRPr="009278EB">
        <w:rPr>
          <w:szCs w:val="26"/>
        </w:rPr>
        <w:t xml:space="preserve"> of</w:t>
      </w:r>
      <w:r>
        <w:rPr>
          <w:szCs w:val="26"/>
        </w:rPr>
        <w:t xml:space="preserve"> healthcare. All methods except for the bottom-right are public good. For reference,</w:t>
      </w:r>
      <w:r w:rsidRPr="009278EB">
        <w:rPr>
          <w:szCs w:val="26"/>
        </w:rPr>
        <w:t xml:space="preserve"> hardly anyone proposes public provider</w:t>
      </w:r>
      <w:r>
        <w:rPr>
          <w:szCs w:val="26"/>
        </w:rPr>
        <w:t>, private payer</w:t>
      </w:r>
      <w:r w:rsidRPr="009278EB">
        <w:rPr>
          <w:szCs w:val="26"/>
        </w:rPr>
        <w:t xml:space="preserve"> </w:t>
      </w:r>
      <w:r>
        <w:rPr>
          <w:szCs w:val="26"/>
        </w:rPr>
        <w:t>or public provider, public payer</w:t>
      </w:r>
      <w:r w:rsidRPr="009278EB">
        <w:rPr>
          <w:szCs w:val="26"/>
        </w:rPr>
        <w:t xml:space="preserve"> in the US. Medicare for All</w:t>
      </w:r>
      <w:r>
        <w:rPr>
          <w:szCs w:val="26"/>
        </w:rPr>
        <w:t>, one of the most serious US proposals,</w:t>
      </w:r>
      <w:r w:rsidRPr="009278EB">
        <w:rPr>
          <w:szCs w:val="26"/>
        </w:rPr>
        <w:t xml:space="preserve"> is p</w:t>
      </w:r>
      <w:r>
        <w:rPr>
          <w:szCs w:val="26"/>
        </w:rPr>
        <w:t>rivate provider</w:t>
      </w:r>
      <w:r w:rsidRPr="009278EB">
        <w:rPr>
          <w:szCs w:val="26"/>
        </w:rPr>
        <w:t xml:space="preserve">, </w:t>
      </w:r>
      <w:r>
        <w:rPr>
          <w:szCs w:val="26"/>
        </w:rPr>
        <w:t>public payer</w:t>
      </w:r>
    </w:p>
    <w:p w14:paraId="2538696A" w14:textId="77777777" w:rsidR="00CE7109" w:rsidRPr="00DD2D90" w:rsidRDefault="00CE7109" w:rsidP="00CE7109">
      <w:r w:rsidRPr="009278EB">
        <w:rPr>
          <w:b/>
          <w:bCs/>
          <w:sz w:val="26"/>
          <w:szCs w:val="26"/>
        </w:rPr>
        <w:t>Christiansen 17</w:t>
      </w:r>
      <w:r w:rsidRPr="00DD2D90">
        <w:t xml:space="preserve"> [Isaac Christiansen, Assistant Professor of Sociology at Midwestern State University, 2017, “Commodification of Healthcare and its Consequences,” World Review of Political Economy, https://www.jstor.org/stable/10.13169/worlrevipoliecon.8.1.0082]/Kankee</w:t>
      </w:r>
    </w:p>
    <w:p w14:paraId="0030CB66" w14:textId="77777777" w:rsidR="00CE7109" w:rsidRPr="00DD2D90" w:rsidRDefault="00CE7109" w:rsidP="00CE7109">
      <w:r w:rsidRPr="00DD2D90">
        <w:rPr>
          <w:noProof/>
        </w:rPr>
        <w:drawing>
          <wp:inline distT="0" distB="0" distL="0" distR="0" wp14:anchorId="6AF7AAE5" wp14:editId="3A63FECA">
            <wp:extent cx="3733020" cy="2332731"/>
            <wp:effectExtent l="0" t="0" r="1270" b="0"/>
            <wp:docPr id="2009521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21141" name=""/>
                    <pic:cNvPicPr/>
                  </pic:nvPicPr>
                  <pic:blipFill>
                    <a:blip r:embed="rId13"/>
                    <a:stretch>
                      <a:fillRect/>
                    </a:stretch>
                  </pic:blipFill>
                  <pic:spPr>
                    <a:xfrm>
                      <a:off x="0" y="0"/>
                      <a:ext cx="3743300" cy="2339155"/>
                    </a:xfrm>
                    <a:prstGeom prst="rect">
                      <a:avLst/>
                    </a:prstGeom>
                  </pic:spPr>
                </pic:pic>
              </a:graphicData>
            </a:graphic>
          </wp:inline>
        </w:drawing>
      </w:r>
    </w:p>
    <w:p w14:paraId="1BDC337E" w14:textId="77777777" w:rsidR="00CE7109" w:rsidRDefault="00CE7109" w:rsidP="00591DA6">
      <w:pPr>
        <w:ind w:firstLine="720"/>
      </w:pPr>
    </w:p>
    <w:p w14:paraId="1CA8FFA7" w14:textId="162B72B4" w:rsidR="00591DA6" w:rsidRDefault="00591DA6" w:rsidP="000B0309">
      <w:pPr>
        <w:spacing w:line="480" w:lineRule="auto"/>
        <w:ind w:firstLine="720"/>
      </w:pPr>
      <w:r w:rsidRPr="00DD2D90">
        <w:t>Public goods are</w:t>
      </w:r>
      <w:r>
        <w:t xml:space="preserve"> usually,</w:t>
      </w:r>
      <w:r w:rsidRPr="00DD2D90">
        <w:t xml:space="preserve"> not necessarily</w:t>
      </w:r>
      <w:r>
        <w:t>,</w:t>
      </w:r>
      <w:r w:rsidRPr="00DD2D90">
        <w:t xml:space="preserve"> provided by the government</w:t>
      </w:r>
      <w:r>
        <w:t>, with one of the most common examples being national defense. However, the distinction between p</w:t>
      </w:r>
      <w:r w:rsidRPr="00DD2D90">
        <w:t xml:space="preserve">ublic </w:t>
      </w:r>
      <w:r>
        <w:t xml:space="preserve">and </w:t>
      </w:r>
      <w:r w:rsidRPr="00DD2D90">
        <w:t xml:space="preserve">private </w:t>
      </w:r>
      <w:r>
        <w:t>provision of a good is</w:t>
      </w:r>
      <w:r w:rsidRPr="00DD2D90">
        <w:t xml:space="preserve"> unclear. </w:t>
      </w:r>
      <w:r>
        <w:t xml:space="preserve">For instance, </w:t>
      </w:r>
      <w:proofErr w:type="spellStart"/>
      <w:r>
        <w:t>Kankee</w:t>
      </w:r>
      <w:proofErr w:type="spellEnd"/>
      <w:r>
        <w:t xml:space="preserve"> Briefs is a public good due to how we do not exclude anyone given we do not restrict access </w:t>
      </w:r>
      <w:proofErr w:type="gramStart"/>
      <w:r>
        <w:t>on the basis of</w:t>
      </w:r>
      <w:proofErr w:type="gramEnd"/>
      <w:r>
        <w:t xml:space="preserve"> </w:t>
      </w:r>
      <w:proofErr w:type="gramStart"/>
      <w:r>
        <w:t>price</w:t>
      </w:r>
      <w:proofErr w:type="gramEnd"/>
      <w:r>
        <w:t xml:space="preserve"> and we are supported via donations and volunteers dedicating their time. Similarly, someone using a </w:t>
      </w:r>
      <w:proofErr w:type="spellStart"/>
      <w:r>
        <w:t>Kankee</w:t>
      </w:r>
      <w:proofErr w:type="spellEnd"/>
      <w:r>
        <w:t xml:space="preserve"> Brief does not harm anyone else using a </w:t>
      </w:r>
      <w:proofErr w:type="spellStart"/>
      <w:r>
        <w:t>Kankee</w:t>
      </w:r>
      <w:proofErr w:type="spellEnd"/>
      <w:r>
        <w:t xml:space="preserve"> Brief, which makes our good non-rivalrous. Because it is both non-excludable and non-rivalrous, </w:t>
      </w:r>
      <w:proofErr w:type="spellStart"/>
      <w:r>
        <w:t>Kankee</w:t>
      </w:r>
      <w:proofErr w:type="spellEnd"/>
      <w:r>
        <w:t xml:space="preserve"> Briefs is an example of public good not provided by government. </w:t>
      </w:r>
    </w:p>
    <w:p w14:paraId="34874AB7" w14:textId="650C1386" w:rsidR="008A2CB2" w:rsidRPr="00DD2D90" w:rsidRDefault="00591DA6" w:rsidP="000B0309">
      <w:pPr>
        <w:spacing w:line="480" w:lineRule="auto"/>
        <w:ind w:firstLine="720"/>
      </w:pPr>
      <w:r>
        <w:t>In the context of charities, the public good could be provided as a public good, such as with</w:t>
      </w:r>
      <w:r>
        <w:t xml:space="preserve"> religious churches </w:t>
      </w:r>
      <w:r>
        <w:t>or</w:t>
      </w:r>
      <w:r>
        <w:t xml:space="preserve"> orphanages</w:t>
      </w:r>
      <w:r>
        <w:t xml:space="preserve">, or pretend to be providing the public good for the purpose of selling commodities via </w:t>
      </w:r>
      <w:proofErr w:type="spellStart"/>
      <w:r>
        <w:t>p</w:t>
      </w:r>
      <w:r w:rsidRPr="00DD2D90">
        <w:t>hilanthrocapitalism</w:t>
      </w:r>
      <w:proofErr w:type="spellEnd"/>
      <w:r>
        <w:t xml:space="preserve"> </w:t>
      </w:r>
      <w:r w:rsidRPr="00DD2D90">
        <w:t xml:space="preserve">(See contention </w:t>
      </w:r>
      <w:hyperlink w:anchor="_1.2.6_Global_South" w:history="1">
        <w:r w:rsidRPr="00C11721">
          <w:rPr>
            <w:rStyle w:val="Hyperlink"/>
          </w:rPr>
          <w:t>2.6</w:t>
        </w:r>
      </w:hyperlink>
      <w:r w:rsidRPr="00DD2D90">
        <w:t>)</w:t>
      </w:r>
      <w:r>
        <w:t xml:space="preserve">. However, under certain interpretations, the affirmative </w:t>
      </w:r>
      <w:proofErr w:type="spellStart"/>
      <w:r>
        <w:t>p</w:t>
      </w:r>
      <w:r w:rsidRPr="00DD2D90">
        <w:t>hilanthrocapitalism</w:t>
      </w:r>
      <w:proofErr w:type="spellEnd"/>
      <w:r>
        <w:t xml:space="preserve"> contention would not be topical due to how it is a</w:t>
      </w:r>
      <w:r w:rsidRPr="00DD2D90">
        <w:t xml:space="preserve"> critique of public good provision by NGO</w:t>
      </w:r>
      <w:r>
        <w:t>s</w:t>
      </w:r>
      <w:r w:rsidRPr="00DD2D90">
        <w:t>, not a critique of current healthcare systems</w:t>
      </w:r>
      <w:r>
        <w:t xml:space="preserve"> treating healthcare as a commodity. However, </w:t>
      </w:r>
      <w:proofErr w:type="spellStart"/>
      <w:r>
        <w:t>p</w:t>
      </w:r>
      <w:r w:rsidRPr="00DD2D90">
        <w:t>hilanthrocapitalism</w:t>
      </w:r>
      <w:proofErr w:type="spellEnd"/>
      <w:r>
        <w:t xml:space="preserve"> only works under capitalism and </w:t>
      </w:r>
      <w:proofErr w:type="gramStart"/>
      <w:r>
        <w:t>healthcare</w:t>
      </w:r>
      <w:proofErr w:type="gramEnd"/>
      <w:r>
        <w:t xml:space="preserve"> being a commodity for the basis of charity to begin with. Similarly, public-private partnerships are a dual public and private provision of </w:t>
      </w:r>
      <w:proofErr w:type="gramStart"/>
      <w:r>
        <w:t>a good</w:t>
      </w:r>
      <w:proofErr w:type="gramEnd"/>
      <w:r>
        <w:t xml:space="preserve">. Under some interpretations, the private sector could be overly extracting wealth from the </w:t>
      </w:r>
      <w:proofErr w:type="gramStart"/>
      <w:r>
        <w:t>pubic</w:t>
      </w:r>
      <w:proofErr w:type="gramEnd"/>
      <w:r>
        <w:t xml:space="preserve"> sector to force it </w:t>
      </w:r>
      <w:proofErr w:type="gramStart"/>
      <w:r>
        <w:t>be</w:t>
      </w:r>
      <w:proofErr w:type="gramEnd"/>
      <w:r>
        <w:t xml:space="preserve"> treated as a commodity. </w:t>
      </w:r>
    </w:p>
    <w:p w14:paraId="16F2A830" w14:textId="4E2F1D2F" w:rsidR="00CE7109" w:rsidRPr="009278EB" w:rsidRDefault="00CE7109" w:rsidP="00CE7109">
      <w:pPr>
        <w:pStyle w:val="Heading4"/>
        <w:rPr>
          <w:szCs w:val="26"/>
        </w:rPr>
      </w:pPr>
      <w:r w:rsidRPr="009278EB">
        <w:rPr>
          <w:szCs w:val="26"/>
        </w:rPr>
        <w:t xml:space="preserve">Canada </w:t>
      </w:r>
      <w:r>
        <w:rPr>
          <w:szCs w:val="26"/>
        </w:rPr>
        <w:t>is an e</w:t>
      </w:r>
      <w:r w:rsidRPr="009278EB">
        <w:rPr>
          <w:szCs w:val="26"/>
        </w:rPr>
        <w:t>xample</w:t>
      </w:r>
      <w:r>
        <w:rPr>
          <w:szCs w:val="26"/>
        </w:rPr>
        <w:t xml:space="preserve"> public-private partnerships potentially threatening the status of </w:t>
      </w:r>
      <w:r>
        <w:rPr>
          <w:szCs w:val="26"/>
        </w:rPr>
        <w:t>national health insurance</w:t>
      </w:r>
      <w:r>
        <w:rPr>
          <w:szCs w:val="26"/>
        </w:rPr>
        <w:t xml:space="preserve"> as a public good </w:t>
      </w:r>
    </w:p>
    <w:p w14:paraId="762B02B7" w14:textId="77777777" w:rsidR="00CE7109" w:rsidRPr="00DD2D90" w:rsidRDefault="00CE7109" w:rsidP="00CE7109">
      <w:r w:rsidRPr="009278EB">
        <w:rPr>
          <w:b/>
          <w:bCs/>
          <w:sz w:val="26"/>
          <w:szCs w:val="26"/>
        </w:rPr>
        <w:t>Mehra and Cartwright 26</w:t>
      </w:r>
      <w:r w:rsidRPr="00DD2D90">
        <w:t xml:space="preserve"> [Natalie Mehra, and John Cartwright, 04-08-2026, "Profit is not the cure", Hill Times, https://www.hilltimes.com/2024/04/08/profit-is-not-the-cure/417527/]/Kankee</w:t>
      </w:r>
    </w:p>
    <w:p w14:paraId="214A86AA" w14:textId="42C7AA44" w:rsidR="00022D36" w:rsidRPr="00CE7109" w:rsidRDefault="00CE7109" w:rsidP="00022D36">
      <w:pPr>
        <w:rPr>
          <w:sz w:val="16"/>
        </w:rPr>
      </w:pPr>
      <w:r w:rsidRPr="009278EB">
        <w:rPr>
          <w:sz w:val="16"/>
        </w:rPr>
        <w:t xml:space="preserve">Canada stands at a crossroads. For many Canadians, access to health care—the lack of family doctors, backlogs of surgeries, and long waits in emergency rooms—are all evidence of something deeply troubling. Clearly, we have not invested enough to maintain a resilient system of care. </w:t>
      </w:r>
      <w:r w:rsidRPr="00DD2D90">
        <w:rPr>
          <w:rStyle w:val="StyleUnderline"/>
        </w:rPr>
        <w:t xml:space="preserve">There are </w:t>
      </w:r>
      <w:r w:rsidRPr="00DD2D90">
        <w:rPr>
          <w:rStyle w:val="Emphasis"/>
        </w:rPr>
        <w:t>two</w:t>
      </w:r>
      <w:r w:rsidRPr="009278EB">
        <w:rPr>
          <w:sz w:val="16"/>
        </w:rPr>
        <w:t xml:space="preserve"> potential </w:t>
      </w:r>
      <w:r w:rsidRPr="00DD2D90">
        <w:rPr>
          <w:rStyle w:val="StyleUnderline"/>
        </w:rPr>
        <w:t>paths</w:t>
      </w:r>
      <w:r w:rsidRPr="009278EB">
        <w:rPr>
          <w:sz w:val="16"/>
        </w:rPr>
        <w:t xml:space="preserve"> ahead. If we follow one, </w:t>
      </w:r>
      <w:r w:rsidRPr="00DD2D90">
        <w:rPr>
          <w:rStyle w:val="StyleUnderline"/>
        </w:rPr>
        <w:t>we rebuild</w:t>
      </w:r>
      <w:r w:rsidRPr="009278EB">
        <w:rPr>
          <w:sz w:val="16"/>
        </w:rPr>
        <w:t xml:space="preserve"> and revitalize a robust infrastructure of </w:t>
      </w:r>
      <w:r w:rsidRPr="00DD2D90">
        <w:rPr>
          <w:rStyle w:val="StyleUnderline"/>
        </w:rPr>
        <w:t>public non-profit health-care services</w:t>
      </w:r>
      <w:r w:rsidRPr="009278EB">
        <w:rPr>
          <w:sz w:val="16"/>
        </w:rPr>
        <w:t xml:space="preserve">. The other path would see that infrastructure gradually dismantled—or at least diminished—and replaced with corporate control. We need look no further than our own front doors to see that </w:t>
      </w:r>
      <w:r w:rsidRPr="00DD2D90">
        <w:rPr>
          <w:rStyle w:val="StyleUnderline"/>
        </w:rPr>
        <w:t xml:space="preserve">the expansion of for-profit health care in </w:t>
      </w:r>
      <w:proofErr w:type="gramStart"/>
      <w:r w:rsidRPr="00DD2D90">
        <w:rPr>
          <w:rStyle w:val="StyleUnderline"/>
        </w:rPr>
        <w:t>a number of</w:t>
      </w:r>
      <w:proofErr w:type="gramEnd"/>
      <w:r w:rsidRPr="00DD2D90">
        <w:rPr>
          <w:rStyle w:val="StyleUnderline"/>
        </w:rPr>
        <w:t xml:space="preserve"> provinces is dividing residents into </w:t>
      </w:r>
      <w:proofErr w:type="gramStart"/>
      <w:r w:rsidRPr="00DD2D90">
        <w:rPr>
          <w:rStyle w:val="StyleUnderline"/>
        </w:rPr>
        <w:t>health-care</w:t>
      </w:r>
      <w:proofErr w:type="gramEnd"/>
      <w:r w:rsidRPr="00DD2D90">
        <w:rPr>
          <w:rStyle w:val="StyleUnderline"/>
        </w:rPr>
        <w:t xml:space="preserve"> “haves” and “have nots,”</w:t>
      </w:r>
      <w:r w:rsidRPr="009278EB">
        <w:rPr>
          <w:sz w:val="16"/>
        </w:rPr>
        <w:t xml:space="preserve"> and has resulted in significant costs for everyone. </w:t>
      </w:r>
      <w:r w:rsidRPr="00DD2D90">
        <w:rPr>
          <w:rStyle w:val="StyleUnderline"/>
        </w:rPr>
        <w:t>Ontario</w:t>
      </w:r>
      <w:r w:rsidRPr="009278EB">
        <w:rPr>
          <w:sz w:val="16"/>
        </w:rPr>
        <w:t xml:space="preserve"> Premier Doug Ford repeatedly promises patients “will never have to pay with their credit card, only their OHIP card,” even as his government </w:t>
      </w:r>
      <w:r w:rsidRPr="00DD2D90">
        <w:rPr>
          <w:rStyle w:val="StyleUnderline"/>
        </w:rPr>
        <w:t>privatizes surgeries and diagnostic tests from our public hospitals</w:t>
      </w:r>
      <w:r w:rsidRPr="009278EB">
        <w:rPr>
          <w:sz w:val="16"/>
        </w:rPr>
        <w:t xml:space="preserve">. Yet evidence is mounting that </w:t>
      </w:r>
      <w:r w:rsidRPr="00DD2D90">
        <w:rPr>
          <w:rStyle w:val="StyleUnderline"/>
        </w:rPr>
        <w:t xml:space="preserve">private clinics are </w:t>
      </w:r>
      <w:proofErr w:type="gramStart"/>
      <w:r w:rsidRPr="00DD2D90">
        <w:rPr>
          <w:rStyle w:val="StyleUnderline"/>
        </w:rPr>
        <w:t>getting both</w:t>
      </w:r>
      <w:proofErr w:type="gramEnd"/>
      <w:r w:rsidRPr="00DD2D90">
        <w:rPr>
          <w:rStyle w:val="StyleUnderline"/>
        </w:rPr>
        <w:t xml:space="preserve"> higher funding from the </w:t>
      </w:r>
      <w:proofErr w:type="gramStart"/>
      <w:r w:rsidRPr="00DD2D90">
        <w:rPr>
          <w:rStyle w:val="StyleUnderline"/>
        </w:rPr>
        <w:t>government</w:t>
      </w:r>
      <w:r w:rsidRPr="009278EB">
        <w:rPr>
          <w:sz w:val="16"/>
        </w:rPr>
        <w:t>, and</w:t>
      </w:r>
      <w:proofErr w:type="gramEnd"/>
      <w:r w:rsidRPr="009278EB">
        <w:rPr>
          <w:sz w:val="16"/>
        </w:rPr>
        <w:t xml:space="preserve"> also charging elderly Ontarians thousands of dollars for cataract surgeries. The </w:t>
      </w:r>
      <w:r w:rsidRPr="00DD2D90">
        <w:rPr>
          <w:rStyle w:val="StyleUnderline"/>
        </w:rPr>
        <w:t>extra charges are</w:t>
      </w:r>
      <w:r w:rsidRPr="009278EB">
        <w:rPr>
          <w:sz w:val="16"/>
        </w:rPr>
        <w:t xml:space="preserve"> not only exorbitant—</w:t>
      </w:r>
      <w:r w:rsidRPr="00DD2D90">
        <w:rPr>
          <w:rStyle w:val="StyleUnderline"/>
        </w:rPr>
        <w:t>many times higher than public surgeries</w:t>
      </w:r>
      <w:r w:rsidRPr="009278EB">
        <w:rPr>
          <w:sz w:val="16"/>
        </w:rPr>
        <w:t xml:space="preserve">—but also, crucially, should be unlawful under the Canada Health Act. British Columbia’s private clinics tried to get the courts to strike down the prohibition on extra-billing patients. They may have lost at the Supreme Court of Canada, but they still want to bill the public system and charge patients on top. Quebec seniors had to threaten legal action to force a roll back of burgeoning user fees at private clinics. Clinics in Alberta now claim that they can charge patients who travel from other provinces as much as $28,000 for joint replacement surgeries. The prices that </w:t>
      </w:r>
      <w:r w:rsidRPr="00DD2D90">
        <w:rPr>
          <w:rStyle w:val="StyleUnderline"/>
        </w:rPr>
        <w:t>private clinics are charging patients</w:t>
      </w:r>
      <w:r w:rsidRPr="009278EB">
        <w:rPr>
          <w:sz w:val="16"/>
        </w:rPr>
        <w:t xml:space="preserve"> are often </w:t>
      </w:r>
      <w:r w:rsidRPr="00DD2D90">
        <w:rPr>
          <w:rStyle w:val="Emphasis"/>
        </w:rPr>
        <w:t>double</w:t>
      </w:r>
      <w:r w:rsidRPr="009278EB">
        <w:rPr>
          <w:sz w:val="16"/>
        </w:rPr>
        <w:t xml:space="preserve"> </w:t>
      </w:r>
      <w:proofErr w:type="gramStart"/>
      <w:r w:rsidRPr="00DD2D90">
        <w:rPr>
          <w:rStyle w:val="StyleUnderline"/>
        </w:rPr>
        <w:t>or more</w:t>
      </w:r>
      <w:r w:rsidRPr="009278EB">
        <w:rPr>
          <w:sz w:val="16"/>
        </w:rPr>
        <w:t xml:space="preserve"> the</w:t>
      </w:r>
      <w:proofErr w:type="gramEnd"/>
      <w:r w:rsidRPr="009278EB">
        <w:rPr>
          <w:sz w:val="16"/>
        </w:rPr>
        <w:t xml:space="preserve"> cost in our </w:t>
      </w:r>
      <w:r w:rsidRPr="00DD2D90">
        <w:rPr>
          <w:rStyle w:val="StyleUnderline"/>
        </w:rPr>
        <w:t>public hospitals</w:t>
      </w:r>
      <w:r w:rsidRPr="009278EB">
        <w:rPr>
          <w:sz w:val="16"/>
        </w:rPr>
        <w:t xml:space="preserve">. And so, </w:t>
      </w:r>
      <w:r w:rsidRPr="00DD2D90">
        <w:rPr>
          <w:rStyle w:val="StyleUnderline"/>
        </w:rPr>
        <w:t xml:space="preserve">privatization has become a slippery slope to two-tier health where working people fall further behind, and many are marginalized based on the economic determinants of health. </w:t>
      </w:r>
      <w:r w:rsidRPr="009278EB">
        <w:rPr>
          <w:sz w:val="16"/>
        </w:rPr>
        <w:t xml:space="preserve">We only </w:t>
      </w:r>
      <w:proofErr w:type="gramStart"/>
      <w:r w:rsidRPr="009278EB">
        <w:rPr>
          <w:sz w:val="16"/>
        </w:rPr>
        <w:t>have to</w:t>
      </w:r>
      <w:proofErr w:type="gramEnd"/>
      <w:r w:rsidRPr="009278EB">
        <w:rPr>
          <w:sz w:val="16"/>
        </w:rPr>
        <w:t xml:space="preserve"> look at long-term care in </w:t>
      </w:r>
      <w:r w:rsidRPr="00DD2D90">
        <w:rPr>
          <w:rStyle w:val="StyleUnderline"/>
        </w:rPr>
        <w:t>Ontario</w:t>
      </w:r>
      <w:r w:rsidRPr="009278EB">
        <w:rPr>
          <w:sz w:val="16"/>
        </w:rPr>
        <w:t xml:space="preserve"> to see where this path leads. For many years, long-term care was overwhelmingly provided by non-profit community-based groups or municipalities. But then-Progressive Conservative premier Mike Harris </w:t>
      </w:r>
      <w:r w:rsidRPr="00DD2D90">
        <w:rPr>
          <w:rStyle w:val="StyleUnderline"/>
        </w:rPr>
        <w:t>ushered in the massive shift to fund and expand private long-term care in the late 1990s, and most facilities are now run by corporate chains</w:t>
      </w:r>
      <w:r w:rsidRPr="009278EB">
        <w:rPr>
          <w:sz w:val="16"/>
        </w:rPr>
        <w:t xml:space="preserve">. In the height of the pandemic, these companies were exposed for their shocking dereliction of duty to their residents and staff. </w:t>
      </w:r>
      <w:r w:rsidRPr="00DD2D90">
        <w:rPr>
          <w:rStyle w:val="StyleUnderline"/>
        </w:rPr>
        <w:t xml:space="preserve">The COVID death toll in the for-profit homes was </w:t>
      </w:r>
      <w:r w:rsidRPr="00DD2D90">
        <w:rPr>
          <w:rStyle w:val="Emphasis"/>
        </w:rPr>
        <w:t>double</w:t>
      </w:r>
      <w:r w:rsidRPr="00DD2D90">
        <w:rPr>
          <w:rStyle w:val="StyleUnderline"/>
        </w:rPr>
        <w:t xml:space="preserve"> that of non-profits and nearly </w:t>
      </w:r>
      <w:r w:rsidRPr="00DD2D90">
        <w:rPr>
          <w:rStyle w:val="Emphasis"/>
        </w:rPr>
        <w:t>five times</w:t>
      </w:r>
      <w:r w:rsidRPr="00DD2D90">
        <w:rPr>
          <w:rStyle w:val="StyleUnderline"/>
        </w:rPr>
        <w:t xml:space="preserve"> that in publicly owned long-term care</w:t>
      </w:r>
      <w:r w:rsidRPr="009278EB">
        <w:rPr>
          <w:sz w:val="16"/>
        </w:rPr>
        <w:t xml:space="preserve">. Horrific scenes of neglect were uncovered daily. Their business model of low-paid part-time staff with few benefits or sick pay sparked widespread outrage, particularly when the Army had to be called in to rescue neglected residents. Despite promises by the government to crack down, very few penalties were imposed. It’s worth noting that in 2020, Harris was paid $223,000 a year as part-time chair of the board of Chartwell, one of the largest private chains. That’s far more than he earned as premier, and some might conclude that he is being amply rewarded for his policies in office by those who have benefited so richly. </w:t>
      </w:r>
      <w:r w:rsidRPr="00DD2D90">
        <w:rPr>
          <w:rStyle w:val="StyleUnderline"/>
        </w:rPr>
        <w:t xml:space="preserve">As Canada travels further down the privatization highway, finding an off-ramp will become </w:t>
      </w:r>
      <w:proofErr w:type="gramStart"/>
      <w:r w:rsidRPr="00DD2D90">
        <w:rPr>
          <w:rStyle w:val="StyleUnderline"/>
        </w:rPr>
        <w:t>more and more</w:t>
      </w:r>
      <w:proofErr w:type="gramEnd"/>
      <w:r w:rsidRPr="00DD2D90">
        <w:rPr>
          <w:rStyle w:val="StyleUnderline"/>
        </w:rPr>
        <w:t xml:space="preserve"> difficult</w:t>
      </w:r>
      <w:r w:rsidRPr="009278EB">
        <w:rPr>
          <w:sz w:val="16"/>
        </w:rPr>
        <w:t xml:space="preserve">. What’s at stake now and in the next election is the role of the federal government in upholding standards and accountability under the Canada Health Act. Provincial premiers keep demanding that funding flows with no strings attached as many of them champion more private delivery of services. But ordinary Canadians want to know that our public health care will be </w:t>
      </w:r>
      <w:proofErr w:type="gramStart"/>
      <w:r w:rsidRPr="009278EB">
        <w:rPr>
          <w:sz w:val="16"/>
        </w:rPr>
        <w:t>protected, and</w:t>
      </w:r>
      <w:proofErr w:type="gramEnd"/>
      <w:r w:rsidRPr="009278EB">
        <w:rPr>
          <w:sz w:val="16"/>
        </w:rPr>
        <w:t xml:space="preserve"> expect the federal government to play a proactive role in defending it. We certainly can’t afford to have a prime minister who will enable even more privatization of this vital public service. </w:t>
      </w:r>
      <w:r w:rsidRPr="00DD2D90">
        <w:rPr>
          <w:rStyle w:val="StyleUnderline"/>
        </w:rPr>
        <w:t>Canadians</w:t>
      </w:r>
      <w:r w:rsidRPr="009278EB">
        <w:rPr>
          <w:sz w:val="16"/>
        </w:rPr>
        <w:t xml:space="preserve"> should be on guard: a significant </w:t>
      </w:r>
      <w:r w:rsidRPr="00DD2D90">
        <w:rPr>
          <w:rStyle w:val="StyleUnderline"/>
        </w:rPr>
        <w:t>transformation is underway</w:t>
      </w:r>
      <w:r w:rsidRPr="009278EB">
        <w:rPr>
          <w:sz w:val="16"/>
        </w:rPr>
        <w:t>, and if we allow it to proceed, too many of us will be sidelined by high-cost privatized medical care in the future. The fact is that we need more investment in our health, but profit is not the cure.</w:t>
      </w:r>
    </w:p>
    <w:p w14:paraId="072473B1" w14:textId="34A88689" w:rsidR="00022D36" w:rsidRDefault="009278EB" w:rsidP="009278EB">
      <w:pPr>
        <w:pStyle w:val="Heading4"/>
      </w:pPr>
      <w:r>
        <w:t xml:space="preserve">1.1.4. </w:t>
      </w:r>
      <w:r w:rsidR="00022D36" w:rsidRPr="00DD2D90">
        <w:t>What is a Commodity?</w:t>
      </w:r>
    </w:p>
    <w:p w14:paraId="2BAB0CF6" w14:textId="6207C591" w:rsidR="000B0309" w:rsidRPr="000B0309" w:rsidRDefault="000B0309" w:rsidP="00037A7E">
      <w:pPr>
        <w:spacing w:line="480" w:lineRule="auto"/>
        <w:ind w:firstLine="720"/>
      </w:pPr>
      <w:r>
        <w:t>Marxist theory is very i</w:t>
      </w:r>
      <w:r w:rsidRPr="00DD2D90">
        <w:t xml:space="preserve">mportant </w:t>
      </w:r>
      <w:r>
        <w:t xml:space="preserve">for conceptually grasping the concept. </w:t>
      </w:r>
      <w:r w:rsidRPr="00DD2D90">
        <w:t>Literally the first few chapter of Das Kapital, his seminal work on the underlying nature of capitalism, is all about commodities</w:t>
      </w:r>
      <w:r w:rsidR="00037A7E">
        <w:t xml:space="preserve"> (see </w:t>
      </w:r>
      <w:hyperlink r:id="rId14" w:history="1">
        <w:r w:rsidR="00037A7E" w:rsidRPr="00037A7E">
          <w:rPr>
            <w:rStyle w:val="Hyperlink"/>
          </w:rPr>
          <w:t>1</w:t>
        </w:r>
      </w:hyperlink>
      <w:r w:rsidR="00037A7E">
        <w:t xml:space="preserve">, </w:t>
      </w:r>
      <w:hyperlink r:id="rId15" w:history="1">
        <w:r w:rsidR="00037A7E" w:rsidRPr="00037A7E">
          <w:rPr>
            <w:rStyle w:val="Hyperlink"/>
          </w:rPr>
          <w:t>2</w:t>
        </w:r>
      </w:hyperlink>
      <w:r w:rsidR="00037A7E">
        <w:t xml:space="preserve">, and </w:t>
      </w:r>
      <w:hyperlink r:id="rId16" w:history="1">
        <w:r w:rsidR="00037A7E" w:rsidRPr="00037A7E">
          <w:rPr>
            <w:rStyle w:val="Hyperlink"/>
          </w:rPr>
          <w:t>3</w:t>
        </w:r>
      </w:hyperlink>
      <w:r w:rsidR="00037A7E">
        <w:t>). Marxist theory is how we think of terms like surplus-value, use-value, and exchange-value.</w:t>
      </w:r>
    </w:p>
    <w:p w14:paraId="281227FB" w14:textId="05282240" w:rsidR="00CE7109" w:rsidRPr="009278EB" w:rsidRDefault="000B0309" w:rsidP="00CE7109">
      <w:pPr>
        <w:pStyle w:val="Heading4"/>
        <w:rPr>
          <w:szCs w:val="26"/>
        </w:rPr>
      </w:pPr>
      <w:r>
        <w:rPr>
          <w:szCs w:val="26"/>
        </w:rPr>
        <w:t xml:space="preserve">As part of the commodification of everything, capitalists find </w:t>
      </w:r>
      <w:proofErr w:type="gramStart"/>
      <w:r>
        <w:rPr>
          <w:szCs w:val="26"/>
        </w:rPr>
        <w:t>more and more</w:t>
      </w:r>
      <w:proofErr w:type="gramEnd"/>
      <w:r>
        <w:rPr>
          <w:szCs w:val="26"/>
        </w:rPr>
        <w:t xml:space="preserve"> fringe areas to </w:t>
      </w:r>
      <w:proofErr w:type="gramStart"/>
      <w:r>
        <w:rPr>
          <w:szCs w:val="26"/>
        </w:rPr>
        <w:t>find</w:t>
      </w:r>
      <w:proofErr w:type="gramEnd"/>
      <w:r>
        <w:rPr>
          <w:szCs w:val="26"/>
        </w:rPr>
        <w:t xml:space="preserve"> profit</w:t>
      </w:r>
    </w:p>
    <w:p w14:paraId="5B948027" w14:textId="77777777" w:rsidR="00CE7109" w:rsidRPr="00DD2D90" w:rsidRDefault="00CE7109" w:rsidP="00CE7109">
      <w:r w:rsidRPr="009278EB">
        <w:rPr>
          <w:b/>
          <w:bCs/>
          <w:sz w:val="26"/>
          <w:szCs w:val="26"/>
        </w:rPr>
        <w:t>Christiansen 17</w:t>
      </w:r>
      <w:r w:rsidRPr="00DD2D90">
        <w:t xml:space="preserve"> [Isaac Christiansen, Assistant Professor of Sociology at Midwestern State University, 2017, “Commodification of Healthcare and its Consequences,” World Review of Political Economy, https://www.jstor.org/stable/10.13169/worlrevipoliecon.8.1.0082]/Kankee</w:t>
      </w:r>
    </w:p>
    <w:p w14:paraId="6B054C4E" w14:textId="77777777" w:rsidR="00CE7109" w:rsidRPr="009278EB" w:rsidRDefault="00CE7109" w:rsidP="00CE7109">
      <w:pPr>
        <w:pBdr>
          <w:bottom w:val="single" w:sz="6" w:space="1" w:color="auto"/>
        </w:pBdr>
        <w:rPr>
          <w:sz w:val="16"/>
        </w:rPr>
      </w:pPr>
      <w:r w:rsidRPr="009278EB">
        <w:rPr>
          <w:sz w:val="16"/>
        </w:rPr>
        <w:t xml:space="preserve">The sanitation movement that sparked the mortality revolution in England was then hardly an achievement, in the sense of an intended effect, of capitalism, any more than the Russian revolution was an achievement of the Czarist autocracy, or Indian independence an achievement of the British Raj. The sanitation movement that produced the mortality revolution was a reaction against the social costs of capitalism, not a benefit the capitalist class sought to confer, while on the other hand non-capitalist countries have matched and sometimes surpassed the achievement of many capitalist countries in raising life expectancy. (Leys 2009, 5) It is noteworthy here that </w:t>
      </w:r>
      <w:r w:rsidRPr="00DD2D90">
        <w:rPr>
          <w:rStyle w:val="StyleUnderline"/>
        </w:rPr>
        <w:t xml:space="preserve">under capitalism, capitalists seek to both augment (and realize) surplus value, as well as to increase that portion of surplus value that becomes their profit </w:t>
      </w:r>
      <w:r w:rsidRPr="009278EB">
        <w:rPr>
          <w:sz w:val="16"/>
        </w:rPr>
        <w:t xml:space="preserve">(versus the portion that is paid to the government as taxes and becomes part of the public dollar), while simultaneously offering only those “ben- </w:t>
      </w:r>
      <w:proofErr w:type="spellStart"/>
      <w:r w:rsidRPr="009278EB">
        <w:rPr>
          <w:sz w:val="16"/>
        </w:rPr>
        <w:t>efits</w:t>
      </w:r>
      <w:proofErr w:type="spellEnd"/>
      <w:r w:rsidRPr="009278EB">
        <w:rPr>
          <w:sz w:val="16"/>
        </w:rPr>
        <w:t xml:space="preserve">” necessary for retaining their workforce. Furthermore, </w:t>
      </w:r>
      <w:r w:rsidRPr="00DD2D90">
        <w:rPr>
          <w:rStyle w:val="StyleUnderline"/>
        </w:rPr>
        <w:t xml:space="preserve">due to </w:t>
      </w:r>
      <w:r w:rsidRPr="009278EB">
        <w:rPr>
          <w:sz w:val="16"/>
        </w:rPr>
        <w:t xml:space="preserve">the difficulties and intense </w:t>
      </w:r>
      <w:r w:rsidRPr="00DD2D90">
        <w:rPr>
          <w:rStyle w:val="StyleUnderline"/>
        </w:rPr>
        <w:t>competition</w:t>
      </w:r>
      <w:r w:rsidRPr="009278EB">
        <w:rPr>
          <w:sz w:val="16"/>
        </w:rPr>
        <w:t xml:space="preserve"> in finding profitable outlets for investment as both increases in productivity and global competition have magnified overproduction and the surplus absorption problem, </w:t>
      </w:r>
      <w:r w:rsidRPr="00DD2D90">
        <w:rPr>
          <w:rStyle w:val="StyleUnderline"/>
        </w:rPr>
        <w:t>there has been an increased pressure</w:t>
      </w:r>
      <w:r w:rsidRPr="009278EB">
        <w:rPr>
          <w:sz w:val="16"/>
        </w:rPr>
        <w:t xml:space="preserve"> on </w:t>
      </w:r>
      <w:proofErr w:type="spellStart"/>
      <w:r w:rsidRPr="009278EB">
        <w:rPr>
          <w:sz w:val="16"/>
        </w:rPr>
        <w:t>capi</w:t>
      </w:r>
      <w:proofErr w:type="spellEnd"/>
      <w:proofErr w:type="gramStart"/>
      <w:r w:rsidRPr="009278EB">
        <w:rPr>
          <w:sz w:val="16"/>
        </w:rPr>
        <w:t xml:space="preserve">- </w:t>
      </w:r>
      <w:proofErr w:type="spellStart"/>
      <w:r w:rsidRPr="009278EB">
        <w:rPr>
          <w:sz w:val="16"/>
        </w:rPr>
        <w:t>tal</w:t>
      </w:r>
      <w:proofErr w:type="spellEnd"/>
      <w:proofErr w:type="gramEnd"/>
      <w:r w:rsidRPr="009278EB">
        <w:rPr>
          <w:sz w:val="16"/>
        </w:rPr>
        <w:t xml:space="preserve"> </w:t>
      </w:r>
      <w:r w:rsidRPr="00DD2D90">
        <w:rPr>
          <w:rStyle w:val="StyleUnderline"/>
        </w:rPr>
        <w:t>to penetrate economic</w:t>
      </w:r>
      <w:r w:rsidRPr="009278EB">
        <w:rPr>
          <w:sz w:val="16"/>
        </w:rPr>
        <w:t xml:space="preserve"> sectors that were </w:t>
      </w:r>
      <w:r w:rsidRPr="00DD2D90">
        <w:rPr>
          <w:rStyle w:val="StyleUnderline"/>
        </w:rPr>
        <w:t xml:space="preserve">previously </w:t>
      </w:r>
      <w:r w:rsidRPr="00DD2D90">
        <w:rPr>
          <w:rStyle w:val="Emphasis"/>
        </w:rPr>
        <w:t>off-limits</w:t>
      </w:r>
      <w:r w:rsidRPr="009278EB">
        <w:rPr>
          <w:sz w:val="16"/>
        </w:rPr>
        <w:t xml:space="preserve"> to </w:t>
      </w:r>
      <w:r w:rsidRPr="00DD2D90">
        <w:rPr>
          <w:rStyle w:val="StyleUnderline"/>
        </w:rPr>
        <w:t xml:space="preserve">private </w:t>
      </w:r>
      <w:proofErr w:type="gramStart"/>
      <w:r w:rsidRPr="00DD2D90">
        <w:rPr>
          <w:rStyle w:val="StyleUnderline"/>
        </w:rPr>
        <w:t>owner- ship</w:t>
      </w:r>
      <w:proofErr w:type="gramEnd"/>
      <w:r w:rsidRPr="00DD2D90">
        <w:rPr>
          <w:rStyle w:val="StyleUnderline"/>
        </w:rPr>
        <w:t xml:space="preserve"> </w:t>
      </w:r>
      <w:r w:rsidRPr="009278EB">
        <w:rPr>
          <w:sz w:val="16"/>
        </w:rPr>
        <w:t xml:space="preserve">and investment. While it should be noted that neoliberal austerity measures might arise independently of the pressures created by difficulties in surplus absorption, these pressures may intensify the desires of investors to </w:t>
      </w:r>
      <w:proofErr w:type="gramStart"/>
      <w:r w:rsidRPr="009278EB">
        <w:rPr>
          <w:sz w:val="16"/>
        </w:rPr>
        <w:t>open up</w:t>
      </w:r>
      <w:proofErr w:type="gramEnd"/>
      <w:r w:rsidRPr="009278EB">
        <w:rPr>
          <w:sz w:val="16"/>
        </w:rPr>
        <w:t xml:space="preserve"> new sectors. Thus, we have seen that </w:t>
      </w:r>
      <w:r w:rsidRPr="00DD2D90">
        <w:rPr>
          <w:rStyle w:val="StyleUnderline"/>
        </w:rPr>
        <w:t>the “capitalist class” has often acted through their respective political apparatuses to reduce the amounts of social services publicly available to its workforce</w:t>
      </w:r>
      <w:r w:rsidRPr="009278EB">
        <w:rPr>
          <w:sz w:val="16"/>
        </w:rPr>
        <w:t xml:space="preserve"> (since this is viewed by the capitalist as a deduction from their profits) </w:t>
      </w:r>
      <w:r w:rsidRPr="00DD2D90">
        <w:rPr>
          <w:rStyle w:val="StyleUnderline"/>
        </w:rPr>
        <w:t>and</w:t>
      </w:r>
      <w:r w:rsidRPr="009278EB">
        <w:rPr>
          <w:sz w:val="16"/>
        </w:rPr>
        <w:t xml:space="preserve"> has sought to privatize and </w:t>
      </w:r>
      <w:r w:rsidRPr="00DD2D90">
        <w:rPr>
          <w:rStyle w:val="StyleUnderline"/>
        </w:rPr>
        <w:t>commodify</w:t>
      </w:r>
      <w:r w:rsidRPr="009278EB">
        <w:rPr>
          <w:sz w:val="16"/>
        </w:rPr>
        <w:t xml:space="preserve"> </w:t>
      </w:r>
      <w:r w:rsidRPr="00DD2D90">
        <w:rPr>
          <w:rStyle w:val="StyleUnderline"/>
        </w:rPr>
        <w:t>those services not yet privatized</w:t>
      </w:r>
      <w:r w:rsidRPr="009278EB">
        <w:rPr>
          <w:sz w:val="16"/>
        </w:rPr>
        <w:t xml:space="preserve"> (Hermann 2009). In countries where the dominant mode of production is capitalist, the balance of social power between the working and capitalist classes varies, leading to </w:t>
      </w:r>
      <w:proofErr w:type="spellStart"/>
      <w:proofErr w:type="gramStart"/>
      <w:r w:rsidRPr="009278EB">
        <w:rPr>
          <w:sz w:val="16"/>
        </w:rPr>
        <w:t>vari</w:t>
      </w:r>
      <w:proofErr w:type="spellEnd"/>
      <w:r w:rsidRPr="009278EB">
        <w:rPr>
          <w:sz w:val="16"/>
        </w:rPr>
        <w:t xml:space="preserve">- </w:t>
      </w:r>
      <w:proofErr w:type="spellStart"/>
      <w:r w:rsidRPr="009278EB">
        <w:rPr>
          <w:sz w:val="16"/>
        </w:rPr>
        <w:t>ous</w:t>
      </w:r>
      <w:proofErr w:type="spellEnd"/>
      <w:proofErr w:type="gramEnd"/>
      <w:r w:rsidRPr="009278EB">
        <w:rPr>
          <w:sz w:val="16"/>
        </w:rPr>
        <w:t xml:space="preserve"> degrees in which social services are privatized. Hence, social-democratic countries that retain public healthcare systems that are either government funded and publicly provided or government funded and privately provided (often through systems of progressive taxation) represent a balance of class forces where working classes have relatively greater control than in countries where healthcare is </w:t>
      </w:r>
      <w:proofErr w:type="spellStart"/>
      <w:r w:rsidRPr="009278EB">
        <w:rPr>
          <w:sz w:val="16"/>
        </w:rPr>
        <w:t>privat</w:t>
      </w:r>
      <w:proofErr w:type="spellEnd"/>
      <w:r w:rsidRPr="009278EB">
        <w:rPr>
          <w:sz w:val="16"/>
        </w:rPr>
        <w:t xml:space="preserve">- </w:t>
      </w:r>
      <w:proofErr w:type="spellStart"/>
      <w:r w:rsidRPr="009278EB">
        <w:rPr>
          <w:sz w:val="16"/>
        </w:rPr>
        <w:t>ized</w:t>
      </w:r>
      <w:proofErr w:type="spellEnd"/>
      <w:r w:rsidRPr="009278EB">
        <w:rPr>
          <w:sz w:val="16"/>
        </w:rPr>
        <w:t xml:space="preserve"> and access is mediated by insurance companies and market imperatives. The latter group of nations represents countries in which working class power has been significantly eroded and where the imperatives of profit maximization are less </w:t>
      </w:r>
      <w:proofErr w:type="spellStart"/>
      <w:r w:rsidRPr="009278EB">
        <w:rPr>
          <w:sz w:val="16"/>
        </w:rPr>
        <w:t>fet</w:t>
      </w:r>
      <w:proofErr w:type="spellEnd"/>
      <w:r w:rsidRPr="009278EB">
        <w:rPr>
          <w:sz w:val="16"/>
        </w:rPr>
        <w:t xml:space="preserve">- </w:t>
      </w:r>
      <w:proofErr w:type="spellStart"/>
      <w:r w:rsidRPr="009278EB">
        <w:rPr>
          <w:sz w:val="16"/>
        </w:rPr>
        <w:t>tered</w:t>
      </w:r>
      <w:proofErr w:type="spellEnd"/>
      <w:r w:rsidRPr="009278EB">
        <w:rPr>
          <w:sz w:val="16"/>
        </w:rPr>
        <w:t xml:space="preserve"> by working class demands.4 So, it becomes clear that </w:t>
      </w:r>
      <w:r w:rsidRPr="00DD2D90">
        <w:rPr>
          <w:rStyle w:val="StyleUnderline"/>
        </w:rPr>
        <w:t>the more unrestrained the power of the capitalist class in its pursuit of profit, the greater the push for more privatized healthcare, the greater</w:t>
      </w:r>
      <w:r w:rsidRPr="009278EB">
        <w:rPr>
          <w:sz w:val="16"/>
        </w:rPr>
        <w:t xml:space="preserve"> the extent that the logic of capital operates in the field of </w:t>
      </w:r>
      <w:r w:rsidRPr="00DD2D90">
        <w:rPr>
          <w:rStyle w:val="StyleUnderline"/>
        </w:rPr>
        <w:t>healthcare</w:t>
      </w:r>
      <w:r w:rsidRPr="009278EB">
        <w:rPr>
          <w:sz w:val="16"/>
        </w:rPr>
        <w:t xml:space="preserve"> provision resulting in greater </w:t>
      </w:r>
      <w:r w:rsidRPr="00DD2D90">
        <w:rPr>
          <w:rStyle w:val="StyleUnderline"/>
        </w:rPr>
        <w:t>inequality</w:t>
      </w:r>
      <w:r w:rsidRPr="009278EB">
        <w:rPr>
          <w:sz w:val="16"/>
        </w:rPr>
        <w:t xml:space="preserve"> in healthcare distribution (accessibility). Healthcare Financing in the United States </w:t>
      </w:r>
    </w:p>
    <w:p w14:paraId="172A3519" w14:textId="5B935C16" w:rsidR="00022D36" w:rsidRPr="00DD2D90" w:rsidRDefault="000B0309" w:rsidP="00C11721">
      <w:pPr>
        <w:spacing w:line="480" w:lineRule="auto"/>
        <w:ind w:firstLine="720"/>
      </w:pPr>
      <w:r>
        <w:t>Within Marxist theory is the concept that there is a t</w:t>
      </w:r>
      <w:r w:rsidR="00E46597">
        <w:t xml:space="preserve">endency </w:t>
      </w:r>
      <w:r>
        <w:t>for the rates of</w:t>
      </w:r>
      <w:r w:rsidR="00E46597">
        <w:t xml:space="preserve"> profits to fall over time</w:t>
      </w:r>
      <w:r>
        <w:t>. This is why Marx thought that capitalism was unsustainable and the transition to communism was inevitable due to the contradictions of capitalism, as there simply lacked sufficient returns on the “low hanging fruit” of capitalism. One means of delaying the end of capitalism was a</w:t>
      </w:r>
      <w:r>
        <w:t>utophagy</w:t>
      </w:r>
      <w:r>
        <w:t xml:space="preserve">, or the process of </w:t>
      </w:r>
      <w:r>
        <w:t>capitalism</w:t>
      </w:r>
      <w:r>
        <w:t xml:space="preserve"> </w:t>
      </w:r>
      <w:r>
        <w:t>cannibal</w:t>
      </w:r>
      <w:r>
        <w:t>izing itself,</w:t>
      </w:r>
      <w:r>
        <w:t xml:space="preserve"> </w:t>
      </w:r>
      <w:proofErr w:type="gramStart"/>
      <w:r>
        <w:t>hollow</w:t>
      </w:r>
      <w:r>
        <w:t>ing</w:t>
      </w:r>
      <w:r>
        <w:t>-out</w:t>
      </w:r>
      <w:proofErr w:type="gramEnd"/>
      <w:r>
        <w:t xml:space="preserve"> </w:t>
      </w:r>
      <w:r>
        <w:t xml:space="preserve">the foundations of society and promoting parasitic growth. Financialization is a good example of private cannibalism, as the best means of increasing returns when all other options have been erased is running a bare-bones company focused on speculation over real growth, and leave the government holding the empty bag when the market crashes using “too big to fail” logic.  creating </w:t>
      </w:r>
      <w:r>
        <w:t>novel markets out former public goods</w:t>
      </w:r>
      <w:r>
        <w:t xml:space="preserve">. Neoliberalism is the overarching trend of public cannibalism, reducing social welfare spending and promoting public-private partnerships </w:t>
      </w:r>
      <w:proofErr w:type="gramStart"/>
      <w:r>
        <w:t>in order to</w:t>
      </w:r>
      <w:proofErr w:type="gramEnd"/>
      <w:r>
        <w:t xml:space="preserve"> create new commodities that the government formerly provided.</w:t>
      </w:r>
    </w:p>
    <w:p w14:paraId="48ECC8F3" w14:textId="54A69EE2" w:rsidR="00F63522" w:rsidRPr="00D05211" w:rsidRDefault="00F63522" w:rsidP="00F63522">
      <w:pPr>
        <w:pStyle w:val="Heading3"/>
        <w:rPr>
          <w:rFonts w:ascii="Arial Black" w:hAnsi="Arial Black"/>
          <w:color w:val="B43E1F"/>
          <w:szCs w:val="32"/>
        </w:rPr>
      </w:pPr>
      <w:r w:rsidRPr="00D05211">
        <w:rPr>
          <w:rFonts w:ascii="Arial Black" w:hAnsi="Arial Black"/>
          <w:color w:val="B43E1F"/>
          <w:szCs w:val="32"/>
        </w:rPr>
        <w:t>1.2 Affirmative Topic Analysis</w:t>
      </w:r>
    </w:p>
    <w:p w14:paraId="3EE5FEC6" w14:textId="0C722CD4" w:rsidR="00F63522" w:rsidRPr="00DD2D90" w:rsidRDefault="00F63522" w:rsidP="009278EB">
      <w:pPr>
        <w:pStyle w:val="Heading4"/>
      </w:pPr>
      <w:bookmarkStart w:id="1" w:name="_1.2.1_Economy"/>
      <w:bookmarkEnd w:id="1"/>
      <w:r w:rsidRPr="00DD2D90">
        <w:t xml:space="preserve">1.2.1 </w:t>
      </w:r>
      <w:r w:rsidR="00C45836" w:rsidRPr="00DD2D90">
        <w:t>Economy</w:t>
      </w:r>
    </w:p>
    <w:p w14:paraId="69CF4034" w14:textId="77777777" w:rsidR="0080225F" w:rsidRDefault="00F63522" w:rsidP="00C11721">
      <w:pPr>
        <w:spacing w:line="480" w:lineRule="auto"/>
        <w:ind w:firstLine="720"/>
      </w:pPr>
      <w:r w:rsidRPr="009278EB">
        <w:t xml:space="preserve">Contention 1 is </w:t>
      </w:r>
      <w:r w:rsidR="00057B61" w:rsidRPr="009278EB">
        <w:t>the Economy</w:t>
      </w:r>
      <w:r w:rsidRPr="009278EB">
        <w:t xml:space="preserve">. </w:t>
      </w:r>
      <w:r w:rsidR="008F41A5" w:rsidRPr="009278EB">
        <w:t>Broken windows</w:t>
      </w:r>
      <w:r w:rsidR="00037A7E">
        <w:t xml:space="preserve"> economic</w:t>
      </w:r>
      <w:r w:rsidR="008F41A5" w:rsidRPr="009278EB">
        <w:t xml:space="preserve"> theory </w:t>
      </w:r>
      <w:r w:rsidR="00037A7E">
        <w:t>is an example of how unproductive spending can artificially inflate GDP numbers, such as pointlessly breaking a window for the purpose of encouraging glassmakers to replace it. The economy is growing, but nothing productive is happening. The US a</w:t>
      </w:r>
      <w:r w:rsidR="00037A7E" w:rsidRPr="009278EB">
        <w:t>lready spend</w:t>
      </w:r>
      <w:r w:rsidR="00037A7E">
        <w:t>s</w:t>
      </w:r>
      <w:r w:rsidR="00037A7E" w:rsidRPr="009278EB">
        <w:t xml:space="preserve"> almost double the WHO recommended </w:t>
      </w:r>
      <w:r w:rsidR="00037A7E">
        <w:t xml:space="preserve">national health </w:t>
      </w:r>
      <w:proofErr w:type="gramStart"/>
      <w:r w:rsidR="00037A7E">
        <w:t>expenditures</w:t>
      </w:r>
      <w:proofErr w:type="gramEnd"/>
      <w:r w:rsidR="00037A7E">
        <w:t xml:space="preserve"> as </w:t>
      </w:r>
      <w:r w:rsidR="00037A7E" w:rsidRPr="009278EB">
        <w:t xml:space="preserve">percent of GDP, but </w:t>
      </w:r>
      <w:r w:rsidR="00037A7E">
        <w:t xml:space="preserve">we </w:t>
      </w:r>
      <w:r w:rsidR="00037A7E" w:rsidRPr="009278EB">
        <w:t xml:space="preserve">get </w:t>
      </w:r>
      <w:r w:rsidR="00037A7E">
        <w:t xml:space="preserve">much </w:t>
      </w:r>
      <w:r w:rsidR="00037A7E" w:rsidRPr="009278EB">
        <w:t xml:space="preserve">worse outcomes </w:t>
      </w:r>
      <w:r w:rsidR="00037A7E">
        <w:t>compared to virtually</w:t>
      </w:r>
      <w:r w:rsidR="00037A7E" w:rsidRPr="009278EB">
        <w:t xml:space="preserve"> all other OECD countries</w:t>
      </w:r>
      <w:r w:rsidR="00037A7E">
        <w:t xml:space="preserve">. If private healthcare spending keeps increasing, then the US will lose its competitive edge compared to other countries with more productive economies </w:t>
      </w:r>
      <w:proofErr w:type="gramStart"/>
      <w:r w:rsidR="00037A7E">
        <w:t>despite the fact that</w:t>
      </w:r>
      <w:proofErr w:type="gramEnd"/>
      <w:r w:rsidR="00037A7E">
        <w:t xml:space="preserve"> have we have higher rates of GDP growth. </w:t>
      </w:r>
      <w:r w:rsidR="00037A7E" w:rsidRPr="009278EB">
        <w:t>Historically, innovations routinely restructured markets, eliminating entire industries and job markets through “creative destruction</w:t>
      </w:r>
      <w:r w:rsidR="00037A7E">
        <w:t>,</w:t>
      </w:r>
      <w:r w:rsidR="00037A7E" w:rsidRPr="009278EB">
        <w:t xml:space="preserve">” replacing </w:t>
      </w:r>
      <w:r w:rsidR="00037A7E" w:rsidRPr="000B0309">
        <w:t>old</w:t>
      </w:r>
      <w:r w:rsidR="00037A7E">
        <w:t>, less productive industries</w:t>
      </w:r>
      <w:r w:rsidR="00037A7E" w:rsidRPr="000B0309">
        <w:t xml:space="preserve"> with new</w:t>
      </w:r>
      <w:r w:rsidR="00037A7E">
        <w:t>er industries</w:t>
      </w:r>
      <w:r w:rsidR="00037A7E" w:rsidRPr="000B0309">
        <w:t>. This is accepted as completely natural, and even desirable (hence popular derision towards “Luddites”); however, when a government is propping up the private market, somehow creative destruction is framed as disastrous</w:t>
      </w:r>
      <w:r w:rsidR="00037A7E">
        <w:t xml:space="preserve">. This contention argues we need </w:t>
      </w:r>
      <w:proofErr w:type="gramStart"/>
      <w:r w:rsidR="00037A7E">
        <w:t>eliminate</w:t>
      </w:r>
      <w:proofErr w:type="gramEnd"/>
      <w:r w:rsidR="00037A7E">
        <w:t xml:space="preserve"> administrative bloat via transitioning to a single-payer system to increase productive economic activity. </w:t>
      </w:r>
    </w:p>
    <w:p w14:paraId="75CAAE91" w14:textId="5FA9DBD6" w:rsidR="00037A7E" w:rsidRPr="00DD2D90" w:rsidRDefault="00037A7E" w:rsidP="00C11721">
      <w:pPr>
        <w:spacing w:line="480" w:lineRule="auto"/>
        <w:ind w:firstLine="720"/>
      </w:pPr>
      <w:r>
        <w:t>This is also based on the idea that we c</w:t>
      </w:r>
      <w:r w:rsidRPr="00DD2D90">
        <w:t xml:space="preserve">an stop </w:t>
      </w:r>
      <w:r>
        <w:t>one</w:t>
      </w:r>
      <w:r w:rsidRPr="00DD2D90">
        <w:t xml:space="preserve"> thing from being a commodity to help </w:t>
      </w:r>
      <w:r>
        <w:t xml:space="preserve">the productivity of </w:t>
      </w:r>
      <w:r w:rsidRPr="00DD2D90">
        <w:t xml:space="preserve">all other commodities. </w:t>
      </w:r>
      <w:r>
        <w:t xml:space="preserve">For instance, the public good of </w:t>
      </w:r>
      <w:r w:rsidRPr="00DD2D90">
        <w:t xml:space="preserve">transportation infrastructure </w:t>
      </w:r>
      <w:r>
        <w:t>is substantially harmed by the p</w:t>
      </w:r>
      <w:r w:rsidRPr="00DD2D90">
        <w:t>rivatization</w:t>
      </w:r>
      <w:r w:rsidRPr="00DD2D90">
        <w:t xml:space="preserve"> of roads</w:t>
      </w:r>
      <w:r>
        <w:t xml:space="preserve"> with tolls.</w:t>
      </w:r>
      <w:r w:rsidRPr="00DD2D90">
        <w:t xml:space="preserve"> </w:t>
      </w:r>
      <w:r>
        <w:t xml:space="preserve">This increases </w:t>
      </w:r>
      <w:r w:rsidRPr="00DD2D90">
        <w:t xml:space="preserve">administrative complexity </w:t>
      </w:r>
      <w:proofErr w:type="gramStart"/>
      <w:r>
        <w:t>in order for</w:t>
      </w:r>
      <w:proofErr w:type="gramEnd"/>
      <w:r>
        <w:t xml:space="preserve"> individuals </w:t>
      </w:r>
      <w:r w:rsidRPr="00DD2D90">
        <w:t>to pay fines</w:t>
      </w:r>
      <w:r>
        <w:t xml:space="preserve"> and</w:t>
      </w:r>
      <w:r w:rsidRPr="00DD2D90">
        <w:t xml:space="preserve"> </w:t>
      </w:r>
      <w:r>
        <w:t xml:space="preserve">traffic engineers to implement </w:t>
      </w:r>
      <w:r w:rsidRPr="00DD2D90">
        <w:t xml:space="preserve">bureaucratic </w:t>
      </w:r>
      <w:r>
        <w:t xml:space="preserve">public-private partnership </w:t>
      </w:r>
      <w:r w:rsidR="0080225F">
        <w:t>regulations</w:t>
      </w:r>
      <w:r>
        <w:t>. This also increases private market complexity, such as individuals needing to t</w:t>
      </w:r>
      <w:r w:rsidRPr="00DD2D90">
        <w:t xml:space="preserve">urn on </w:t>
      </w:r>
      <w:r>
        <w:t>the ‘</w:t>
      </w:r>
      <w:r w:rsidRPr="00DD2D90">
        <w:t xml:space="preserve">no-toll </w:t>
      </w:r>
      <w:proofErr w:type="gramStart"/>
      <w:r w:rsidRPr="00DD2D90">
        <w:t>road</w:t>
      </w:r>
      <w:r>
        <w:t>’</w:t>
      </w:r>
      <w:proofErr w:type="gramEnd"/>
      <w:r>
        <w:t xml:space="preserve"> option</w:t>
      </w:r>
      <w:r w:rsidRPr="00DD2D90">
        <w:t xml:space="preserve"> on GPS</w:t>
      </w:r>
      <w:r>
        <w:t xml:space="preserve"> and use</w:t>
      </w:r>
      <w:r w:rsidRPr="00DD2D90">
        <w:t xml:space="preserve"> alternative routes. </w:t>
      </w:r>
      <w:r>
        <w:t xml:space="preserve">Businesses need to calculate </w:t>
      </w:r>
      <w:r w:rsidRPr="00DD2D90">
        <w:t>reimbursement</w:t>
      </w:r>
      <w:r>
        <w:t>s</w:t>
      </w:r>
      <w:r w:rsidRPr="00DD2D90">
        <w:t xml:space="preserve"> for </w:t>
      </w:r>
      <w:r>
        <w:t>business</w:t>
      </w:r>
      <w:r w:rsidRPr="00DD2D90">
        <w:t xml:space="preserve"> trip</w:t>
      </w:r>
      <w:r>
        <w:t>s by employees and sometimes add specialized machinery to automatically pay tolls. All of this causes a chilling effect on investment due to the dead weight loss of needing to deal with this nonsense.</w:t>
      </w:r>
      <w:r w:rsidRPr="00DD2D90">
        <w:t xml:space="preserve"> </w:t>
      </w:r>
      <w:r>
        <w:t>In contrast, a flat</w:t>
      </w:r>
      <w:r w:rsidRPr="00DD2D90">
        <w:t xml:space="preserve"> gas tax </w:t>
      </w:r>
      <w:r>
        <w:t>decreases complexity and increases ease-of-access in traffic systems</w:t>
      </w:r>
      <w:r w:rsidR="0080225F">
        <w:t xml:space="preserve">. Employers face the same </w:t>
      </w:r>
      <w:proofErr w:type="gramStart"/>
      <w:r w:rsidR="0080225F">
        <w:t>logics</w:t>
      </w:r>
      <w:proofErr w:type="gramEnd"/>
      <w:r w:rsidR="0080225F">
        <w:t xml:space="preserve"> with employer sponsored insurance schemes and employees face the same problem due to job lock. </w:t>
      </w:r>
    </w:p>
    <w:p w14:paraId="1CC6FF8F" w14:textId="77777777" w:rsidR="000B0309" w:rsidRPr="009278EB" w:rsidRDefault="000B0309" w:rsidP="009278EB">
      <w:pPr>
        <w:rPr>
          <w:sz w:val="16"/>
        </w:rPr>
      </w:pPr>
    </w:p>
    <w:p w14:paraId="7A8C1533" w14:textId="0F1F2293" w:rsidR="00F63522" w:rsidRPr="00DD2D90" w:rsidRDefault="00F63522" w:rsidP="009278EB">
      <w:pPr>
        <w:pStyle w:val="Heading4"/>
      </w:pPr>
      <w:bookmarkStart w:id="2" w:name="_1.2.2_Public_Debt"/>
      <w:bookmarkEnd w:id="2"/>
      <w:r w:rsidRPr="00DD2D90">
        <w:t xml:space="preserve">1.2.2 </w:t>
      </w:r>
      <w:r w:rsidR="00986E31" w:rsidRPr="00DD2D90">
        <w:t>Public</w:t>
      </w:r>
      <w:r w:rsidR="00C45836" w:rsidRPr="00DD2D90">
        <w:t xml:space="preserve"> Debt</w:t>
      </w:r>
    </w:p>
    <w:p w14:paraId="6B164AAC" w14:textId="517661D4" w:rsidR="00F63522" w:rsidRPr="00DD2D90" w:rsidRDefault="00F63522" w:rsidP="00C11721">
      <w:pPr>
        <w:spacing w:line="480" w:lineRule="auto"/>
        <w:ind w:firstLine="720"/>
      </w:pPr>
      <w:r w:rsidRPr="00DD2D90">
        <w:t xml:space="preserve">Contention 2 is </w:t>
      </w:r>
      <w:r w:rsidR="00986E31" w:rsidRPr="00DD2D90">
        <w:t>Public</w:t>
      </w:r>
      <w:r w:rsidR="00057B61" w:rsidRPr="00DD2D90">
        <w:t xml:space="preserve"> Debt</w:t>
      </w:r>
      <w:r w:rsidRPr="00DD2D90">
        <w:t>.</w:t>
      </w:r>
      <w:r w:rsidR="00037A7E">
        <w:t xml:space="preserve"> </w:t>
      </w:r>
      <w:r w:rsidR="0080225F">
        <w:t>National health expenditures, particularly by the federal and state governments, are too high, contributing to the national debt. Including many actors increases administrative complexity that makes it more expensive for the government, even though they are not paying for the total. This contention is a link turn for neg taxation/deficit spending contentions.</w:t>
      </w:r>
    </w:p>
    <w:p w14:paraId="513BA025" w14:textId="51C2CB30" w:rsidR="00F63522" w:rsidRPr="00DD2D90" w:rsidRDefault="00F63522" w:rsidP="009278EB">
      <w:pPr>
        <w:pStyle w:val="Heading4"/>
      </w:pPr>
      <w:bookmarkStart w:id="3" w:name="_1.2.3_Inequality"/>
      <w:bookmarkEnd w:id="3"/>
      <w:r w:rsidRPr="00DD2D90">
        <w:t xml:space="preserve">1.2.3 </w:t>
      </w:r>
      <w:r w:rsidR="00986E31" w:rsidRPr="00DD2D90">
        <w:t>Inequality</w:t>
      </w:r>
    </w:p>
    <w:p w14:paraId="71655E8F" w14:textId="4593E239" w:rsidR="003A6BE0" w:rsidRPr="00DD2D90" w:rsidRDefault="003A6BE0" w:rsidP="00C11721">
      <w:pPr>
        <w:spacing w:line="480" w:lineRule="auto"/>
      </w:pPr>
      <w:r w:rsidRPr="00DD2D90">
        <w:t>“Of all the forms of inequality, injustice in health is the most shocking and inhuman.” – Martin Luther King, Jr.</w:t>
      </w:r>
    </w:p>
    <w:p w14:paraId="55CC5E57" w14:textId="0B877EA1" w:rsidR="0080225F" w:rsidRPr="00DD2D90" w:rsidRDefault="00F63522" w:rsidP="00C11721">
      <w:pPr>
        <w:spacing w:line="480" w:lineRule="auto"/>
        <w:ind w:firstLine="720"/>
      </w:pPr>
      <w:r w:rsidRPr="00DD2D90">
        <w:t xml:space="preserve">Contention 3 is </w:t>
      </w:r>
      <w:r w:rsidR="00986E31" w:rsidRPr="00DD2D90">
        <w:t>Inequality</w:t>
      </w:r>
      <w:r w:rsidRPr="00DD2D90">
        <w:t>.</w:t>
      </w:r>
      <w:r w:rsidR="0080225F">
        <w:t xml:space="preserve"> Private insurance and medical debt are regressive, harming poor folk with worse insurance policies and less disposable income more </w:t>
      </w:r>
      <w:proofErr w:type="gramStart"/>
      <w:r w:rsidR="0080225F">
        <w:t>so than</w:t>
      </w:r>
      <w:proofErr w:type="gramEnd"/>
      <w:r w:rsidR="0080225F">
        <w:t xml:space="preserve"> </w:t>
      </w:r>
      <w:proofErr w:type="gramStart"/>
      <w:r w:rsidR="0080225F">
        <w:t>more wealthy</w:t>
      </w:r>
      <w:proofErr w:type="gramEnd"/>
      <w:r w:rsidR="0080225F">
        <w:t xml:space="preserve"> individuals. Surprise medical bills are a constant cause of bankruptcy and decreasing the credit rankings of low-income individuals, especially if their wages are garnished, leading to a cycle of poverty. Similarly, employers needing to supply employees with benefits are a cause of wage stagnation, which harms people reliant on income as opposed to capital.</w:t>
      </w:r>
      <w:r w:rsidR="0080225F" w:rsidRPr="0080225F">
        <w:t xml:space="preserve"> </w:t>
      </w:r>
      <w:r w:rsidR="0080225F">
        <w:t>Similarly, there is an open question of h</w:t>
      </w:r>
      <w:r w:rsidR="0080225F" w:rsidRPr="00DD2D90">
        <w:t xml:space="preserve">ow </w:t>
      </w:r>
      <w:proofErr w:type="gramStart"/>
      <w:r w:rsidR="0080225F">
        <w:t>does the US insurance system work</w:t>
      </w:r>
      <w:proofErr w:type="gramEnd"/>
      <w:r w:rsidR="0080225F">
        <w:t xml:space="preserve"> if everyone is reliant on employer sponsored insurance and </w:t>
      </w:r>
      <w:r w:rsidR="0080225F" w:rsidRPr="00DD2D90">
        <w:t>everyone’s job is replaced w</w:t>
      </w:r>
      <w:r w:rsidR="0080225F">
        <w:t>ith</w:t>
      </w:r>
      <w:r w:rsidR="0080225F" w:rsidRPr="00DD2D90">
        <w:t xml:space="preserve"> AI. </w:t>
      </w:r>
      <w:r w:rsidR="0080225F">
        <w:t>This is particularly bad during public health crises like a</w:t>
      </w:r>
      <w:r w:rsidR="0080225F" w:rsidRPr="00DD2D90">
        <w:t xml:space="preserve"> pandemic</w:t>
      </w:r>
      <w:r w:rsidR="0080225F">
        <w:t xml:space="preserve">; </w:t>
      </w:r>
      <w:r w:rsidR="0080225F" w:rsidRPr="00DD2D90">
        <w:t xml:space="preserve">if </w:t>
      </w:r>
      <w:r w:rsidR="0080225F">
        <w:t>you</w:t>
      </w:r>
      <w:r w:rsidR="0080225F" w:rsidRPr="00DD2D90">
        <w:t xml:space="preserve"> lose </w:t>
      </w:r>
      <w:r w:rsidR="0080225F">
        <w:t>your service</w:t>
      </w:r>
      <w:r w:rsidR="0080225F" w:rsidRPr="00DD2D90">
        <w:t xml:space="preserve"> job</w:t>
      </w:r>
      <w:r w:rsidR="0080225F">
        <w:t xml:space="preserve"> and cannot work from home</w:t>
      </w:r>
      <w:r w:rsidR="0080225F" w:rsidRPr="00DD2D90">
        <w:t xml:space="preserve"> due to </w:t>
      </w:r>
      <w:r w:rsidR="0080225F">
        <w:t>a</w:t>
      </w:r>
      <w:r w:rsidR="0080225F" w:rsidRPr="00DD2D90">
        <w:t xml:space="preserve"> pandemic, you lose health insurance, thereby making you more vulnerable to the pandemic. </w:t>
      </w:r>
    </w:p>
    <w:p w14:paraId="266D36FA" w14:textId="1C4C143D" w:rsidR="00251992" w:rsidRPr="00DD2D90" w:rsidRDefault="00251992" w:rsidP="0080225F">
      <w:pPr>
        <w:ind w:firstLine="720"/>
      </w:pPr>
    </w:p>
    <w:p w14:paraId="592DA765" w14:textId="3A772A0A" w:rsidR="00F63522" w:rsidRPr="00DD2D90" w:rsidRDefault="00F63522" w:rsidP="009278EB">
      <w:pPr>
        <w:pStyle w:val="Heading4"/>
      </w:pPr>
      <w:bookmarkStart w:id="4" w:name="_1.2.4_Public_Health"/>
      <w:bookmarkEnd w:id="4"/>
      <w:r w:rsidRPr="00DD2D90">
        <w:t xml:space="preserve">1.2.4 </w:t>
      </w:r>
      <w:r w:rsidR="00C45836" w:rsidRPr="00DD2D90">
        <w:t>Public Health</w:t>
      </w:r>
    </w:p>
    <w:p w14:paraId="4E564A0B" w14:textId="179ED116" w:rsidR="008A2CB2" w:rsidRPr="00DD2D90" w:rsidRDefault="008A2CB2" w:rsidP="00C11721">
      <w:pPr>
        <w:spacing w:line="480" w:lineRule="auto"/>
      </w:pPr>
      <w:r w:rsidRPr="00DD2D90">
        <w:t>“Outbreaks are inevitable. But pandemics are optional.” – Larry Brilliant</w:t>
      </w:r>
    </w:p>
    <w:p w14:paraId="661AEB0E" w14:textId="7CADF213" w:rsidR="0080225F" w:rsidRPr="00DD2D90" w:rsidRDefault="00F63522" w:rsidP="00C11721">
      <w:pPr>
        <w:spacing w:line="480" w:lineRule="auto"/>
        <w:ind w:firstLine="720"/>
      </w:pPr>
      <w:r w:rsidRPr="00DD2D90">
        <w:t xml:space="preserve">Contention 4 is </w:t>
      </w:r>
      <w:r w:rsidR="00057B61" w:rsidRPr="00DD2D90">
        <w:t>Public Health</w:t>
      </w:r>
      <w:r w:rsidRPr="00DD2D90">
        <w:t>.</w:t>
      </w:r>
      <w:r w:rsidR="0080225F">
        <w:t xml:space="preserve"> Health is the meat and potatoes, or rather the IVs and stretchers of any healthcare topic; it is arguably the reason why the topic is being debated and given so much weight compared to other </w:t>
      </w:r>
      <w:r w:rsidR="00EE1644">
        <w:t xml:space="preserve">issue areas with an economic impact. If healthcare does not improve health, why do we have healthcare? </w:t>
      </w:r>
      <w:r w:rsidR="0080225F">
        <w:t xml:space="preserve">A good framing mechanism to answer case turns is Winston Churchill’s defense of democracy, saying that democracy is awful, but it is comparatively better than all other alternatives. Even </w:t>
      </w:r>
      <w:r w:rsidR="0080225F" w:rsidRPr="00DD2D90">
        <w:t xml:space="preserve">if </w:t>
      </w:r>
      <w:r w:rsidR="0080225F">
        <w:t xml:space="preserve">universal healthcare results in one certain </w:t>
      </w:r>
      <w:r w:rsidR="0080225F" w:rsidRPr="00DD2D90">
        <w:t xml:space="preserve">bad </w:t>
      </w:r>
      <w:r w:rsidR="0080225F">
        <w:t>outcome,</w:t>
      </w:r>
      <w:r w:rsidR="0080225F" w:rsidRPr="00DD2D90">
        <w:t xml:space="preserve"> that </w:t>
      </w:r>
      <w:r w:rsidR="0080225F">
        <w:t>one bad thing is not an absolute</w:t>
      </w:r>
      <w:r w:rsidR="0080225F" w:rsidRPr="00DD2D90">
        <w:t xml:space="preserve"> refutation of the idea. </w:t>
      </w:r>
      <w:r w:rsidR="0080225F">
        <w:t>All things involve trade-offs, and stating one negative doesn’t address whether the benefits outweigh the costs. Someone could find a reasonable critique of a near-perfect system that would be much better than something in the status quo, but that critique alone is not a justification for rejecting near-perfection.</w:t>
      </w:r>
    </w:p>
    <w:p w14:paraId="48BB718F" w14:textId="31B85779" w:rsidR="00251992" w:rsidRPr="00DD2D90" w:rsidRDefault="00251992" w:rsidP="00F63522">
      <w:pPr>
        <w:ind w:firstLine="720"/>
      </w:pPr>
    </w:p>
    <w:p w14:paraId="193B4EBB" w14:textId="5244159F" w:rsidR="00251992" w:rsidRPr="00DD2D90" w:rsidRDefault="00251992" w:rsidP="00F63522">
      <w:pPr>
        <w:ind w:firstLine="720"/>
      </w:pPr>
    </w:p>
    <w:p w14:paraId="70943E85" w14:textId="01A426AC" w:rsidR="00F63522" w:rsidRPr="00DD2D90" w:rsidRDefault="00F63522" w:rsidP="009278EB">
      <w:pPr>
        <w:pStyle w:val="Heading4"/>
      </w:pPr>
      <w:bookmarkStart w:id="5" w:name="_1.2.5_Minorities"/>
      <w:bookmarkEnd w:id="5"/>
      <w:r w:rsidRPr="00DD2D90">
        <w:t xml:space="preserve">1.2.5 </w:t>
      </w:r>
      <w:r w:rsidR="00986E31" w:rsidRPr="00DD2D90">
        <w:t>Minorities</w:t>
      </w:r>
    </w:p>
    <w:p w14:paraId="6DD97349" w14:textId="274156FA" w:rsidR="00727A04" w:rsidRPr="00DD2D90" w:rsidRDefault="00727A04" w:rsidP="00C11721">
      <w:pPr>
        <w:spacing w:line="480" w:lineRule="auto"/>
      </w:pPr>
      <w:r w:rsidRPr="00DD2D90">
        <w:t>“Racism, specifically, is the state-sanctioned or extralegal production and exploitation of group-differentiated vulnerability to premature death.” – Ruth Wilson Gilmore</w:t>
      </w:r>
    </w:p>
    <w:p w14:paraId="6E236A81" w14:textId="7908CC78" w:rsidR="00D15EFA" w:rsidRPr="00DD2D90" w:rsidRDefault="00F63522" w:rsidP="00C11721">
      <w:pPr>
        <w:spacing w:line="480" w:lineRule="auto"/>
        <w:ind w:firstLine="720"/>
      </w:pPr>
      <w:r w:rsidRPr="00DD2D90">
        <w:t xml:space="preserve">Contention 5 is </w:t>
      </w:r>
      <w:r w:rsidR="00986E31" w:rsidRPr="00DD2D90">
        <w:t>Minorities</w:t>
      </w:r>
      <w:r w:rsidRPr="00DD2D90">
        <w:t>.</w:t>
      </w:r>
      <w:r w:rsidR="00251992" w:rsidRPr="00DD2D90">
        <w:t xml:space="preserve"> ESI </w:t>
      </w:r>
      <w:r w:rsidR="00EE1644">
        <w:t xml:space="preserve">often </w:t>
      </w:r>
      <w:r w:rsidR="00251992" w:rsidRPr="00DD2D90">
        <w:t xml:space="preserve">harms small </w:t>
      </w:r>
      <w:proofErr w:type="gramStart"/>
      <w:r w:rsidR="00251992" w:rsidRPr="00DD2D90">
        <w:t>business</w:t>
      </w:r>
      <w:proofErr w:type="gramEnd"/>
      <w:r w:rsidR="00251992" w:rsidRPr="00DD2D90">
        <w:t xml:space="preserve"> and </w:t>
      </w:r>
      <w:proofErr w:type="gramStart"/>
      <w:r w:rsidR="00EE1644">
        <w:t xml:space="preserve">the </w:t>
      </w:r>
      <w:r w:rsidR="00251992" w:rsidRPr="00DD2D90">
        <w:t>self</w:t>
      </w:r>
      <w:proofErr w:type="gramEnd"/>
      <w:r w:rsidR="00251992" w:rsidRPr="00DD2D90">
        <w:t>-employe</w:t>
      </w:r>
      <w:r w:rsidR="00EE1644">
        <w:t xml:space="preserve">es. Due to </w:t>
      </w:r>
      <w:r w:rsidR="00EE1644" w:rsidRPr="00DD2D90">
        <w:t>different</w:t>
      </w:r>
      <w:r w:rsidR="00EE1644">
        <w:t>iated</w:t>
      </w:r>
      <w:r w:rsidR="00251992" w:rsidRPr="00DD2D90">
        <w:t xml:space="preserve"> structural access to</w:t>
      </w:r>
      <w:r w:rsidR="00EE1644">
        <w:t xml:space="preserve"> certain types of</w:t>
      </w:r>
      <w:r w:rsidR="00251992" w:rsidRPr="00DD2D90">
        <w:t xml:space="preserve"> jobs, </w:t>
      </w:r>
      <w:r w:rsidR="00EE1644">
        <w:t xml:space="preserve">minorities are more likely to enter job roles that the ESI system disadvantages. </w:t>
      </w:r>
      <w:r w:rsidR="00251992" w:rsidRPr="00DD2D90">
        <w:t xml:space="preserve"> </w:t>
      </w:r>
    </w:p>
    <w:p w14:paraId="79E68264" w14:textId="77777777" w:rsidR="00D15EFA" w:rsidRPr="00DD2D90" w:rsidRDefault="00D15EFA" w:rsidP="009278EB">
      <w:pPr>
        <w:pStyle w:val="Heading4"/>
      </w:pPr>
      <w:r w:rsidRPr="00DD2D90">
        <w:t>List of potential group rate factors – ageism and disability</w:t>
      </w:r>
    </w:p>
    <w:p w14:paraId="1B251DA8" w14:textId="77777777" w:rsidR="00D15EFA" w:rsidRPr="00DD2D90" w:rsidRDefault="00D15EFA" w:rsidP="00D15EFA">
      <w:r w:rsidRPr="009278EB">
        <w:rPr>
          <w:b/>
          <w:bCs/>
          <w:sz w:val="26"/>
          <w:szCs w:val="26"/>
        </w:rPr>
        <w:t>Gionis 23</w:t>
      </w:r>
      <w:r w:rsidRPr="00DD2D90">
        <w:t xml:space="preserve"> [Nickolas Gionis, Senior Health Benefits Account Executive at isolved with a BS from Rhode Island College, 7-11-2023, "How Much Does Health Insurance Cost an Employer? A Brief Pricing Guide", Complete Payroll Solutions, https://www.completepayrollsolutions.com/blog/how-much-does-health-insurance-cost-an-employer]/Kankee</w:t>
      </w:r>
    </w:p>
    <w:p w14:paraId="79EF7C16" w14:textId="77777777" w:rsidR="00D15EFA" w:rsidRPr="009278EB" w:rsidRDefault="00D15EFA" w:rsidP="00D15EFA">
      <w:pPr>
        <w:rPr>
          <w:sz w:val="16"/>
        </w:rPr>
      </w:pPr>
      <w:r w:rsidRPr="009278EB">
        <w:rPr>
          <w:sz w:val="16"/>
        </w:rPr>
        <w:t xml:space="preserve">What factors impact health insurance? While the costs we just described are averages, there are many factors that go into calculating your company’s actual premium costs. The 9 biggest components of your premium are: Age: </w:t>
      </w:r>
      <w:r w:rsidRPr="00DD2D90">
        <w:rPr>
          <w:rStyle w:val="StyleUnderline"/>
        </w:rPr>
        <w:t>The average age of your group is probably the most significant factor impacting your premiums. Generally speaking, the base rate is based on a 21-year-old, with rates going higher for those who are older. However, these increased rates can’t exceed a 3:1 ratio. That means the rate for a 64-year-old can’t be more than three times that of a 21-year-old. State</w:t>
      </w:r>
      <w:r w:rsidRPr="009278EB">
        <w:rPr>
          <w:sz w:val="16"/>
        </w:rPr>
        <w:t xml:space="preserve"> Mandates: Insurance in some states costs more because of state laws that require employer-sponsored insurance to include certain coverage. For example, many states mandate fertility and reproductive health benefits. Group Size: The total number of people in your group – which includes covered family members – can impact your business’ health insurance cost. For example, </w:t>
      </w:r>
      <w:r w:rsidRPr="00DD2D90">
        <w:rPr>
          <w:rStyle w:val="StyleUnderline"/>
        </w:rPr>
        <w:t>the larger your group, the lower your rate will likely be because your health risk is distributed among more people, which can offset the costs of those with a disproportionately higher number of claims</w:t>
      </w:r>
      <w:r w:rsidRPr="009278EB">
        <w:rPr>
          <w:sz w:val="16"/>
        </w:rPr>
        <w:t xml:space="preserve">. Healthcare Inflation Factor: </w:t>
      </w:r>
      <w:r w:rsidRPr="00DD2D90">
        <w:rPr>
          <w:rStyle w:val="StyleUnderline"/>
        </w:rPr>
        <w:t>This component of your premium is based on the cost of healthcare services used by all members. The number of total claims and how costly they are will determine adjustments to your premium each year, meaning, medical issues that lead to frequent or costly visits may drive it up</w:t>
      </w:r>
      <w:r w:rsidRPr="009278EB">
        <w:rPr>
          <w:sz w:val="16"/>
        </w:rPr>
        <w:t>. Location: In some places, the cost of obtaining healthcare – meaning, the cost of a physician visit or procedure – is simply more expensive so premiums will be higher. Insurer’s Administrative Costs: Each year, your premium may be modified based on what it costs the insurance carrier to administer coverage under the plan, operate the company, and set aside reserves. Changes in the Law: Sometimes, federal or state law will dictate changes in coverage or rating rules that will affect your premiums. Industry: Your insurance carrier may assign a different risk based on the type of work your employees perform. For example, office workers face lower risks than those who work in a factory so a company with a lot of office workers will cost less than a company with a lot of factory workers. Plan Design: The type of insurance coverage you decide to offer can impact your costs. For example, richer coverage with lower out-of-pocket costs will be pricier. Managed care options are typically the cheapest. How can I lower my employer health insurance cost?</w:t>
      </w:r>
    </w:p>
    <w:p w14:paraId="73C223DB" w14:textId="77777777" w:rsidR="00D15EFA" w:rsidRPr="009278EB" w:rsidRDefault="00D15EFA" w:rsidP="00F63522">
      <w:pPr>
        <w:ind w:firstLine="720"/>
        <w:rPr>
          <w:sz w:val="16"/>
        </w:rPr>
      </w:pPr>
    </w:p>
    <w:p w14:paraId="0D8839FF" w14:textId="0FF8F1DA" w:rsidR="003040CE" w:rsidRPr="00DD2D90" w:rsidRDefault="003040CE" w:rsidP="009278EB">
      <w:pPr>
        <w:pStyle w:val="Heading4"/>
      </w:pPr>
      <w:bookmarkStart w:id="6" w:name="_1.2.6_Global_South"/>
      <w:bookmarkEnd w:id="6"/>
      <w:r w:rsidRPr="00DD2D90">
        <w:t xml:space="preserve">1.2.6 </w:t>
      </w:r>
      <w:r w:rsidR="00C45836" w:rsidRPr="00DD2D90">
        <w:t>Global South</w:t>
      </w:r>
    </w:p>
    <w:p w14:paraId="76422DFA" w14:textId="01FB4C73" w:rsidR="00EE1644" w:rsidRPr="00DD2D90" w:rsidRDefault="003040CE" w:rsidP="00C11721">
      <w:pPr>
        <w:spacing w:line="480" w:lineRule="auto"/>
        <w:ind w:firstLine="720"/>
      </w:pPr>
      <w:r w:rsidRPr="00DD2D90">
        <w:t xml:space="preserve">Contention 6 is </w:t>
      </w:r>
      <w:r w:rsidR="00057B61" w:rsidRPr="00DD2D90">
        <w:t>Global South</w:t>
      </w:r>
      <w:r w:rsidRPr="00DD2D90">
        <w:t>.</w:t>
      </w:r>
      <w:r w:rsidR="008F41A5" w:rsidRPr="00DD2D90">
        <w:t xml:space="preserve"> </w:t>
      </w:r>
      <w:r w:rsidR="00EE1644">
        <w:t xml:space="preserve">Most of this was explained earlier in the topic analysis, so this subsection will explain the theory behind neglected tropical diseases (NTDs). In economic theory, economists have justified currency systems and </w:t>
      </w:r>
      <w:r w:rsidR="00EE1644" w:rsidRPr="00DD2D90">
        <w:t xml:space="preserve">monetary policy </w:t>
      </w:r>
      <w:r w:rsidR="00EE1644">
        <w:t xml:space="preserve">by saying that barter-based economies are less efficient due to needing to satisfy the double-coincidence of wants. Both people must both have something the other person wants when bartering, so currencies were created to make </w:t>
      </w:r>
      <w:r w:rsidR="008F41A5" w:rsidRPr="00DD2D90">
        <w:t xml:space="preserve">interest convergence </w:t>
      </w:r>
      <w:r w:rsidR="00EE1644">
        <w:t>easier. However, this did not eliminate the problem, as it</w:t>
      </w:r>
      <w:r w:rsidR="008F41A5" w:rsidRPr="00DD2D90">
        <w:t xml:space="preserve"> altered</w:t>
      </w:r>
      <w:r w:rsidR="00EE1644">
        <w:t xml:space="preserve"> our focus</w:t>
      </w:r>
      <w:r w:rsidR="008F41A5" w:rsidRPr="00DD2D90">
        <w:t xml:space="preserve"> from </w:t>
      </w:r>
      <w:proofErr w:type="gramStart"/>
      <w:r w:rsidR="008F41A5" w:rsidRPr="00DD2D90">
        <w:t>use-value</w:t>
      </w:r>
      <w:proofErr w:type="gramEnd"/>
      <w:r w:rsidR="008F41A5" w:rsidRPr="00DD2D90">
        <w:t xml:space="preserve"> </w:t>
      </w:r>
      <w:r w:rsidR="00EE1644">
        <w:t xml:space="preserve">of an object </w:t>
      </w:r>
      <w:r w:rsidR="008F41A5" w:rsidRPr="00DD2D90">
        <w:t>to exchange-value</w:t>
      </w:r>
      <w:r w:rsidR="00EE1644">
        <w:t xml:space="preserve"> of a commodity. </w:t>
      </w:r>
      <w:r w:rsidR="008F41A5" w:rsidRPr="00DD2D90">
        <w:t xml:space="preserve">Instead of prioritizing </w:t>
      </w:r>
      <w:r w:rsidR="00EE1644">
        <w:t xml:space="preserve">the </w:t>
      </w:r>
      <w:proofErr w:type="gramStart"/>
      <w:r w:rsidR="008F41A5" w:rsidRPr="00DD2D90">
        <w:t>most-important</w:t>
      </w:r>
      <w:proofErr w:type="gramEnd"/>
      <w:r w:rsidR="008F41A5" w:rsidRPr="00DD2D90">
        <w:t xml:space="preserve"> goods w</w:t>
      </w:r>
      <w:r w:rsidR="00EE1644">
        <w:t xml:space="preserve">ith a high </w:t>
      </w:r>
      <w:proofErr w:type="gramStart"/>
      <w:r w:rsidR="008F41A5" w:rsidRPr="00DD2D90">
        <w:t>use-value</w:t>
      </w:r>
      <w:proofErr w:type="gramEnd"/>
      <w:r w:rsidR="008F41A5" w:rsidRPr="00DD2D90">
        <w:t xml:space="preserve">, </w:t>
      </w:r>
      <w:r w:rsidR="00EE1644">
        <w:t xml:space="preserve">the </w:t>
      </w:r>
      <w:r w:rsidR="008F41A5" w:rsidRPr="00DD2D90">
        <w:t xml:space="preserve">focus on </w:t>
      </w:r>
      <w:proofErr w:type="gramStart"/>
      <w:r w:rsidR="008F41A5" w:rsidRPr="00DD2D90">
        <w:t>exchange-value</w:t>
      </w:r>
      <w:proofErr w:type="gramEnd"/>
      <w:r w:rsidR="00EE1644">
        <w:t xml:space="preserve"> causes </w:t>
      </w:r>
      <w:proofErr w:type="gramStart"/>
      <w:r w:rsidR="00EE1644">
        <w:t>harms</w:t>
      </w:r>
      <w:proofErr w:type="gramEnd"/>
      <w:r w:rsidR="00EE1644">
        <w:t xml:space="preserve"> those with </w:t>
      </w:r>
      <w:proofErr w:type="gramStart"/>
      <w:r w:rsidR="00EE1644">
        <w:t>lesser</w:t>
      </w:r>
      <w:proofErr w:type="gramEnd"/>
      <w:r w:rsidR="00EE1644">
        <w:t xml:space="preserve"> access to currencies. Rural </w:t>
      </w:r>
      <w:proofErr w:type="gramStart"/>
      <w:r w:rsidR="00EE1644">
        <w:t>farmers</w:t>
      </w:r>
      <w:proofErr w:type="gramEnd"/>
      <w:r w:rsidR="00EE1644">
        <w:t xml:space="preserve"> products are intrinsically valuable, with food being a life-saving resource, but those goods with a lower </w:t>
      </w:r>
      <w:proofErr w:type="gramStart"/>
      <w:r w:rsidR="00EE1644">
        <w:t>exchange-value</w:t>
      </w:r>
      <w:proofErr w:type="gramEnd"/>
      <w:r w:rsidR="00EE1644">
        <w:t xml:space="preserve">, decreasing their wealth and by extension, their ability to pay for medicines. Similarly, there is a </w:t>
      </w:r>
      <w:proofErr w:type="gramStart"/>
      <w:r w:rsidR="00EE1644">
        <w:t>low-exchange</w:t>
      </w:r>
      <w:proofErr w:type="gramEnd"/>
      <w:r w:rsidR="00EE1644">
        <w:t xml:space="preserve"> value for pharmaceutical companies to develop NTD medications as there is a low population of </w:t>
      </w:r>
      <w:proofErr w:type="gramStart"/>
      <w:r w:rsidR="00EE1644">
        <w:t>patients</w:t>
      </w:r>
      <w:proofErr w:type="gramEnd"/>
      <w:r w:rsidR="00EE1644">
        <w:t xml:space="preserve"> wealthy enough to provide sufficient demand.</w:t>
      </w:r>
    </w:p>
    <w:p w14:paraId="04F644F8" w14:textId="18F1AE3E" w:rsidR="008F41A5" w:rsidRPr="00DD2D90" w:rsidRDefault="00EE1644" w:rsidP="00C11721">
      <w:pPr>
        <w:spacing w:line="480" w:lineRule="auto"/>
      </w:pPr>
      <w:r>
        <w:tab/>
        <w:t xml:space="preserve">We see the mismatch between use-value and exchange-value outside development </w:t>
      </w:r>
      <w:r w:rsidRPr="00EE1644">
        <w:t xml:space="preserve">economics. </w:t>
      </w:r>
      <w:r>
        <w:t>Certain psychological issues like mania can be treated with l</w:t>
      </w:r>
      <w:r w:rsidR="008F41A5" w:rsidRPr="00EE1644">
        <w:t>ithium</w:t>
      </w:r>
      <w:r>
        <w:t xml:space="preserve">, but this was routinely underprovided in </w:t>
      </w:r>
      <w:r w:rsidR="008F41A5" w:rsidRPr="00DD2D90">
        <w:t xml:space="preserve">US domestic healthcare </w:t>
      </w:r>
      <w:r w:rsidR="00A54359">
        <w:t xml:space="preserve">since the product itself could not be sold for exorbitant prices like blockbuster or </w:t>
      </w:r>
      <w:proofErr w:type="spellStart"/>
      <w:r w:rsidR="00A54359">
        <w:t>nichebuster</w:t>
      </w:r>
      <w:proofErr w:type="spellEnd"/>
      <w:r w:rsidR="00A54359">
        <w:t xml:space="preserve"> drugs. Lithium is an element, not a fancy pharmaceutical compound that could be protected with intellectual property rights, so lithium being a commodity designed for exchange-value caused many Americans to not have access to drugs despite the fact they are extremely easy to manufacture. A similar dynamic occurs with over a billion people in the context of NTDs.</w:t>
      </w:r>
    </w:p>
    <w:p w14:paraId="16956384" w14:textId="77777777" w:rsidR="008F41A5" w:rsidRPr="00DD2D90" w:rsidRDefault="008F41A5" w:rsidP="003040CE">
      <w:pPr>
        <w:ind w:firstLine="720"/>
      </w:pPr>
    </w:p>
    <w:p w14:paraId="7581C019" w14:textId="5F1CACC9" w:rsidR="003040CE" w:rsidRPr="00DD2D90" w:rsidRDefault="003040CE" w:rsidP="009278EB">
      <w:pPr>
        <w:pStyle w:val="Heading4"/>
      </w:pPr>
      <w:bookmarkStart w:id="7" w:name="_1.2.7_Commodification_Bad"/>
      <w:bookmarkEnd w:id="7"/>
      <w:r w:rsidRPr="00DD2D90">
        <w:t xml:space="preserve">1.2.7 </w:t>
      </w:r>
      <w:r w:rsidR="00A47BBA" w:rsidRPr="00DD2D90">
        <w:t>Commodification Bad</w:t>
      </w:r>
    </w:p>
    <w:p w14:paraId="7D0E2345" w14:textId="0AB63F2B" w:rsidR="007E753B" w:rsidRPr="00DD2D90" w:rsidRDefault="007E753B" w:rsidP="00C11721">
      <w:pPr>
        <w:spacing w:line="480" w:lineRule="auto"/>
      </w:pPr>
      <w:r w:rsidRPr="00DD2D90">
        <w:t>“Anyone who lives in fear of getting sick exists in a state of unfreedom.” – William Shoki</w:t>
      </w:r>
    </w:p>
    <w:p w14:paraId="1B3566CA" w14:textId="0357A4E2" w:rsidR="00022D36" w:rsidRPr="00DD2D90" w:rsidRDefault="003040CE" w:rsidP="00C11721">
      <w:pPr>
        <w:spacing w:line="480" w:lineRule="auto"/>
        <w:ind w:firstLine="720"/>
      </w:pPr>
      <w:r w:rsidRPr="00DD2D90">
        <w:t xml:space="preserve">Contention 7 is </w:t>
      </w:r>
      <w:r w:rsidR="00A47BBA" w:rsidRPr="00DD2D90">
        <w:t>Commodification Bad</w:t>
      </w:r>
      <w:r w:rsidRPr="00DD2D90">
        <w:t>.</w:t>
      </w:r>
      <w:r w:rsidR="00022D36" w:rsidRPr="00DD2D90">
        <w:t xml:space="preserve"> </w:t>
      </w:r>
      <w:r w:rsidR="00A54359">
        <w:t xml:space="preserve">This contention is a catch-all for philosophical arguments against healthcare commodification. Some core themes are the unfree conditions in healthcare contracts. </w:t>
      </w:r>
      <w:proofErr w:type="gramStart"/>
      <w:r w:rsidR="00022D36" w:rsidRPr="00DD2D90">
        <w:t>Recall</w:t>
      </w:r>
      <w:proofErr w:type="gramEnd"/>
      <w:r w:rsidR="00022D36" w:rsidRPr="00DD2D90">
        <w:t xml:space="preserve"> the 2025 Sept-Oct plea bargaining topic. How do we determine fair and equitable contracts? </w:t>
      </w:r>
      <w:proofErr w:type="gramStart"/>
      <w:r w:rsidR="00022D36" w:rsidRPr="00DD2D90">
        <w:t xml:space="preserve">Similar </w:t>
      </w:r>
      <w:r w:rsidR="00A54359">
        <w:t>to</w:t>
      </w:r>
      <w:proofErr w:type="gramEnd"/>
      <w:r w:rsidR="00A54359">
        <w:t xml:space="preserve"> plea bargaining, healthcare puts people under </w:t>
      </w:r>
      <w:r w:rsidR="00022D36" w:rsidRPr="00DD2D90">
        <w:t xml:space="preserve">duress </w:t>
      </w:r>
      <w:r w:rsidR="00A54359">
        <w:t>due to</w:t>
      </w:r>
      <w:r w:rsidR="00022D36" w:rsidRPr="00DD2D90">
        <w:t xml:space="preserve"> the threat of death</w:t>
      </w:r>
      <w:r w:rsidR="00A54359">
        <w:t>, disability,</w:t>
      </w:r>
      <w:r w:rsidR="00022D36" w:rsidRPr="00DD2D90">
        <w:t xml:space="preserve"> or mass debt</w:t>
      </w:r>
      <w:r w:rsidR="00A54359">
        <w:t xml:space="preserve"> if you do not buy insurance. Unfree contracts can also </w:t>
      </w:r>
      <w:proofErr w:type="gramStart"/>
      <w:r w:rsidR="00A54359">
        <w:t>be contributed</w:t>
      </w:r>
      <w:proofErr w:type="gramEnd"/>
      <w:r w:rsidR="00A54359">
        <w:t xml:space="preserve"> to </w:t>
      </w:r>
      <w:r w:rsidR="00022D36" w:rsidRPr="00DD2D90">
        <w:t xml:space="preserve">inequal bargaining power and incomplete information. </w:t>
      </w:r>
      <w:r w:rsidR="00A54359">
        <w:t>Other arguments include the commodification of human bodies (and body parts), and the associated effects on human dignity, healthcare being a human right, and Fredrich Engels concept of social murder.</w:t>
      </w:r>
    </w:p>
    <w:p w14:paraId="0DB3844F" w14:textId="6AB51757" w:rsidR="003040CE" w:rsidRPr="00DD2D90" w:rsidRDefault="003040CE" w:rsidP="003040CE">
      <w:pPr>
        <w:ind w:firstLine="720"/>
      </w:pPr>
    </w:p>
    <w:p w14:paraId="61D067C1" w14:textId="2627D30E" w:rsidR="00C45836" w:rsidRPr="00DD2D90" w:rsidRDefault="00C45836" w:rsidP="009278EB">
      <w:pPr>
        <w:pStyle w:val="Heading4"/>
      </w:pPr>
      <w:bookmarkStart w:id="8" w:name="_1.2.8_Commodity_Fetishism/Medicaliz"/>
      <w:bookmarkEnd w:id="8"/>
      <w:r w:rsidRPr="00DD2D90">
        <w:t xml:space="preserve">1.2.8 </w:t>
      </w:r>
      <w:r w:rsidR="00A47BBA" w:rsidRPr="00DD2D90">
        <w:t>Commodity Fetishism/Medicalization</w:t>
      </w:r>
    </w:p>
    <w:p w14:paraId="08E59CCD" w14:textId="20A12528" w:rsidR="00A35119" w:rsidRPr="00DD2D90" w:rsidRDefault="00A35119" w:rsidP="00C11721">
      <w:pPr>
        <w:spacing w:line="480" w:lineRule="auto"/>
      </w:pPr>
      <w:r w:rsidRPr="00DD2D90">
        <w:t>“A commodity appears, at first sight, a very trivial thing, and easily understood. Its analysis shows that it is, in reality, a very queer thing, abounding in metaphysical subtleties and theological niceties.” – Karl Marx</w:t>
      </w:r>
    </w:p>
    <w:p w14:paraId="4754D1BA" w14:textId="6F454E39" w:rsidR="00D15EFA" w:rsidRDefault="00C45836" w:rsidP="00C11721">
      <w:pPr>
        <w:spacing w:line="480" w:lineRule="auto"/>
        <w:ind w:firstLine="720"/>
      </w:pPr>
      <w:r w:rsidRPr="00DD2D90">
        <w:t>Contention 8 is</w:t>
      </w:r>
      <w:r w:rsidR="007D7943" w:rsidRPr="00DD2D90">
        <w:t xml:space="preserve"> </w:t>
      </w:r>
      <w:r w:rsidR="00A47BBA" w:rsidRPr="00DD2D90">
        <w:t>Commodity Fetishism/Medicalization</w:t>
      </w:r>
      <w:r w:rsidRPr="00DD2D90">
        <w:t>.</w:t>
      </w:r>
      <w:r w:rsidR="00A54359">
        <w:t xml:space="preserve"> A problem with healthcare contentions is that they cannot solve for s</w:t>
      </w:r>
      <w:r w:rsidR="00D15EFA" w:rsidRPr="00DD2D90">
        <w:t>ocial determinants of health</w:t>
      </w:r>
      <w:r w:rsidR="00A54359">
        <w:t xml:space="preserve">, such as environmental pollution, food deserts, or bad working conditions, as those are broadly considered to be under </w:t>
      </w:r>
      <w:proofErr w:type="gramStart"/>
      <w:r w:rsidR="00A54359">
        <w:t>differently</w:t>
      </w:r>
      <w:proofErr w:type="gramEnd"/>
      <w:r w:rsidR="00A54359">
        <w:t xml:space="preserve"> regulatory regimes. Not all problems related to health are those related to</w:t>
      </w:r>
      <w:r w:rsidR="00D15EFA" w:rsidRPr="00DD2D90">
        <w:t xml:space="preserve"> healthcare</w:t>
      </w:r>
      <w:r w:rsidR="00A54359">
        <w:t xml:space="preserve"> despite healthcare addressing the problems related to bad health. This is analogous to how education policy covers things within a school building and cannot cover things outside the </w:t>
      </w:r>
      <w:proofErr w:type="gramStart"/>
      <w:r w:rsidR="00A54359">
        <w:t>class room</w:t>
      </w:r>
      <w:proofErr w:type="gramEnd"/>
      <w:r w:rsidR="00A54359">
        <w:t xml:space="preserve"> despite how non-</w:t>
      </w:r>
      <w:proofErr w:type="gramStart"/>
      <w:r w:rsidR="00A54359">
        <w:t>class room</w:t>
      </w:r>
      <w:proofErr w:type="gramEnd"/>
      <w:r w:rsidR="00A54359">
        <w:t xml:space="preserve"> experiences like childhood nutrition or domestic violence are extremely important to education outcomes.</w:t>
      </w:r>
    </w:p>
    <w:p w14:paraId="2F0880CD" w14:textId="281A35BA" w:rsidR="003C5B65" w:rsidRPr="00DD2D90" w:rsidRDefault="00A54359" w:rsidP="00C11721">
      <w:pPr>
        <w:spacing w:line="480" w:lineRule="auto"/>
        <w:ind w:firstLine="720"/>
      </w:pPr>
      <w:r>
        <w:t xml:space="preserve">Medicalization and commodity fetishism offer a means of solving for social </w:t>
      </w:r>
      <w:proofErr w:type="spellStart"/>
      <w:r>
        <w:t>dterminants</w:t>
      </w:r>
      <w:proofErr w:type="spellEnd"/>
      <w:r>
        <w:t xml:space="preserve"> of health. For every commodity is the i</w:t>
      </w:r>
      <w:r w:rsidRPr="00DD2D90">
        <w:t>ntrinsic corruption of the</w:t>
      </w:r>
      <w:r>
        <w:t xml:space="preserve"> public’s perception of the</w:t>
      </w:r>
      <w:r w:rsidRPr="00DD2D90">
        <w:t xml:space="preserve"> product </w:t>
      </w:r>
      <w:r>
        <w:t>due to</w:t>
      </w:r>
      <w:r w:rsidRPr="00DD2D90">
        <w:t xml:space="preserve"> advertising. </w:t>
      </w:r>
      <w:r>
        <w:t xml:space="preserve">We clearly see this already in the context of art and entertainment, such as </w:t>
      </w:r>
      <w:r w:rsidRPr="00A54359">
        <w:rPr>
          <w:i/>
          <w:iCs/>
        </w:rPr>
        <w:t>Wayne’s World</w:t>
      </w:r>
      <w:r w:rsidRPr="00DD2D90">
        <w:t xml:space="preserve"> (</w:t>
      </w:r>
      <w:r>
        <w:t>see clip</w:t>
      </w:r>
      <w:r w:rsidRPr="00DD2D90">
        <w:t xml:space="preserve"> </w:t>
      </w:r>
      <w:hyperlink r:id="rId17" w:history="1">
        <w:r w:rsidRPr="00DD2D90">
          <w:rPr>
            <w:rStyle w:val="Hyperlink"/>
          </w:rPr>
          <w:t>here</w:t>
        </w:r>
      </w:hyperlink>
      <w:r w:rsidRPr="00DD2D90">
        <w:t>)</w:t>
      </w:r>
      <w:r>
        <w:t xml:space="preserve">. However, </w:t>
      </w:r>
      <w:proofErr w:type="gramStart"/>
      <w:r>
        <w:t>per</w:t>
      </w:r>
      <w:proofErr w:type="gramEnd"/>
      <w:r>
        <w:t xml:space="preserve"> the cultural critics of the p</w:t>
      </w:r>
      <w:r w:rsidR="00D15EFA" w:rsidRPr="00DD2D90">
        <w:t xml:space="preserve">ost-Marxist and </w:t>
      </w:r>
      <w:r>
        <w:t>the</w:t>
      </w:r>
      <w:r w:rsidR="00D15EFA" w:rsidRPr="00DD2D90">
        <w:t xml:space="preserve"> Frankfurt </w:t>
      </w:r>
      <w:r>
        <w:t>S</w:t>
      </w:r>
      <w:r w:rsidR="00D15EFA" w:rsidRPr="00DD2D90">
        <w:t xml:space="preserve">chool </w:t>
      </w:r>
      <w:r>
        <w:t xml:space="preserve">say there is a </w:t>
      </w:r>
      <w:r w:rsidR="00F55B28">
        <w:t>cultural logic in a commodity. An in-depth discussion of the history of critical advertising studies and critical culture studies cannot be provided here: however, a good video primer is titled “</w:t>
      </w:r>
      <w:r w:rsidR="003C5B65" w:rsidRPr="00DD2D90">
        <w:t>Don't Look Up and The Result of Late Capitalism</w:t>
      </w:r>
      <w:r w:rsidR="00F55B28">
        <w:t>”</w:t>
      </w:r>
      <w:r w:rsidR="003C5B65" w:rsidRPr="00DD2D90">
        <w:t xml:space="preserve"> (linked </w:t>
      </w:r>
      <w:hyperlink r:id="rId18" w:history="1">
        <w:r w:rsidR="003C5B65" w:rsidRPr="00DD2D90">
          <w:rPr>
            <w:rStyle w:val="Hyperlink"/>
          </w:rPr>
          <w:t>here</w:t>
        </w:r>
      </w:hyperlink>
      <w:r w:rsidR="003C5B65" w:rsidRPr="00DD2D90">
        <w:t>)</w:t>
      </w:r>
      <w:r w:rsidR="00F55B28">
        <w:t>.</w:t>
      </w:r>
    </w:p>
    <w:p w14:paraId="02FFF2A4" w14:textId="77777777" w:rsidR="00F63522" w:rsidRPr="00D05211" w:rsidRDefault="00F63522" w:rsidP="00F63522">
      <w:pPr>
        <w:pStyle w:val="Heading3"/>
        <w:rPr>
          <w:rFonts w:ascii="Arial Black" w:hAnsi="Arial Black"/>
          <w:color w:val="B43E1F"/>
          <w:szCs w:val="32"/>
        </w:rPr>
      </w:pPr>
      <w:r w:rsidRPr="00D05211">
        <w:rPr>
          <w:rFonts w:ascii="Arial Black" w:hAnsi="Arial Black"/>
          <w:color w:val="B43E1F"/>
          <w:szCs w:val="32"/>
        </w:rPr>
        <w:t>1.3 Negative Topic Analysis</w:t>
      </w:r>
    </w:p>
    <w:p w14:paraId="300C340D" w14:textId="3881E1C3" w:rsidR="00F63522" w:rsidRPr="00DD2D90" w:rsidRDefault="00F63522" w:rsidP="009278EB">
      <w:pPr>
        <w:pStyle w:val="Heading4"/>
      </w:pPr>
      <w:bookmarkStart w:id="9" w:name="_1.3.1_Economy"/>
      <w:bookmarkEnd w:id="9"/>
      <w:r w:rsidRPr="00DD2D90">
        <w:t xml:space="preserve">1.3.1 </w:t>
      </w:r>
      <w:r w:rsidR="00C45836" w:rsidRPr="00DD2D90">
        <w:t>Economy</w:t>
      </w:r>
    </w:p>
    <w:p w14:paraId="5BBE50DE" w14:textId="2964EF70" w:rsidR="00820C00" w:rsidRPr="00DD2D90" w:rsidRDefault="00C11721" w:rsidP="00C11721">
      <w:pPr>
        <w:spacing w:line="480" w:lineRule="auto"/>
      </w:pPr>
      <w:r>
        <w:t>“</w:t>
      </w:r>
      <w:r w:rsidR="00820C00" w:rsidRPr="00DD2D90">
        <w:t>The wealth of those societies in which the capitalist mode of production prevails, presents itself as “an immense accumulation of commodities” – Karl Marx, Das Kapital</w:t>
      </w:r>
    </w:p>
    <w:p w14:paraId="39F1E914" w14:textId="2686B0DE" w:rsidR="001270B2" w:rsidRPr="00DD2D90" w:rsidRDefault="00F63522" w:rsidP="00C11721">
      <w:pPr>
        <w:spacing w:line="480" w:lineRule="auto"/>
        <w:jc w:val="both"/>
      </w:pPr>
      <w:r w:rsidRPr="00DD2D90">
        <w:tab/>
        <w:t xml:space="preserve">Contention 1 is </w:t>
      </w:r>
      <w:r w:rsidR="00057B61" w:rsidRPr="00DD2D90">
        <w:t>the Economy</w:t>
      </w:r>
      <w:r w:rsidRPr="00DD2D90">
        <w:t xml:space="preserve">. </w:t>
      </w:r>
      <w:r w:rsidR="00F55B28" w:rsidRPr="00DD2D90">
        <w:t>John McCain</w:t>
      </w:r>
      <w:r w:rsidR="00F55B28" w:rsidRPr="00DD2D90">
        <w:t xml:space="preserve"> </w:t>
      </w:r>
      <w:r w:rsidR="00F55B28">
        <w:t xml:space="preserve">once said that Russia was a giant </w:t>
      </w:r>
      <w:r w:rsidR="008F41A5" w:rsidRPr="00DD2D90">
        <w:t xml:space="preserve">gas station masquerading as a country. </w:t>
      </w:r>
      <w:r w:rsidR="00F55B28">
        <w:t xml:space="preserve">Increasingly it can be argued the </w:t>
      </w:r>
      <w:r w:rsidR="008F41A5" w:rsidRPr="00DD2D90">
        <w:t xml:space="preserve">US </w:t>
      </w:r>
      <w:r w:rsidR="00F55B28">
        <w:t>is a giant hospital and datacenter, with both industries being one of the few</w:t>
      </w:r>
      <w:r w:rsidR="008F41A5" w:rsidRPr="00DD2D90">
        <w:t xml:space="preserve"> sources of </w:t>
      </w:r>
      <w:r w:rsidR="00F55B28">
        <w:t xml:space="preserve">economic </w:t>
      </w:r>
      <w:r w:rsidR="008F41A5" w:rsidRPr="00DD2D90">
        <w:t>growth</w:t>
      </w:r>
      <w:r w:rsidR="00F55B28">
        <w:t xml:space="preserve">. Today healthcare corporations have </w:t>
      </w:r>
      <w:r w:rsidR="00F55B28" w:rsidRPr="00DD2D90">
        <w:t xml:space="preserve">near </w:t>
      </w:r>
      <w:hyperlink r:id="rId19" w:history="1">
        <w:r w:rsidR="00F55B28" w:rsidRPr="00F55B28">
          <w:rPr>
            <w:rStyle w:val="Hyperlink"/>
          </w:rPr>
          <w:t>trillion</w:t>
        </w:r>
        <w:r w:rsidR="00F55B28" w:rsidRPr="00F55B28">
          <w:rPr>
            <w:rStyle w:val="Hyperlink"/>
          </w:rPr>
          <w:t>-</w:t>
        </w:r>
        <w:r w:rsidR="00F55B28" w:rsidRPr="00F55B28">
          <w:rPr>
            <w:rStyle w:val="Hyperlink"/>
          </w:rPr>
          <w:t>dollar</w:t>
        </w:r>
      </w:hyperlink>
      <w:r w:rsidR="00F55B28" w:rsidRPr="00DD2D90">
        <w:t xml:space="preserve"> market cap</w:t>
      </w:r>
      <w:r w:rsidR="00F55B28">
        <w:t>s.</w:t>
      </w:r>
    </w:p>
    <w:p w14:paraId="0B462314" w14:textId="17D25158" w:rsidR="008F41A5" w:rsidRPr="009278EB" w:rsidRDefault="00F55B28" w:rsidP="008F41A5">
      <w:pPr>
        <w:pStyle w:val="Heading4"/>
        <w:rPr>
          <w:szCs w:val="26"/>
        </w:rPr>
      </w:pPr>
      <w:r>
        <w:rPr>
          <w:szCs w:val="26"/>
        </w:rPr>
        <w:t>This c</w:t>
      </w:r>
      <w:r w:rsidR="008F41A5" w:rsidRPr="009278EB">
        <w:rPr>
          <w:szCs w:val="26"/>
        </w:rPr>
        <w:t xml:space="preserve">hart </w:t>
      </w:r>
      <w:r>
        <w:rPr>
          <w:szCs w:val="26"/>
        </w:rPr>
        <w:t>shows the massive shifts in the labor market in favor of healthcare</w:t>
      </w:r>
    </w:p>
    <w:p w14:paraId="03316FB3" w14:textId="69728569" w:rsidR="008F41A5" w:rsidRPr="00DD2D90" w:rsidRDefault="008F41A5" w:rsidP="008F41A5">
      <w:r w:rsidRPr="009278EB">
        <w:rPr>
          <w:b/>
          <w:bCs/>
          <w:sz w:val="26"/>
          <w:szCs w:val="26"/>
        </w:rPr>
        <w:t>Torry and Putzier 2-11</w:t>
      </w:r>
      <w:r w:rsidRPr="009278EB">
        <w:rPr>
          <w:sz w:val="26"/>
          <w:szCs w:val="26"/>
        </w:rPr>
        <w:t xml:space="preserve"> </w:t>
      </w:r>
      <w:r w:rsidRPr="00DD2D90">
        <w:t>[Harriet Torry, economics reporter at WSJ, and Konrad Putzier, economics reporter at WSJ and graduate from Yale, 2-11-2026, "Healthcare Jobs Have Become the Engine of America’s Labor Market", Wall Street Journal, https://www.wsj.com/economy/jobs/healthcare-jobs-have-become-the-engine-of-americas-labor-market-114ffd34]/Kankee</w:t>
      </w:r>
    </w:p>
    <w:p w14:paraId="1A96D90E" w14:textId="77777777" w:rsidR="008F41A5" w:rsidRPr="00DD2D90" w:rsidRDefault="008F41A5" w:rsidP="008F41A5">
      <w:pPr>
        <w:pBdr>
          <w:bottom w:val="single" w:sz="6" w:space="1" w:color="auto"/>
        </w:pBdr>
      </w:pPr>
      <w:r w:rsidRPr="00DD2D90">
        <w:rPr>
          <w:noProof/>
        </w:rPr>
        <w:drawing>
          <wp:inline distT="0" distB="0" distL="0" distR="0" wp14:anchorId="2811BC51" wp14:editId="4B722BD1">
            <wp:extent cx="6153978" cy="3677377"/>
            <wp:effectExtent l="0" t="0" r="0" b="0"/>
            <wp:docPr id="1919983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83897" name=""/>
                    <pic:cNvPicPr/>
                  </pic:nvPicPr>
                  <pic:blipFill>
                    <a:blip r:embed="rId20"/>
                    <a:stretch>
                      <a:fillRect/>
                    </a:stretch>
                  </pic:blipFill>
                  <pic:spPr>
                    <a:xfrm>
                      <a:off x="0" y="0"/>
                      <a:ext cx="6165960" cy="3684537"/>
                    </a:xfrm>
                    <a:prstGeom prst="rect">
                      <a:avLst/>
                    </a:prstGeom>
                  </pic:spPr>
                </pic:pic>
              </a:graphicData>
            </a:graphic>
          </wp:inline>
        </w:drawing>
      </w:r>
    </w:p>
    <w:p w14:paraId="49BFECDA" w14:textId="706695C0" w:rsidR="008F41A5" w:rsidRPr="00DD2D90" w:rsidRDefault="00F55B28" w:rsidP="00C11721">
      <w:pPr>
        <w:spacing w:line="480" w:lineRule="auto"/>
        <w:ind w:firstLine="720"/>
      </w:pPr>
      <w:r>
        <w:t xml:space="preserve">I would recommend watching a YouTube video linked </w:t>
      </w:r>
      <w:hyperlink r:id="rId21" w:history="1">
        <w:r w:rsidRPr="00F55B28">
          <w:rPr>
            <w:rStyle w:val="Hyperlink"/>
          </w:rPr>
          <w:t>here</w:t>
        </w:r>
      </w:hyperlink>
      <w:r>
        <w:t xml:space="preserve"> for a more up-to-date analysis of current trends in the economy. I would also watch this video for the purpose of the rate hikes contention below. These trends include the </w:t>
      </w:r>
      <w:r w:rsidR="008F41A5" w:rsidRPr="00DD2D90">
        <w:t xml:space="preserve">Iran </w:t>
      </w:r>
      <w:r>
        <w:t>w</w:t>
      </w:r>
      <w:r w:rsidR="008F41A5" w:rsidRPr="00DD2D90">
        <w:t>ar</w:t>
      </w:r>
      <w:r>
        <w:t xml:space="preserve">, tariffs, mass deportations, government shutdowns, government job cuts, decreased entry level jobs due to AI, and the AI financial bubble. All these trends are contributing to a K-shaped economy where the stock market and the upper-class growth </w:t>
      </w:r>
      <w:proofErr w:type="gramStart"/>
      <w:r>
        <w:t>is</w:t>
      </w:r>
      <w:proofErr w:type="gramEnd"/>
      <w:r>
        <w:t xml:space="preserve"> disjunct from the rest of the economy, leading to the disappearance of the middle-class. The one exception to wage stagnation and </w:t>
      </w:r>
      <w:proofErr w:type="gramStart"/>
      <w:r>
        <w:t>middle class</w:t>
      </w:r>
      <w:proofErr w:type="gramEnd"/>
      <w:r>
        <w:t xml:space="preserve"> disappearance trends is the healthcare market, one of the largest sources of job growth for the past few decades. Eliminating these jobs would both contribute to a weaker economy and cause increased inequality, leading to the </w:t>
      </w:r>
      <w:proofErr w:type="gramStart"/>
      <w:r>
        <w:t>affirmatives</w:t>
      </w:r>
      <w:proofErr w:type="gramEnd"/>
      <w:r>
        <w:t xml:space="preserve"> impacts.</w:t>
      </w:r>
    </w:p>
    <w:p w14:paraId="463AF475" w14:textId="6A955C0C" w:rsidR="00081119" w:rsidRPr="00DD2D90" w:rsidRDefault="00F55B28" w:rsidP="00C11721">
      <w:pPr>
        <w:spacing w:line="480" w:lineRule="auto"/>
        <w:ind w:firstLine="720"/>
      </w:pPr>
      <w:r>
        <w:t>Economy impacts are slightly strange in the context of NCFL Nationals due to how there must be an intrinsic reason why we care about economic growth. In policy debate and circuit LD, economic growth is good per economic interdependence theory and decreasing the risk of diversionary war. However, for reasons obvious to all, these impacts are not available. The next go-to option is to say that economic decline causes people to die from not being able to afford healthcare; but again, the affirmative solves this due to how individuals are no longer paying directly to providers.</w:t>
      </w:r>
      <w:r w:rsidR="00081119">
        <w:t xml:space="preserve"> To argue this could even be an </w:t>
      </w:r>
      <w:proofErr w:type="spellStart"/>
      <w:r w:rsidR="00081119">
        <w:t>aff</w:t>
      </w:r>
      <w:proofErr w:type="spellEnd"/>
      <w:r w:rsidR="00081119">
        <w:t xml:space="preserve"> argument, as it shows how work-based healthcare systems cause</w:t>
      </w:r>
      <w:r w:rsidR="00081119" w:rsidRPr="00DD2D90">
        <w:t xml:space="preserve"> social murder</w:t>
      </w:r>
      <w:r w:rsidR="00081119">
        <w:t>, and how it is remarkably stupid to die the healthcare of hundreds of millions to the economy when we know that recessions are inevitable in any economy. The negative impact could be harming social determinants of health and causing deaths of despair, but again, both of those impacts would be solved with better healthcare. I would advise running an economic growth good argument that is external to healthcare: these cards are not provided in this brief, but a good example would be green growth solving climate change.</w:t>
      </w:r>
    </w:p>
    <w:p w14:paraId="5F5077A5" w14:textId="77777777" w:rsidR="008F41A5" w:rsidRPr="00DD2D90" w:rsidRDefault="008F41A5" w:rsidP="00F63522"/>
    <w:p w14:paraId="2A11097F" w14:textId="337F26A9" w:rsidR="00F63522" w:rsidRPr="00DD2D90" w:rsidRDefault="00F63522" w:rsidP="009278EB">
      <w:pPr>
        <w:pStyle w:val="Heading4"/>
      </w:pPr>
      <w:bookmarkStart w:id="10" w:name="_1.3.2_Public_Debt/Rate"/>
      <w:bookmarkEnd w:id="10"/>
      <w:r w:rsidRPr="00DD2D90">
        <w:t xml:space="preserve">1.3.2 </w:t>
      </w:r>
      <w:r w:rsidR="001D49C2" w:rsidRPr="00DD2D90">
        <w:t xml:space="preserve">Public </w:t>
      </w:r>
      <w:r w:rsidR="00C45836" w:rsidRPr="00DD2D90">
        <w:t>Debt</w:t>
      </w:r>
      <w:r w:rsidR="001D49C2" w:rsidRPr="00DD2D90">
        <w:t>/Rate Hikes</w:t>
      </w:r>
    </w:p>
    <w:p w14:paraId="234F5AFC" w14:textId="0B2E4D6C" w:rsidR="00081119" w:rsidRDefault="00F63522" w:rsidP="00C11721">
      <w:pPr>
        <w:spacing w:line="480" w:lineRule="auto"/>
      </w:pPr>
      <w:r w:rsidRPr="00DD2D90">
        <w:tab/>
        <w:t xml:space="preserve"> Contention 2 is </w:t>
      </w:r>
      <w:r w:rsidR="00057B61" w:rsidRPr="00DD2D90">
        <w:t xml:space="preserve">the </w:t>
      </w:r>
      <w:r w:rsidR="001D49C2" w:rsidRPr="00DD2D90">
        <w:t>Public Debt/Rate Hikes</w:t>
      </w:r>
      <w:r w:rsidRPr="00DD2D90">
        <w:t xml:space="preserve">. </w:t>
      </w:r>
      <w:r w:rsidR="00081119">
        <w:t xml:space="preserve">This contention is </w:t>
      </w:r>
      <w:r w:rsidR="000D127E" w:rsidRPr="00DD2D90">
        <w:t>three</w:t>
      </w:r>
      <w:r w:rsidR="00C837E5" w:rsidRPr="00DD2D90">
        <w:t xml:space="preserve"> distinct</w:t>
      </w:r>
      <w:r w:rsidR="00081119">
        <w:t xml:space="preserve"> </w:t>
      </w:r>
      <w:r w:rsidR="00C837E5" w:rsidRPr="00DD2D90">
        <w:t xml:space="preserve">but overlapping arguments. </w:t>
      </w:r>
      <w:r w:rsidR="000D127E" w:rsidRPr="00DD2D90">
        <w:t xml:space="preserve">The first says the </w:t>
      </w:r>
      <w:r w:rsidR="00081119" w:rsidRPr="00DD2D90">
        <w:t>aff</w:t>
      </w:r>
      <w:r w:rsidR="00081119">
        <w:t>irmative</w:t>
      </w:r>
      <w:r w:rsidR="000D127E" w:rsidRPr="00DD2D90">
        <w:t xml:space="preserve"> is funded by taxes</w:t>
      </w:r>
      <w:r w:rsidR="00081119">
        <w:t xml:space="preserve"> and that t</w:t>
      </w:r>
      <w:r w:rsidR="000D127E" w:rsidRPr="00DD2D90">
        <w:t xml:space="preserve">axes </w:t>
      </w:r>
      <w:r w:rsidR="00081119">
        <w:t xml:space="preserve">are </w:t>
      </w:r>
      <w:r w:rsidR="000D127E" w:rsidRPr="00DD2D90">
        <w:t>bad for the economy</w:t>
      </w:r>
      <w:r w:rsidR="00081119">
        <w:t>. The s</w:t>
      </w:r>
      <w:r w:rsidR="000D127E" w:rsidRPr="00DD2D90">
        <w:t>econd and third relate to deficit spending</w:t>
      </w:r>
      <w:r w:rsidR="00081119">
        <w:t>, arguing that universal healthcare is unaffordable and increases the national debt. The second says that s</w:t>
      </w:r>
      <w:r w:rsidR="00C837E5" w:rsidRPr="00DD2D90">
        <w:t>pend</w:t>
      </w:r>
      <w:r w:rsidR="00081119">
        <w:t>ing</w:t>
      </w:r>
      <w:r w:rsidR="00C837E5" w:rsidRPr="00DD2D90">
        <w:t xml:space="preserve"> too much </w:t>
      </w:r>
      <w:r w:rsidR="00081119">
        <w:t xml:space="preserve">is </w:t>
      </w:r>
      <w:r w:rsidR="00C837E5" w:rsidRPr="00DD2D90">
        <w:t xml:space="preserve">bad </w:t>
      </w:r>
      <w:r w:rsidR="00081119">
        <w:t xml:space="preserve">due to our </w:t>
      </w:r>
      <w:r w:rsidR="00C837E5" w:rsidRPr="00DD2D90">
        <w:t xml:space="preserve">decreased ability to deal with debt. </w:t>
      </w:r>
      <w:r w:rsidR="00081119">
        <w:t xml:space="preserve">The third approach says that </w:t>
      </w:r>
      <w:r w:rsidR="00C837E5" w:rsidRPr="00DD2D90">
        <w:t>spend</w:t>
      </w:r>
      <w:r w:rsidR="00081119">
        <w:t>ing</w:t>
      </w:r>
      <w:r w:rsidR="00C837E5" w:rsidRPr="00DD2D90">
        <w:t xml:space="preserve"> too </w:t>
      </w:r>
      <w:proofErr w:type="gramStart"/>
      <w:r w:rsidR="00C837E5" w:rsidRPr="00DD2D90">
        <w:t>much</w:t>
      </w:r>
      <w:proofErr w:type="gramEnd"/>
      <w:r w:rsidR="00C837E5" w:rsidRPr="00DD2D90">
        <w:t xml:space="preserve"> </w:t>
      </w:r>
      <w:r w:rsidR="00081119">
        <w:t>causes</w:t>
      </w:r>
      <w:r w:rsidR="00C837E5" w:rsidRPr="00DD2D90">
        <w:t xml:space="preserve"> too much inflation and </w:t>
      </w:r>
      <w:r w:rsidR="00081119">
        <w:t xml:space="preserve">that </w:t>
      </w:r>
      <w:r w:rsidR="00C837E5" w:rsidRPr="00DD2D90">
        <w:t>rate hikes</w:t>
      </w:r>
      <w:r w:rsidR="00081119">
        <w:t xml:space="preserve"> with high levels of national debt cause a</w:t>
      </w:r>
      <w:r w:rsidR="00C837E5" w:rsidRPr="00DD2D90">
        <w:t xml:space="preserve"> financial crisis. </w:t>
      </w:r>
      <w:r w:rsidR="00081119">
        <w:t>The second and third approach</w:t>
      </w:r>
      <w:r w:rsidR="00C837E5" w:rsidRPr="00DD2D90">
        <w:t xml:space="preserve"> have similar impacts and narratives, but</w:t>
      </w:r>
      <w:r w:rsidR="00081119">
        <w:t xml:space="preserve"> the</w:t>
      </w:r>
      <w:r w:rsidR="00C837E5" w:rsidRPr="00DD2D90">
        <w:t xml:space="preserve"> specifics </w:t>
      </w:r>
      <w:r w:rsidR="00081119">
        <w:t xml:space="preserve">of the internal link chain </w:t>
      </w:r>
      <w:proofErr w:type="gramStart"/>
      <w:r w:rsidR="00C837E5" w:rsidRPr="00DD2D90">
        <w:t>matter</w:t>
      </w:r>
      <w:r w:rsidR="00081119">
        <w:t>s</w:t>
      </w:r>
      <w:proofErr w:type="gramEnd"/>
      <w:r w:rsidR="00081119">
        <w:t xml:space="preserve"> greatly</w:t>
      </w:r>
      <w:r w:rsidR="00C837E5" w:rsidRPr="00DD2D90">
        <w:t>.</w:t>
      </w:r>
      <w:r w:rsidR="00081119">
        <w:t xml:space="preserve"> S</w:t>
      </w:r>
      <w:r w:rsidR="00C837E5" w:rsidRPr="00DD2D90">
        <w:t xml:space="preserve">pending too much is not intrinsically bad </w:t>
      </w:r>
      <w:proofErr w:type="gramStart"/>
      <w:r w:rsidR="00C837E5" w:rsidRPr="00DD2D90">
        <w:t>as long as</w:t>
      </w:r>
      <w:proofErr w:type="gramEnd"/>
      <w:r w:rsidR="00C837E5" w:rsidRPr="00DD2D90">
        <w:t xml:space="preserve"> your debt-to-GDP ratio is good.</w:t>
      </w:r>
      <w:r w:rsidR="00081119">
        <w:t xml:space="preserve"> The third argument says that </w:t>
      </w:r>
      <w:r w:rsidR="00C837E5" w:rsidRPr="00DD2D90">
        <w:t>aff</w:t>
      </w:r>
      <w:r w:rsidR="00081119">
        <w:t>irmative economy</w:t>
      </w:r>
      <w:r w:rsidR="00C837E5" w:rsidRPr="00DD2D90">
        <w:t xml:space="preserve"> arguments </w:t>
      </w:r>
      <w:r w:rsidR="00081119">
        <w:t>are</w:t>
      </w:r>
      <w:r w:rsidR="00C837E5" w:rsidRPr="00DD2D90">
        <w:t xml:space="preserve"> reasons why rate hikes would be more likely. </w:t>
      </w:r>
      <w:r w:rsidR="00081119">
        <w:t>For instance, decreasing job lock would tighten the labor market and increase wages, thereby increasing demand. High-income earners could perceive the affirmative as a pay cut, as they lost private compensation from their employers and would demand increased pay to compensate for lost benefits. Higher government deficit spending could increase the money supply, increasing the availability of loans. This version of the argument says that the affirmative is too good and makes the economy and inflation grow too fast</w:t>
      </w:r>
      <w:r w:rsidR="009F24FB">
        <w:t xml:space="preserve"> when we are in a state of stagflation</w:t>
      </w:r>
      <w:r w:rsidR="00081119">
        <w:t>, causing overheating that causes a massive financial crash: do not say that the affirmative directly makes the economy worse, as they do it in a round-about way in an extreme recession after the initial growth. However, in the first and second</w:t>
      </w:r>
      <w:r w:rsidR="009F24FB">
        <w:t xml:space="preserve"> arguments, the affirmative is directly bad for the economy, so you should not </w:t>
      </w:r>
      <w:proofErr w:type="gramStart"/>
      <w:r w:rsidR="009F24FB">
        <w:t>conceded</w:t>
      </w:r>
      <w:proofErr w:type="gramEnd"/>
      <w:r w:rsidR="009F24FB">
        <w:t xml:space="preserve"> </w:t>
      </w:r>
      <w:proofErr w:type="spellStart"/>
      <w:r w:rsidR="009F24FB">
        <w:t>aff</w:t>
      </w:r>
      <w:proofErr w:type="spellEnd"/>
      <w:r w:rsidR="009F24FB">
        <w:t xml:space="preserve"> growth arguments.</w:t>
      </w:r>
    </w:p>
    <w:p w14:paraId="1DFCF029" w14:textId="1CEACCA0" w:rsidR="00C837E5" w:rsidRPr="00DD2D90" w:rsidRDefault="009F24FB" w:rsidP="00C11721">
      <w:pPr>
        <w:spacing w:line="480" w:lineRule="auto"/>
      </w:pPr>
      <w:r>
        <w:tab/>
        <w:t>The third argument also has a discussion of s</w:t>
      </w:r>
      <w:r w:rsidR="00C837E5" w:rsidRPr="00DD2D90">
        <w:t xml:space="preserve">upply shocks </w:t>
      </w:r>
      <w:r>
        <w:t>and</w:t>
      </w:r>
      <w:r w:rsidR="00C837E5" w:rsidRPr="00DD2D90">
        <w:t xml:space="preserve"> demand shocks</w:t>
      </w:r>
      <w:r>
        <w:t xml:space="preserve"> and their associated effects on rate hikes and inflation. The affirmative is a positive demand shock while tariffs and the Iran war are negative supply shocks; both cause different market </w:t>
      </w:r>
      <w:proofErr w:type="gramStart"/>
      <w:r>
        <w:t>dynamics</w:t>
      </w:r>
      <w:proofErr w:type="gramEnd"/>
      <w:r>
        <w:t xml:space="preserve"> and the Federal Reserve does not increase rates in the context of supply shocks.</w:t>
      </w:r>
    </w:p>
    <w:p w14:paraId="58773F27" w14:textId="37D0ED4A" w:rsidR="003D1FB2" w:rsidRPr="00DD2D90" w:rsidRDefault="009F24FB" w:rsidP="00C11721">
      <w:pPr>
        <w:spacing w:line="480" w:lineRule="auto"/>
      </w:pPr>
      <w:r>
        <w:t>If all the fiscal policy taxation implications are too complicated, you can reframe this argument in relatively simple terms.</w:t>
      </w:r>
      <w:r w:rsidRPr="009F24FB">
        <w:t xml:space="preserve"> </w:t>
      </w:r>
      <w:r>
        <w:t>The first is a h</w:t>
      </w:r>
      <w:r w:rsidRPr="00DD2D90">
        <w:t>ousehold finance analogy</w:t>
      </w:r>
      <w:r>
        <w:t>: ju</w:t>
      </w:r>
      <w:r w:rsidRPr="00DD2D90">
        <w:t xml:space="preserve">st because you are in </w:t>
      </w:r>
      <w:r>
        <w:t>debt already does not m</w:t>
      </w:r>
      <w:r w:rsidRPr="00DD2D90">
        <w:t xml:space="preserve">ean </w:t>
      </w:r>
      <w:r>
        <w:t xml:space="preserve">you are free to spend a bunch more, rather you ought to work off the debt before you add huge expenses. This “solves” the potential uniqueness </w:t>
      </w:r>
      <w:r w:rsidRPr="00DD2D90">
        <w:t>problem w</w:t>
      </w:r>
      <w:r>
        <w:t xml:space="preserve">ith this contention due to high existing national debt. The second is regarding future generations, saying the affirmative is </w:t>
      </w:r>
      <w:proofErr w:type="gramStart"/>
      <w:r>
        <w:t>similar to</w:t>
      </w:r>
      <w:proofErr w:type="gramEnd"/>
      <w:r>
        <w:t xml:space="preserve"> </w:t>
      </w:r>
      <w:r w:rsidR="00D15EFA" w:rsidRPr="00DD2D90">
        <w:t>borrowing from Peter to pay Paul, but Peter cannot consent to the borrowing because Peter does not yet exist</w:t>
      </w:r>
      <w:r>
        <w:t xml:space="preserve"> and the affirmative is massively indebting our children to be a </w:t>
      </w:r>
      <w:proofErr w:type="gramStart"/>
      <w:r>
        <w:t>prodigals</w:t>
      </w:r>
      <w:proofErr w:type="gramEnd"/>
      <w:r>
        <w:t xml:space="preserve"> child of the present.</w:t>
      </w:r>
    </w:p>
    <w:p w14:paraId="0257A053" w14:textId="7606A309" w:rsidR="00F63522" w:rsidRPr="00DD2D90" w:rsidRDefault="00F63522" w:rsidP="009278EB">
      <w:pPr>
        <w:pStyle w:val="Heading4"/>
      </w:pPr>
      <w:bookmarkStart w:id="11" w:name="_1.3.3_Case_Turns"/>
      <w:bookmarkEnd w:id="11"/>
      <w:r w:rsidRPr="00DD2D90">
        <w:t xml:space="preserve">1.3.3 </w:t>
      </w:r>
      <w:r w:rsidR="00C45836" w:rsidRPr="00DD2D90">
        <w:t>Case Turns</w:t>
      </w:r>
    </w:p>
    <w:p w14:paraId="3810FD89" w14:textId="13D63E83" w:rsidR="003D1FB2" w:rsidRPr="00DD2D90" w:rsidRDefault="00F63522" w:rsidP="00C11721">
      <w:pPr>
        <w:spacing w:line="480" w:lineRule="auto"/>
      </w:pPr>
      <w:r w:rsidRPr="00DD2D90">
        <w:tab/>
        <w:t xml:space="preserve"> Contention 3 is </w:t>
      </w:r>
      <w:r w:rsidR="00057B61" w:rsidRPr="00DD2D90">
        <w:t>Case Turns</w:t>
      </w:r>
      <w:r w:rsidRPr="00DD2D90">
        <w:t xml:space="preserve">. </w:t>
      </w:r>
      <w:r w:rsidR="009F24FB">
        <w:t>This focuses on r</w:t>
      </w:r>
      <w:r w:rsidR="003D1FB2" w:rsidRPr="00DD2D90">
        <w:t>ationing</w:t>
      </w:r>
      <w:r w:rsidR="009F24FB">
        <w:t xml:space="preserve"> and </w:t>
      </w:r>
      <w:proofErr w:type="gramStart"/>
      <w:r w:rsidR="009F24FB">
        <w:t>w</w:t>
      </w:r>
      <w:r w:rsidR="003D1FB2" w:rsidRPr="00DD2D90">
        <w:t>ait</w:t>
      </w:r>
      <w:proofErr w:type="gramEnd"/>
      <w:r w:rsidR="003D1FB2" w:rsidRPr="00DD2D90">
        <w:t xml:space="preserve"> times. </w:t>
      </w:r>
      <w:r w:rsidR="009F24FB">
        <w:t xml:space="preserve">There is also a separate argument that national health services </w:t>
      </w:r>
      <w:proofErr w:type="gramStart"/>
      <w:r w:rsidR="009F24FB">
        <w:t>lead</w:t>
      </w:r>
      <w:proofErr w:type="gramEnd"/>
      <w:r w:rsidR="009F24FB">
        <w:t xml:space="preserve"> to the u</w:t>
      </w:r>
      <w:r w:rsidR="003D1FB2" w:rsidRPr="00DD2D90">
        <w:t>nderinvest</w:t>
      </w:r>
      <w:r w:rsidR="009F24FB">
        <w:t>ment</w:t>
      </w:r>
      <w:r w:rsidR="003D1FB2" w:rsidRPr="00DD2D90">
        <w:t xml:space="preserve"> in </w:t>
      </w:r>
      <w:r w:rsidR="009F24FB">
        <w:t xml:space="preserve">public health </w:t>
      </w:r>
      <w:r w:rsidR="003D1FB2" w:rsidRPr="00DD2D90">
        <w:t>infrastructure</w:t>
      </w:r>
      <w:r w:rsidR="009F24FB">
        <w:t xml:space="preserve">. These all turn affirmative public health impacts and inequality. This problem is exacerbated if the federal government is incompetent and cannot </w:t>
      </w:r>
      <w:proofErr w:type="gramStart"/>
      <w:r w:rsidR="009F24FB">
        <w:t>actually run</w:t>
      </w:r>
      <w:proofErr w:type="gramEnd"/>
      <w:r w:rsidR="009F24FB">
        <w:t xml:space="preserve"> a national health system/insurance. As seen during the rollout of the ACA, a much, much smaller program compared to the affirmative, the website crashed horribly and it was pandemonium. Do we trust the government to do the affirmative when RFK Jr. </w:t>
      </w:r>
      <w:proofErr w:type="gramStart"/>
      <w:r w:rsidR="009F24FB">
        <w:t>is in charge of</w:t>
      </w:r>
      <w:proofErr w:type="gramEnd"/>
      <w:r w:rsidR="009F24FB">
        <w:t xml:space="preserve"> the Department of Health and Human Services?</w:t>
      </w:r>
    </w:p>
    <w:p w14:paraId="17457F14" w14:textId="6FD8A0CC" w:rsidR="00F63522" w:rsidRPr="00DD2D90" w:rsidRDefault="00F63522" w:rsidP="009278EB">
      <w:pPr>
        <w:pStyle w:val="Heading4"/>
      </w:pPr>
      <w:bookmarkStart w:id="12" w:name="_1.3.4_Rural_Doctors"/>
      <w:bookmarkEnd w:id="12"/>
      <w:r w:rsidRPr="00DD2D90">
        <w:t xml:space="preserve">1.3.4 </w:t>
      </w:r>
      <w:r w:rsidR="00C45836" w:rsidRPr="00DD2D90">
        <w:t>Rural Doctors</w:t>
      </w:r>
    </w:p>
    <w:p w14:paraId="0FEACC1B" w14:textId="3FA064E6" w:rsidR="003D1FB2" w:rsidRPr="00DD2D90" w:rsidRDefault="00F63522" w:rsidP="00C11721">
      <w:pPr>
        <w:spacing w:line="480" w:lineRule="auto"/>
      </w:pPr>
      <w:r w:rsidRPr="00DD2D90">
        <w:tab/>
        <w:t xml:space="preserve"> Contention 4 is </w:t>
      </w:r>
      <w:r w:rsidR="00057B61" w:rsidRPr="00DD2D90">
        <w:t>Rural Doctors</w:t>
      </w:r>
      <w:r w:rsidRPr="00DD2D90">
        <w:t xml:space="preserve">. </w:t>
      </w:r>
      <w:r w:rsidR="009F24FB">
        <w:t>The current r</w:t>
      </w:r>
      <w:r w:rsidR="003D1FB2" w:rsidRPr="00DD2D90">
        <w:t xml:space="preserve">ural doctor crisis </w:t>
      </w:r>
      <w:r w:rsidR="009F24FB">
        <w:t xml:space="preserve">is </w:t>
      </w:r>
      <w:r w:rsidR="003D1FB2" w:rsidRPr="00DD2D90">
        <w:t>often contributed to lower Medicare reimbursement rates</w:t>
      </w:r>
      <w:r w:rsidR="009F24FB">
        <w:t xml:space="preserve"> compared to private patients </w:t>
      </w:r>
      <w:proofErr w:type="gramStart"/>
      <w:r w:rsidR="009F24FB">
        <w:t>who they</w:t>
      </w:r>
      <w:proofErr w:type="gramEnd"/>
      <w:r w:rsidR="009F24FB">
        <w:t xml:space="preserve"> comparatively overcharge to </w:t>
      </w:r>
      <w:proofErr w:type="spellStart"/>
      <w:r w:rsidR="009F24FB">
        <w:t>makeup</w:t>
      </w:r>
      <w:proofErr w:type="spellEnd"/>
      <w:r w:rsidR="009F24FB">
        <w:t xml:space="preserve"> the difference from undercharging Medicare patients. Proposals like Medicare for All would remove the additional funding rural hospitals get from private patients, threatening rural doctor wages and the fiscal sustainability of rural hospitals. This argument is often </w:t>
      </w:r>
      <w:r w:rsidR="009F24FB" w:rsidRPr="00DD2D90">
        <w:t>framed as a neg</w:t>
      </w:r>
      <w:r w:rsidR="009F24FB">
        <w:t>ative</w:t>
      </w:r>
      <w:r w:rsidR="009F24FB" w:rsidRPr="00DD2D90">
        <w:t xml:space="preserve"> argument, but </w:t>
      </w:r>
      <w:r w:rsidR="009F24FB">
        <w:t xml:space="preserve">the research literature is </w:t>
      </w:r>
      <w:r w:rsidR="009F24FB" w:rsidRPr="00DD2D90">
        <w:t>very unclear what side</w:t>
      </w:r>
      <w:r w:rsidR="009F24FB">
        <w:t xml:space="preserve"> this contention goes to. One impact besides mass death for </w:t>
      </w:r>
      <w:r w:rsidR="003D1FB2" w:rsidRPr="00DD2D90">
        <w:t xml:space="preserve">rural communities </w:t>
      </w:r>
      <w:r w:rsidR="009F24FB">
        <w:t>is</w:t>
      </w:r>
      <w:r w:rsidR="003D1FB2" w:rsidRPr="00DD2D90">
        <w:t xml:space="preserve"> t</w:t>
      </w:r>
      <w:r w:rsidR="009F24FB">
        <w:t>he potential loss of</w:t>
      </w:r>
      <w:r w:rsidR="003D1FB2" w:rsidRPr="00DD2D90">
        <w:t xml:space="preserve"> agriculture</w:t>
      </w:r>
      <w:r w:rsidR="009F24FB">
        <w:t xml:space="preserve"> and increase in food prices.</w:t>
      </w:r>
    </w:p>
    <w:p w14:paraId="1AD31DBB" w14:textId="7C85789A" w:rsidR="00F63522" w:rsidRDefault="00F63522" w:rsidP="009278EB">
      <w:pPr>
        <w:pStyle w:val="Heading4"/>
      </w:pPr>
      <w:bookmarkStart w:id="13" w:name="_1.3.5_Authoritarianism/Property_Rig"/>
      <w:bookmarkEnd w:id="13"/>
      <w:r w:rsidRPr="00DD2D90">
        <w:t xml:space="preserve">1.3.5 </w:t>
      </w:r>
      <w:r w:rsidR="00C45836" w:rsidRPr="00DD2D90">
        <w:t>Authoritarianism</w:t>
      </w:r>
      <w:r w:rsidR="008A2CB2" w:rsidRPr="00DD2D90">
        <w:t>/Property Rights</w:t>
      </w:r>
    </w:p>
    <w:p w14:paraId="1F079AB8" w14:textId="41EB462B" w:rsidR="00C11721" w:rsidRPr="00DD2D90" w:rsidRDefault="00C11721" w:rsidP="00C11721">
      <w:pPr>
        <w:spacing w:line="480" w:lineRule="auto"/>
      </w:pPr>
      <w:r w:rsidRPr="00DD2D90">
        <w:t>“</w:t>
      </w:r>
      <w:r>
        <w:t>F</w:t>
      </w:r>
      <w:r w:rsidRPr="00DD2D90">
        <w:t xml:space="preserve">ree choice is to be exercised more in the </w:t>
      </w:r>
      <w:proofErr w:type="gramStart"/>
      <w:r w:rsidRPr="00DD2D90">
        <w:t>market place</w:t>
      </w:r>
      <w:proofErr w:type="gramEnd"/>
      <w:r w:rsidRPr="00DD2D90">
        <w:t xml:space="preserve"> than in the ballot box”</w:t>
      </w:r>
      <w:r>
        <w:t xml:space="preserve"> </w:t>
      </w:r>
      <w:r w:rsidRPr="00C11721">
        <w:t>–</w:t>
      </w:r>
      <w:r>
        <w:t xml:space="preserve"> Fredrich Hayek.</w:t>
      </w:r>
    </w:p>
    <w:p w14:paraId="547EC991" w14:textId="77777777" w:rsidR="00C11721" w:rsidRPr="00C11721" w:rsidRDefault="00C11721" w:rsidP="00C11721">
      <w:pPr>
        <w:spacing w:line="480" w:lineRule="auto"/>
      </w:pPr>
    </w:p>
    <w:p w14:paraId="53845354" w14:textId="0E367E2E" w:rsidR="00F85161" w:rsidRPr="00DD2D90" w:rsidRDefault="00F63522" w:rsidP="00C11721">
      <w:pPr>
        <w:spacing w:line="480" w:lineRule="auto"/>
      </w:pPr>
      <w:r w:rsidRPr="00DD2D90">
        <w:tab/>
        <w:t xml:space="preserve"> Contention 5 is </w:t>
      </w:r>
      <w:r w:rsidR="00057B61" w:rsidRPr="00DD2D90">
        <w:t>Authoritarianism</w:t>
      </w:r>
      <w:r w:rsidR="008A2CB2" w:rsidRPr="00DD2D90">
        <w:t>/Property Rights</w:t>
      </w:r>
      <w:r w:rsidRPr="00DD2D90">
        <w:t xml:space="preserve">. </w:t>
      </w:r>
      <w:r w:rsidR="00F85161" w:rsidRPr="00DD2D90">
        <w:t xml:space="preserve">If you </w:t>
      </w:r>
      <w:r w:rsidR="009F24FB">
        <w:t>hypothetically wanted to engage in large-scale eugenics projects like</w:t>
      </w:r>
      <w:r w:rsidR="00F85161" w:rsidRPr="00DD2D90">
        <w:t xml:space="preserve"> mass sterilizations of disabled folk, </w:t>
      </w:r>
      <w:r w:rsidR="00C11721">
        <w:t xml:space="preserve">ask yourself what </w:t>
      </w:r>
      <w:proofErr w:type="gramStart"/>
      <w:r w:rsidR="00C11721">
        <w:t>would be the best system</w:t>
      </w:r>
      <w:proofErr w:type="gramEnd"/>
      <w:r w:rsidR="00C11721">
        <w:t xml:space="preserve"> to enact that policy.</w:t>
      </w:r>
      <w:r w:rsidR="00C11721" w:rsidRPr="00C11721">
        <w:t xml:space="preserve"> </w:t>
      </w:r>
      <w:r w:rsidR="00C11721">
        <w:t>A</w:t>
      </w:r>
      <w:r w:rsidR="00C11721" w:rsidRPr="00DD2D90">
        <w:t>void</w:t>
      </w:r>
      <w:r w:rsidR="00C11721">
        <w:t>ing</w:t>
      </w:r>
      <w:r w:rsidR="00C11721" w:rsidRPr="00DD2D90">
        <w:t xml:space="preserve"> overly concentrating power in one entity</w:t>
      </w:r>
      <w:r w:rsidR="00C11721">
        <w:t xml:space="preserve"> is good to avoid that, creating backup redundancy in case something goes wrong and enforcing checks and balances. A decentralized and private healthcare system is key to dividing</w:t>
      </w:r>
      <w:r w:rsidR="00F85161" w:rsidRPr="00DD2D90">
        <w:t xml:space="preserve"> power </w:t>
      </w:r>
      <w:r w:rsidR="00C11721">
        <w:t xml:space="preserve">private individuals and the government, </w:t>
      </w:r>
      <w:proofErr w:type="gramStart"/>
      <w:r w:rsidR="00C11721">
        <w:t>similar to</w:t>
      </w:r>
      <w:proofErr w:type="gramEnd"/>
      <w:r w:rsidR="00C11721">
        <w:t xml:space="preserve"> justifications for the separation of powers </w:t>
      </w:r>
      <w:r w:rsidR="00F85161" w:rsidRPr="00DD2D90">
        <w:t>between</w:t>
      </w:r>
      <w:r w:rsidR="00C11721">
        <w:t xml:space="preserve"> the</w:t>
      </w:r>
      <w:r w:rsidR="00F85161" w:rsidRPr="00DD2D90">
        <w:t xml:space="preserve"> states and the federal government in federalism</w:t>
      </w:r>
      <w:r w:rsidR="00C11721">
        <w:t>. M</w:t>
      </w:r>
      <w:r w:rsidR="00C11721" w:rsidRPr="00DD2D90">
        <w:t>edical independence</w:t>
      </w:r>
      <w:r w:rsidR="00C11721">
        <w:t xml:space="preserve"> is the “Third</w:t>
      </w:r>
      <w:r w:rsidR="00C11721" w:rsidRPr="00DD2D90">
        <w:t xml:space="preserve"> estate”</w:t>
      </w:r>
      <w:r w:rsidR="00C11721">
        <w:t xml:space="preserve"> as part of civil society, </w:t>
      </w:r>
      <w:proofErr w:type="gramStart"/>
      <w:r w:rsidR="00C11721">
        <w:t>similar to</w:t>
      </w:r>
      <w:proofErr w:type="gramEnd"/>
      <w:r w:rsidR="00C11721">
        <w:t xml:space="preserve"> journalists, acting as a check on government. If the </w:t>
      </w:r>
      <w:proofErr w:type="gramStart"/>
      <w:r w:rsidR="00C11721">
        <w:t>government controlled</w:t>
      </w:r>
      <w:proofErr w:type="gramEnd"/>
      <w:r w:rsidR="00C11721">
        <w:t xml:space="preserve"> doctors and did not need to work through inefficient decentralized networks, the government may be better equipped to commit mass medical atrocities </w:t>
      </w:r>
      <w:proofErr w:type="gramStart"/>
      <w:r w:rsidR="00C11721">
        <w:t>similar to</w:t>
      </w:r>
      <w:proofErr w:type="gramEnd"/>
      <w:r w:rsidR="00C11721">
        <w:t xml:space="preserve"> Soviet Russia. </w:t>
      </w:r>
    </w:p>
    <w:p w14:paraId="167D9722" w14:textId="77777777" w:rsidR="00F85161" w:rsidRPr="00DD2D90" w:rsidRDefault="00F85161" w:rsidP="00F85161"/>
    <w:p w14:paraId="699765CA" w14:textId="77777777" w:rsidR="00F85161" w:rsidRPr="00DD2D90" w:rsidRDefault="00F85161" w:rsidP="00F85161"/>
    <w:p w14:paraId="44103BD7" w14:textId="77777777" w:rsidR="008A2CB2" w:rsidRPr="00DD2D90" w:rsidRDefault="008A2CB2" w:rsidP="00F63522"/>
    <w:p w14:paraId="15C1AE36" w14:textId="0B087093" w:rsidR="00F63522" w:rsidRPr="00DD2D90" w:rsidRDefault="00F63522" w:rsidP="009278EB">
      <w:pPr>
        <w:pStyle w:val="Heading4"/>
      </w:pPr>
      <w:bookmarkStart w:id="14" w:name="_1.3.6_High_Drug"/>
      <w:bookmarkEnd w:id="14"/>
      <w:r w:rsidRPr="00DD2D90">
        <w:t xml:space="preserve">1.3.6 </w:t>
      </w:r>
      <w:r w:rsidR="00C45836" w:rsidRPr="00DD2D90">
        <w:t>High Drug Prices Good</w:t>
      </w:r>
    </w:p>
    <w:p w14:paraId="42451CAB" w14:textId="011720A5" w:rsidR="00F63522" w:rsidRPr="00DD2D90" w:rsidRDefault="00F63522" w:rsidP="00C11721">
      <w:pPr>
        <w:spacing w:line="480" w:lineRule="auto"/>
      </w:pPr>
      <w:r w:rsidRPr="00DD2D90">
        <w:tab/>
        <w:t xml:space="preserve"> Contention 6 is </w:t>
      </w:r>
      <w:r w:rsidR="00057B61" w:rsidRPr="00DD2D90">
        <w:t>High Drug Prices Good</w:t>
      </w:r>
      <w:r w:rsidRPr="00DD2D90">
        <w:t xml:space="preserve">. </w:t>
      </w:r>
      <w:r w:rsidR="009F24FB">
        <w:t>Remember to d</w:t>
      </w:r>
      <w:r w:rsidR="003D1FB2" w:rsidRPr="00DD2D90">
        <w:t>ifferentiate between</w:t>
      </w:r>
      <w:r w:rsidR="009F24FB">
        <w:t xml:space="preserve"> a</w:t>
      </w:r>
      <w:r w:rsidR="003D1FB2" w:rsidRPr="00DD2D90">
        <w:t xml:space="preserve"> general innovation DA, and this variation</w:t>
      </w:r>
      <w:r w:rsidR="009F24FB">
        <w:t xml:space="preserve"> which focuses</w:t>
      </w:r>
      <w:r w:rsidR="003D1FB2" w:rsidRPr="00DD2D90">
        <w:t xml:space="preserve"> </w:t>
      </w:r>
      <w:r w:rsidR="009F24FB">
        <w:t xml:space="preserve">on how India needs to increase their pharmaceutical </w:t>
      </w:r>
      <w:r w:rsidR="003D1FB2" w:rsidRPr="00DD2D90">
        <w:t xml:space="preserve">exports to increase </w:t>
      </w:r>
      <w:r w:rsidR="009F24FB">
        <w:t xml:space="preserve">the </w:t>
      </w:r>
      <w:r w:rsidR="003D1FB2" w:rsidRPr="00DD2D90">
        <w:t>Indian economy</w:t>
      </w:r>
      <w:r w:rsidR="009F24FB">
        <w:t xml:space="preserve"> and decrease poverty</w:t>
      </w:r>
      <w:r w:rsidR="003D1FB2" w:rsidRPr="00DD2D90">
        <w:t xml:space="preserve">. Nationalizing </w:t>
      </w:r>
      <w:r w:rsidR="009F24FB">
        <w:t xml:space="preserve">healthcare </w:t>
      </w:r>
      <w:r w:rsidR="003D1FB2" w:rsidRPr="00DD2D90">
        <w:t xml:space="preserve">ends </w:t>
      </w:r>
      <w:r w:rsidR="009F24FB">
        <w:t xml:space="preserve">current </w:t>
      </w:r>
      <w:r w:rsidR="003D1FB2" w:rsidRPr="00DD2D90">
        <w:t>public-private partnerships</w:t>
      </w:r>
      <w:r w:rsidR="009F24FB">
        <w:t xml:space="preserve"> and removes their incentives for exports.</w:t>
      </w:r>
    </w:p>
    <w:p w14:paraId="214E7D7A" w14:textId="77777777" w:rsidR="00F63522" w:rsidRPr="00D05211" w:rsidRDefault="00F63522" w:rsidP="00F63522">
      <w:pPr>
        <w:pStyle w:val="Heading2"/>
        <w:rPr>
          <w:rFonts w:ascii="Arial Black" w:hAnsi="Arial Black"/>
          <w:color w:val="B43E1F"/>
          <w:szCs w:val="44"/>
          <w:u w:val="single"/>
        </w:rPr>
      </w:pPr>
      <w:r w:rsidRPr="00D05211">
        <w:rPr>
          <w:rFonts w:ascii="Arial Black" w:hAnsi="Arial Black"/>
          <w:color w:val="B43E1F"/>
          <w:szCs w:val="44"/>
          <w:u w:val="single"/>
        </w:rPr>
        <w:t>Affirmative</w:t>
      </w:r>
    </w:p>
    <w:p w14:paraId="5B306D09" w14:textId="7AA11BB8" w:rsidR="00F63522" w:rsidRPr="00D05211" w:rsidRDefault="00F63522" w:rsidP="00F63522">
      <w:pPr>
        <w:pStyle w:val="Heading3"/>
        <w:rPr>
          <w:rFonts w:ascii="Arial Black" w:hAnsi="Arial Black"/>
          <w:color w:val="B43E1F"/>
          <w:szCs w:val="32"/>
        </w:rPr>
      </w:pPr>
      <w:bookmarkStart w:id="15" w:name="_Hlk90153983"/>
      <w:r w:rsidRPr="00D05211">
        <w:rPr>
          <w:rFonts w:ascii="Arial Black" w:hAnsi="Arial Black"/>
          <w:color w:val="B43E1F"/>
          <w:szCs w:val="32"/>
        </w:rPr>
        <w:t xml:space="preserve">Contention 1: </w:t>
      </w:r>
      <w:r w:rsidR="00914260" w:rsidRPr="00D05211">
        <w:rPr>
          <w:rFonts w:ascii="Arial Black" w:hAnsi="Arial Black"/>
          <w:color w:val="B43E1F"/>
          <w:szCs w:val="32"/>
        </w:rPr>
        <w:t>Economy</w:t>
      </w:r>
    </w:p>
    <w:p w14:paraId="398701E9" w14:textId="36670A43" w:rsidR="009C702C" w:rsidRPr="009278EB" w:rsidRDefault="00ED19FB" w:rsidP="009C702C">
      <w:pPr>
        <w:pStyle w:val="Heading4"/>
        <w:rPr>
          <w:szCs w:val="26"/>
        </w:rPr>
      </w:pPr>
      <w:bookmarkStart w:id="16" w:name="_vjwxr19lqf7o" w:colFirst="0" w:colLast="0"/>
      <w:bookmarkStart w:id="17" w:name="_Hlk90153988"/>
      <w:bookmarkEnd w:id="15"/>
      <w:bookmarkEnd w:id="16"/>
      <w:r w:rsidRPr="009278EB">
        <w:rPr>
          <w:szCs w:val="26"/>
        </w:rPr>
        <w:t xml:space="preserve">The labor market is imploding </w:t>
      </w:r>
      <w:r w:rsidR="00222B1E" w:rsidRPr="009278EB">
        <w:rPr>
          <w:szCs w:val="26"/>
        </w:rPr>
        <w:t xml:space="preserve">from the demographic crisis </w:t>
      </w:r>
      <w:r w:rsidRPr="009278EB">
        <w:rPr>
          <w:szCs w:val="26"/>
        </w:rPr>
        <w:t>– decreasing inequality and increasing employment flexibility</w:t>
      </w:r>
      <w:r w:rsidR="0046446F" w:rsidRPr="009278EB">
        <w:rPr>
          <w:szCs w:val="26"/>
        </w:rPr>
        <w:t xml:space="preserve"> solves.</w:t>
      </w:r>
    </w:p>
    <w:p w14:paraId="0B61198B" w14:textId="77777777" w:rsidR="009C702C" w:rsidRPr="00DD2D90" w:rsidRDefault="009C702C" w:rsidP="009C702C">
      <w:r w:rsidRPr="009278EB">
        <w:rPr>
          <w:b/>
          <w:bCs/>
          <w:sz w:val="26"/>
          <w:szCs w:val="26"/>
        </w:rPr>
        <w:t>Depillis 4-3</w:t>
      </w:r>
      <w:r w:rsidRPr="00DD2D90">
        <w:t xml:space="preserve"> [Lydia Depillis, NYT American economy reporter, 4-3-2026, "Jobs and Workers Are </w:t>
      </w:r>
      <w:proofErr w:type="gramStart"/>
      <w:r w:rsidRPr="00DD2D90">
        <w:t>In</w:t>
      </w:r>
      <w:proofErr w:type="gramEnd"/>
      <w:r w:rsidRPr="00DD2D90">
        <w:t xml:space="preserve"> Balance. Nobody Is Happy About It.", NYT, https://www.nytimes.com/2026/04/03/business/economy/population-growth-immigration.html]/Kankee</w:t>
      </w:r>
    </w:p>
    <w:p w14:paraId="271DB16E" w14:textId="3B57D065" w:rsidR="009C702C" w:rsidRPr="009278EB" w:rsidRDefault="009C702C" w:rsidP="00D65A5F">
      <w:pPr>
        <w:rPr>
          <w:sz w:val="16"/>
        </w:rPr>
      </w:pPr>
      <w:r w:rsidRPr="00DD2D90">
        <w:rPr>
          <w:rStyle w:val="StyleUnderline"/>
        </w:rPr>
        <w:t>In a healthy labor market, enough jobs are being created to soak up all the new people looking for work</w:t>
      </w:r>
      <w:r w:rsidRPr="009278EB">
        <w:rPr>
          <w:sz w:val="16"/>
        </w:rPr>
        <w:t xml:space="preserve">. But what if those numbers are essentially zilch? That’s the conundrum facing Federal Reserve officials, as they eye employment reports that have registered in the red for five of the last 12 months. </w:t>
      </w:r>
      <w:r w:rsidRPr="00DD2D90">
        <w:rPr>
          <w:rStyle w:val="StyleUnderline"/>
          <w:highlight w:val="green"/>
        </w:rPr>
        <w:t>The economy</w:t>
      </w:r>
      <w:r w:rsidRPr="009278EB">
        <w:rPr>
          <w:sz w:val="16"/>
        </w:rPr>
        <w:t xml:space="preserve"> has </w:t>
      </w:r>
      <w:r w:rsidRPr="00DD2D90">
        <w:rPr>
          <w:rStyle w:val="StyleUnderline"/>
          <w:highlight w:val="green"/>
        </w:rPr>
        <w:t>added 156,000 jobs</w:t>
      </w:r>
      <w:r w:rsidRPr="00DD2D90">
        <w:rPr>
          <w:rStyle w:val="StyleUnderline"/>
        </w:rPr>
        <w:t xml:space="preserve"> over the past year, </w:t>
      </w:r>
      <w:r w:rsidRPr="00DD2D90">
        <w:rPr>
          <w:rStyle w:val="StyleUnderline"/>
          <w:highlight w:val="green"/>
        </w:rPr>
        <w:t xml:space="preserve">the </w:t>
      </w:r>
      <w:r w:rsidRPr="00DD2D90">
        <w:rPr>
          <w:rStyle w:val="Emphasis"/>
          <w:highlight w:val="green"/>
        </w:rPr>
        <w:t>slowest</w:t>
      </w:r>
      <w:r w:rsidRPr="00DD2D90">
        <w:rPr>
          <w:rStyle w:val="StyleUnderline"/>
          <w:highlight w:val="green"/>
        </w:rPr>
        <w:t xml:space="preserve"> pace since</w:t>
      </w:r>
      <w:r w:rsidRPr="009278EB">
        <w:rPr>
          <w:sz w:val="16"/>
        </w:rPr>
        <w:t xml:space="preserve"> the </w:t>
      </w:r>
      <w:r w:rsidRPr="00DD2D90">
        <w:rPr>
          <w:rStyle w:val="StyleUnderline"/>
          <w:highlight w:val="green"/>
        </w:rPr>
        <w:t>Covid</w:t>
      </w:r>
      <w:r w:rsidRPr="009278EB">
        <w:rPr>
          <w:sz w:val="16"/>
        </w:rPr>
        <w:t xml:space="preserve">-19 pandemic </w:t>
      </w:r>
      <w:r w:rsidRPr="00DD2D90">
        <w:rPr>
          <w:rStyle w:val="StyleUnderline"/>
          <w:highlight w:val="green"/>
        </w:rPr>
        <w:t>and</w:t>
      </w:r>
      <w:r w:rsidRPr="00DD2D90">
        <w:rPr>
          <w:rStyle w:val="StyleUnderline"/>
        </w:rPr>
        <w:t>, before that</w:t>
      </w:r>
      <w:r w:rsidRPr="009278EB">
        <w:rPr>
          <w:sz w:val="16"/>
        </w:rPr>
        <w:t xml:space="preserve">, the aftermath of </w:t>
      </w:r>
      <w:r w:rsidRPr="00DD2D90">
        <w:rPr>
          <w:rStyle w:val="StyleUnderline"/>
          <w:highlight w:val="green"/>
        </w:rPr>
        <w:t>the financial crisis</w:t>
      </w:r>
      <w:r w:rsidRPr="009278EB">
        <w:rPr>
          <w:sz w:val="16"/>
        </w:rPr>
        <w:t xml:space="preserve">. </w:t>
      </w:r>
      <w:r w:rsidRPr="00DD2D90">
        <w:rPr>
          <w:rStyle w:val="StyleUnderline"/>
        </w:rPr>
        <w:t>The rate of hiring has fallen to lows from</w:t>
      </w:r>
      <w:r w:rsidRPr="009278EB">
        <w:rPr>
          <w:sz w:val="16"/>
        </w:rPr>
        <w:t xml:space="preserve"> April </w:t>
      </w:r>
      <w:r w:rsidRPr="00DD2D90">
        <w:rPr>
          <w:rStyle w:val="StyleUnderline"/>
        </w:rPr>
        <w:t>2020</w:t>
      </w:r>
      <w:r w:rsidRPr="009278EB">
        <w:rPr>
          <w:sz w:val="16"/>
        </w:rPr>
        <w:t xml:space="preserve"> </w:t>
      </w:r>
      <w:r w:rsidRPr="00DD2D90">
        <w:rPr>
          <w:rStyle w:val="StyleUnderline"/>
        </w:rPr>
        <w:t>and</w:t>
      </w:r>
      <w:r w:rsidRPr="009278EB">
        <w:rPr>
          <w:sz w:val="16"/>
        </w:rPr>
        <w:t xml:space="preserve"> early </w:t>
      </w:r>
      <w:r w:rsidRPr="00DD2D90">
        <w:rPr>
          <w:rStyle w:val="StyleUnderline"/>
        </w:rPr>
        <w:t>2010</w:t>
      </w:r>
      <w:r w:rsidRPr="009278EB">
        <w:rPr>
          <w:sz w:val="16"/>
        </w:rPr>
        <w:t>. And yet, in contrast to those economic cataclysms, the jobless are not lining up at unemployment offices. Because of President Trump’s hard turn toward deportations and clampdown on legal immigration channels, there just aren’t that many new job seekers. “</w:t>
      </w:r>
      <w:r w:rsidRPr="00DD2D90">
        <w:rPr>
          <w:rStyle w:val="StyleUnderline"/>
          <w:highlight w:val="green"/>
        </w:rPr>
        <w:t>You’ve go</w:t>
      </w:r>
      <w:r w:rsidRPr="00DD2D90">
        <w:rPr>
          <w:rStyle w:val="StyleUnderline"/>
        </w:rPr>
        <w:t>t</w:t>
      </w:r>
      <w:r w:rsidRPr="009278EB">
        <w:rPr>
          <w:sz w:val="16"/>
        </w:rPr>
        <w:t xml:space="preserve"> a sort of </w:t>
      </w:r>
      <w:r w:rsidRPr="00DD2D90">
        <w:rPr>
          <w:rStyle w:val="StyleUnderline"/>
        </w:rPr>
        <w:t xml:space="preserve">a </w:t>
      </w:r>
      <w:r w:rsidRPr="00DD2D90">
        <w:rPr>
          <w:rStyle w:val="Emphasis"/>
          <w:highlight w:val="green"/>
        </w:rPr>
        <w:t>zero</w:t>
      </w:r>
      <w:r w:rsidRPr="00DD2D90">
        <w:rPr>
          <w:rStyle w:val="StyleUnderline"/>
        </w:rPr>
        <w:t xml:space="preserve"> employment </w:t>
      </w:r>
      <w:r w:rsidRPr="00DD2D90">
        <w:rPr>
          <w:rStyle w:val="StyleUnderline"/>
          <w:highlight w:val="green"/>
        </w:rPr>
        <w:t>growth</w:t>
      </w:r>
      <w:r w:rsidRPr="00DD2D90">
        <w:rPr>
          <w:rStyle w:val="StyleUnderline"/>
        </w:rPr>
        <w:t xml:space="preserve"> equilibrium</w:t>
      </w:r>
      <w:r w:rsidRPr="009278EB">
        <w:rPr>
          <w:sz w:val="16"/>
        </w:rPr>
        <w:t xml:space="preserve">,” said Jerome H. Powell, the Fed’s chair, at the central bank’s meeting last month. “Now that’s balance, OK, but I would say it does have a feel of downside risk, and it’s not kind of a really comfortable balance.” The unease reflects the unfamiliar nature of a no-growth U.S. job market. </w:t>
      </w:r>
      <w:r w:rsidRPr="00DD2D90">
        <w:rPr>
          <w:rStyle w:val="StyleUnderline"/>
        </w:rPr>
        <w:t>The labor force has slowed down</w:t>
      </w:r>
      <w:r w:rsidRPr="009278EB">
        <w:rPr>
          <w:sz w:val="16"/>
        </w:rPr>
        <w:t xml:space="preserve"> before, including </w:t>
      </w:r>
      <w:r w:rsidRPr="00DD2D90">
        <w:rPr>
          <w:rStyle w:val="StyleUnderline"/>
        </w:rPr>
        <w:t>during the Great Recession</w:t>
      </w:r>
      <w:r w:rsidRPr="009278EB">
        <w:rPr>
          <w:sz w:val="16"/>
        </w:rPr>
        <w:t xml:space="preserve">, when many immigrants who had come for construction </w:t>
      </w:r>
      <w:r w:rsidRPr="00DD2D90">
        <w:rPr>
          <w:rStyle w:val="StyleUnderline"/>
        </w:rPr>
        <w:t>jobs</w:t>
      </w:r>
      <w:r w:rsidRPr="009278EB">
        <w:rPr>
          <w:sz w:val="16"/>
        </w:rPr>
        <w:t xml:space="preserve"> during the housing boom left after those </w:t>
      </w:r>
      <w:r w:rsidRPr="00DD2D90">
        <w:rPr>
          <w:rStyle w:val="StyleUnderline"/>
        </w:rPr>
        <w:t>opportunities</w:t>
      </w:r>
      <w:r w:rsidRPr="009278EB">
        <w:rPr>
          <w:sz w:val="16"/>
        </w:rPr>
        <w:t xml:space="preserve"> </w:t>
      </w:r>
      <w:r w:rsidRPr="00DD2D90">
        <w:rPr>
          <w:rStyle w:val="Emphasis"/>
        </w:rPr>
        <w:t>evaporated</w:t>
      </w:r>
      <w:r w:rsidRPr="009278EB">
        <w:rPr>
          <w:sz w:val="16"/>
        </w:rPr>
        <w:t xml:space="preserve">. Their departures served as something of a safety valve, preventing unemployment from rising even higher. But </w:t>
      </w:r>
      <w:r w:rsidRPr="00DD2D90">
        <w:rPr>
          <w:rStyle w:val="StyleUnderline"/>
        </w:rPr>
        <w:t xml:space="preserve">labor force growth has never come to such a standstill outside that </w:t>
      </w:r>
      <w:r w:rsidRPr="009278EB">
        <w:rPr>
          <w:sz w:val="16"/>
        </w:rPr>
        <w:t>kind of</w:t>
      </w:r>
      <w:r w:rsidRPr="00DD2D90">
        <w:rPr>
          <w:rStyle w:val="StyleUnderline"/>
        </w:rPr>
        <w:t xml:space="preserve"> downturn</w:t>
      </w:r>
      <w:r w:rsidRPr="009278EB">
        <w:rPr>
          <w:sz w:val="16"/>
        </w:rPr>
        <w:t xml:space="preserve">. And it is accelerating the reality that now faces many developed countries: </w:t>
      </w:r>
      <w:r w:rsidRPr="00DD2D90">
        <w:rPr>
          <w:rStyle w:val="StyleUnderline"/>
          <w:highlight w:val="green"/>
        </w:rPr>
        <w:t>As birthrates dip</w:t>
      </w:r>
      <w:r w:rsidRPr="00DD2D90">
        <w:rPr>
          <w:rStyle w:val="StyleUnderline"/>
        </w:rPr>
        <w:t xml:space="preserve">, </w:t>
      </w:r>
      <w:r w:rsidRPr="00DD2D90">
        <w:rPr>
          <w:rStyle w:val="StyleUnderline"/>
          <w:highlight w:val="green"/>
        </w:rPr>
        <w:t>the working</w:t>
      </w:r>
      <w:r w:rsidRPr="00DD2D90">
        <w:rPr>
          <w:rStyle w:val="StyleUnderline"/>
        </w:rPr>
        <w:t xml:space="preserve">-age </w:t>
      </w:r>
      <w:r w:rsidRPr="00DD2D90">
        <w:rPr>
          <w:rStyle w:val="StyleUnderline"/>
          <w:highlight w:val="green"/>
        </w:rPr>
        <w:t>population</w:t>
      </w:r>
      <w:r w:rsidRPr="00DD2D90">
        <w:rPr>
          <w:rStyle w:val="StyleUnderline"/>
        </w:rPr>
        <w:t xml:space="preserve"> </w:t>
      </w:r>
      <w:r w:rsidRPr="00DD2D90">
        <w:rPr>
          <w:rStyle w:val="Emphasis"/>
          <w:highlight w:val="green"/>
        </w:rPr>
        <w:t>flatlines</w:t>
      </w:r>
      <w:r w:rsidRPr="00DD2D90">
        <w:rPr>
          <w:rStyle w:val="StyleUnderline"/>
        </w:rPr>
        <w:t xml:space="preserve"> and may shrink, </w:t>
      </w:r>
      <w:r w:rsidRPr="00DD2D90">
        <w:rPr>
          <w:rStyle w:val="StyleUnderline"/>
          <w:highlight w:val="green"/>
        </w:rPr>
        <w:t>unless foreigners come in</w:t>
      </w:r>
      <w:r w:rsidRPr="00DD2D90">
        <w:rPr>
          <w:rStyle w:val="StyleUnderline"/>
        </w:rPr>
        <w:t xml:space="preserve"> to refresh it</w:t>
      </w:r>
      <w:r w:rsidRPr="009278EB">
        <w:rPr>
          <w:sz w:val="16"/>
        </w:rPr>
        <w:t xml:space="preserve">. The United States was supposed to reach that point a few decades hence. Now, it’s already here. “There is so much angst about the state of the economy right now, and that’s because it’s so different from what we’ve seen in recent decades,” said Luke Pardue, policy director at the Aspen Institute’s Economic Strategy Group. “What we’re seeing right now is a strong hint of what we will see in the future given the current and projected demographic trends.” The new equilibrium creates some challenges. Surmounting them — if the federal government remains committed to keeping foreigners out — would require some very focused effort. Harder Questions As long as a country has basic preconditions for prosperity, like a functional government and universal education system, </w:t>
      </w:r>
      <w:r w:rsidRPr="00DD2D90">
        <w:rPr>
          <w:rStyle w:val="StyleUnderline"/>
        </w:rPr>
        <w:t>moderate population growth is a tailwind for living standards</w:t>
      </w:r>
      <w:r w:rsidRPr="009278EB">
        <w:rPr>
          <w:sz w:val="16"/>
        </w:rPr>
        <w:t xml:space="preserve">. More people mean more customers for goods and services, more available workers to execute on good ideas and more opportunities to move around and grow. Think about the economy as a company. </w:t>
      </w:r>
      <w:r w:rsidRPr="00DD2D90">
        <w:rPr>
          <w:rStyle w:val="StyleUnderline"/>
          <w:highlight w:val="green"/>
        </w:rPr>
        <w:t>If it’s growing</w:t>
      </w:r>
      <w:r w:rsidRPr="00DD2D90">
        <w:rPr>
          <w:rStyle w:val="StyleUnderline"/>
        </w:rPr>
        <w:t xml:space="preserve">, </w:t>
      </w:r>
      <w:r w:rsidRPr="00DD2D90">
        <w:rPr>
          <w:rStyle w:val="StyleUnderline"/>
          <w:highlight w:val="green"/>
        </w:rPr>
        <w:t>employees have an easier time moving to different roles</w:t>
      </w:r>
      <w:r w:rsidRPr="00DD2D90">
        <w:rPr>
          <w:rStyle w:val="StyleUnderline"/>
        </w:rPr>
        <w:t xml:space="preserve"> as they learn and try new things, </w:t>
      </w:r>
      <w:r w:rsidRPr="00DD2D90">
        <w:rPr>
          <w:rStyle w:val="StyleUnderline"/>
          <w:highlight w:val="green"/>
        </w:rPr>
        <w:t>since the firm is able to backfill</w:t>
      </w:r>
      <w:r w:rsidRPr="00DD2D90">
        <w:rPr>
          <w:rStyle w:val="StyleUnderline"/>
        </w:rPr>
        <w:t xml:space="preserve"> what they were doing before</w:t>
      </w:r>
      <w:r w:rsidRPr="009278EB">
        <w:rPr>
          <w:sz w:val="16"/>
        </w:rPr>
        <w:t xml:space="preserve">. </w:t>
      </w:r>
      <w:r w:rsidRPr="00DD2D90">
        <w:rPr>
          <w:rStyle w:val="StyleUnderline"/>
          <w:highlight w:val="green"/>
        </w:rPr>
        <w:t>When the business stays the same size,</w:t>
      </w:r>
      <w:r w:rsidRPr="00DD2D90">
        <w:rPr>
          <w:rStyle w:val="StyleUnderline"/>
        </w:rPr>
        <w:t xml:space="preserve"> it’s harder to maintain that trajectory, and </w:t>
      </w:r>
      <w:r w:rsidRPr="00DD2D90">
        <w:rPr>
          <w:rStyle w:val="StyleUnderline"/>
          <w:highlight w:val="green"/>
        </w:rPr>
        <w:t>workers</w:t>
      </w:r>
      <w:r w:rsidRPr="00DD2D90">
        <w:rPr>
          <w:rStyle w:val="StyleUnderline"/>
        </w:rPr>
        <w:t xml:space="preserve"> </w:t>
      </w:r>
      <w:r w:rsidRPr="00DD2D90">
        <w:rPr>
          <w:rStyle w:val="StyleUnderline"/>
          <w:highlight w:val="green"/>
        </w:rPr>
        <w:t>may</w:t>
      </w:r>
      <w:r w:rsidRPr="00DD2D90">
        <w:rPr>
          <w:rStyle w:val="StyleUnderline"/>
        </w:rPr>
        <w:t xml:space="preserve"> not fulfill their potential</w:t>
      </w:r>
      <w:r w:rsidRPr="009278EB">
        <w:rPr>
          <w:sz w:val="16"/>
        </w:rPr>
        <w:t>. It’s possible to maintain a certain amount of churn and dynamism without adding workers; it’s just more difficult. One person moving out of a position to take another job leaves a vacancy that may be tough to fill. “</w:t>
      </w:r>
      <w:r w:rsidRPr="00DD2D90">
        <w:rPr>
          <w:rStyle w:val="StyleUnderline"/>
        </w:rPr>
        <w:t>For</w:t>
      </w:r>
      <w:r w:rsidRPr="009278EB">
        <w:rPr>
          <w:sz w:val="16"/>
        </w:rPr>
        <w:t xml:space="preserve"> these big developed economies that have relatively </w:t>
      </w:r>
      <w:r w:rsidRPr="00DD2D90">
        <w:rPr>
          <w:rStyle w:val="StyleUnderline"/>
          <w:highlight w:val="green"/>
        </w:rPr>
        <w:t>stagnant</w:t>
      </w:r>
      <w:r w:rsidRPr="00DD2D90">
        <w:rPr>
          <w:rStyle w:val="StyleUnderline"/>
        </w:rPr>
        <w:t xml:space="preserve"> populations</w:t>
      </w:r>
      <w:r w:rsidRPr="009278EB">
        <w:rPr>
          <w:sz w:val="16"/>
        </w:rPr>
        <w:t xml:space="preserve">, </w:t>
      </w:r>
      <w:r w:rsidRPr="00DD2D90">
        <w:rPr>
          <w:rStyle w:val="StyleUnderline"/>
          <w:highlight w:val="green"/>
        </w:rPr>
        <w:t>it makes</w:t>
      </w:r>
      <w:r w:rsidRPr="009278EB">
        <w:rPr>
          <w:sz w:val="16"/>
        </w:rPr>
        <w:t xml:space="preserve"> all these </w:t>
      </w:r>
      <w:r w:rsidRPr="00DD2D90">
        <w:rPr>
          <w:rStyle w:val="StyleUnderline"/>
          <w:highlight w:val="green"/>
        </w:rPr>
        <w:t>trade-offs</w:t>
      </w:r>
      <w:r w:rsidRPr="009278EB">
        <w:rPr>
          <w:sz w:val="16"/>
        </w:rPr>
        <w:t xml:space="preserve"> way </w:t>
      </w:r>
      <w:r w:rsidRPr="00DD2D90">
        <w:rPr>
          <w:rStyle w:val="StyleUnderline"/>
          <w:highlight w:val="green"/>
        </w:rPr>
        <w:t>more tangible</w:t>
      </w:r>
      <w:r w:rsidRPr="009278EB">
        <w:rPr>
          <w:sz w:val="16"/>
        </w:rPr>
        <w:t xml:space="preserve">,” said Dietrich Vollrath, a professor of economics at the University of Houston. “You very much have to make choices that </w:t>
      </w:r>
      <w:r w:rsidRPr="00DD2D90">
        <w:rPr>
          <w:rStyle w:val="StyleUnderline"/>
        </w:rPr>
        <w:t>some places are going to shrink and do worse</w:t>
      </w:r>
      <w:r w:rsidRPr="009278EB">
        <w:rPr>
          <w:sz w:val="16"/>
        </w:rPr>
        <w:t xml:space="preserve">, and some places are going to do better. </w:t>
      </w:r>
      <w:r w:rsidRPr="00DD2D90">
        <w:rPr>
          <w:rStyle w:val="StyleUnderline"/>
        </w:rPr>
        <w:t>The growing, expanding population allows you to skip past the hard questions</w:t>
      </w:r>
      <w:r w:rsidRPr="009278EB">
        <w:rPr>
          <w:sz w:val="16"/>
        </w:rPr>
        <w:t xml:space="preserve">.” At the same time, the composition of the labor force is changing, adding more people in their 50s and 60s while fewer 20-somethings are getting started. Although age brings some benefits, such as knowledge and experience, older people tend to be less likely to take the kinds of risks that create new ideas and businesses. They also are less well equipped for physical jobs, like nursing and construction. Also, as workers retire, that labor force has to support a larger nonworking population. That creates two problems. One, Social Security is designed around adding taxpayers faster than they age out of the system. The equation has also long depended on immigrants, who typically contribute payroll taxes and rarely get benefits in return. Slowing immigration has already moved up the date by which Social Security will become insolvent, which would force benefit cuts, tax increases or both. And two, older people consume far more health care, which is inherently labor intensive. The sector is already essentially the only source of employment growth, and probably could be growing faster if there were enough qualified workers. With a constrained labor force, satisfying health care demand means that some other part of the economy will need to make do with less. Finally, for both businesses and policymakers, there is something psychologically unnerving to the number zero. </w:t>
      </w:r>
      <w:r w:rsidRPr="00DD2D90">
        <w:rPr>
          <w:rStyle w:val="StyleUnderline"/>
          <w:highlight w:val="green"/>
        </w:rPr>
        <w:t>When the economy isn’t creating more jobs, employers</w:t>
      </w:r>
      <w:r w:rsidRPr="00DD2D90">
        <w:rPr>
          <w:rStyle w:val="StyleUnderline"/>
        </w:rPr>
        <w:t xml:space="preserve"> may </w:t>
      </w:r>
      <w:r w:rsidRPr="00DD2D90">
        <w:rPr>
          <w:rStyle w:val="StyleUnderline"/>
          <w:highlight w:val="green"/>
        </w:rPr>
        <w:t>worry</w:t>
      </w:r>
      <w:r w:rsidRPr="00DD2D90">
        <w:rPr>
          <w:rStyle w:val="StyleUnderline"/>
        </w:rPr>
        <w:t xml:space="preserve"> that </w:t>
      </w:r>
      <w:r w:rsidRPr="00DD2D90">
        <w:rPr>
          <w:rStyle w:val="StyleUnderline"/>
          <w:highlight w:val="green"/>
        </w:rPr>
        <w:t>people will have less disposable income</w:t>
      </w:r>
      <w:r w:rsidRPr="00DD2D90">
        <w:rPr>
          <w:rStyle w:val="StyleUnderline"/>
        </w:rPr>
        <w:t xml:space="preserve">, </w:t>
      </w:r>
      <w:r w:rsidRPr="00DD2D90">
        <w:rPr>
          <w:rStyle w:val="StyleUnderline"/>
          <w:highlight w:val="green"/>
        </w:rPr>
        <w:t>and</w:t>
      </w:r>
      <w:r w:rsidRPr="00DD2D90">
        <w:rPr>
          <w:rStyle w:val="StyleUnderline"/>
        </w:rPr>
        <w:t xml:space="preserve"> start to </w:t>
      </w:r>
      <w:r w:rsidRPr="00DD2D90">
        <w:rPr>
          <w:rStyle w:val="StyleUnderline"/>
          <w:highlight w:val="green"/>
        </w:rPr>
        <w:t>shrink</w:t>
      </w:r>
      <w:r w:rsidRPr="00DD2D90">
        <w:rPr>
          <w:rStyle w:val="StyleUnderline"/>
        </w:rPr>
        <w:t xml:space="preserve"> their own </w:t>
      </w:r>
      <w:r w:rsidRPr="00DD2D90">
        <w:rPr>
          <w:rStyle w:val="StyleUnderline"/>
          <w:highlight w:val="green"/>
        </w:rPr>
        <w:t>payrolls</w:t>
      </w:r>
      <w:r w:rsidRPr="00DD2D90">
        <w:rPr>
          <w:rStyle w:val="StyleUnderline"/>
        </w:rPr>
        <w:t xml:space="preserve"> in anticipation</w:t>
      </w:r>
      <w:r w:rsidRPr="009278EB">
        <w:rPr>
          <w:sz w:val="16"/>
        </w:rPr>
        <w:t xml:space="preserve">. “Does Walmart say, ‘We have less demand in our stores — let’s extrapolate that out and assume we’re going to have less demand in 2026 than in 2025, </w:t>
      </w:r>
      <w:r w:rsidRPr="00DD2D90">
        <w:rPr>
          <w:rStyle w:val="StyleUnderline"/>
        </w:rPr>
        <w:t xml:space="preserve">and we’re going to </w:t>
      </w:r>
      <w:r w:rsidRPr="00DD2D90">
        <w:rPr>
          <w:rStyle w:val="StyleUnderline"/>
          <w:highlight w:val="green"/>
        </w:rPr>
        <w:t>build less, hire less, expand less’</w:t>
      </w:r>
      <w:r w:rsidRPr="009278EB">
        <w:rPr>
          <w:sz w:val="16"/>
        </w:rPr>
        <w:t>?” said Wendy Edelberg, a former chief economist at the Congressional Budget Office. “</w:t>
      </w:r>
      <w:r w:rsidRPr="00DD2D90">
        <w:rPr>
          <w:rStyle w:val="StyleUnderline"/>
        </w:rPr>
        <w:t>All</w:t>
      </w:r>
      <w:r w:rsidRPr="009278EB">
        <w:rPr>
          <w:sz w:val="16"/>
        </w:rPr>
        <w:t xml:space="preserve"> </w:t>
      </w:r>
      <w:r w:rsidRPr="00DD2D90">
        <w:rPr>
          <w:rStyle w:val="StyleUnderline"/>
        </w:rPr>
        <w:t>of that can create its own momentum for a downturn</w:t>
      </w:r>
      <w:r w:rsidRPr="009278EB">
        <w:rPr>
          <w:sz w:val="16"/>
        </w:rPr>
        <w:t xml:space="preserve">.” Wealth Without Growth? A flatlining population is by no means an economic death sentence. Plenty of countries are already dealing with it. The prototypical example is Japan, where even though the population has been sinking since 2008, the labor force has been rebounding after a concerted effort to help women stay employed with more robust child care and parental leave. Older people are working longer as well. When humans aren’t available, robots fill many menial positions, like making coffee and stocking shelves. Another policy lever that can help places with low or negative population growth is helping people retrain and find new positions quickly if they lose a job. </w:t>
      </w:r>
      <w:r w:rsidRPr="00DD2D90">
        <w:rPr>
          <w:rStyle w:val="StyleUnderline"/>
        </w:rPr>
        <w:t>The United States spends far less as a share of its economic output on these “active labor market policies” than other wealthy nations</w:t>
      </w:r>
      <w:r w:rsidRPr="009278EB">
        <w:rPr>
          <w:sz w:val="16"/>
        </w:rPr>
        <w:t xml:space="preserve">, and might benefit from trying a bit harder to keep people in productive employment. Continuous education also helps make workers as productive as they can be, compensating for losses in manpower. Perhaps </w:t>
      </w:r>
      <w:r w:rsidRPr="00DD2D90">
        <w:rPr>
          <w:rStyle w:val="StyleUnderline"/>
          <w:highlight w:val="green"/>
        </w:rPr>
        <w:t xml:space="preserve">the </w:t>
      </w:r>
      <w:r w:rsidRPr="00DD2D90">
        <w:rPr>
          <w:rStyle w:val="Emphasis"/>
          <w:highlight w:val="green"/>
        </w:rPr>
        <w:t>best</w:t>
      </w:r>
      <w:r w:rsidRPr="00DD2D90">
        <w:rPr>
          <w:rStyle w:val="StyleUnderline"/>
          <w:highlight w:val="green"/>
        </w:rPr>
        <w:t xml:space="preserve"> way to maintain a healthy economy</w:t>
      </w:r>
      <w:r w:rsidRPr="00DD2D90">
        <w:rPr>
          <w:rStyle w:val="StyleUnderline"/>
        </w:rPr>
        <w:t xml:space="preserve">, </w:t>
      </w:r>
      <w:r w:rsidRPr="00DD2D90">
        <w:rPr>
          <w:rStyle w:val="StyleUnderline"/>
          <w:highlight w:val="green"/>
        </w:rPr>
        <w:t>even as work force growth slows</w:t>
      </w:r>
      <w:r w:rsidRPr="00DD2D90">
        <w:rPr>
          <w:rStyle w:val="StyleUnderline"/>
        </w:rPr>
        <w:t xml:space="preserve">, </w:t>
      </w:r>
      <w:r w:rsidRPr="00DD2D90">
        <w:rPr>
          <w:rStyle w:val="StyleUnderline"/>
          <w:highlight w:val="green"/>
        </w:rPr>
        <w:t xml:space="preserve">is to make sure prosperity is </w:t>
      </w:r>
      <w:r w:rsidRPr="00DD2D90">
        <w:rPr>
          <w:rStyle w:val="Emphasis"/>
          <w:highlight w:val="green"/>
        </w:rPr>
        <w:t>widely</w:t>
      </w:r>
      <w:r w:rsidRPr="00DD2D90">
        <w:rPr>
          <w:rStyle w:val="StyleUnderline"/>
          <w:highlight w:val="green"/>
        </w:rPr>
        <w:t xml:space="preserve"> </w:t>
      </w:r>
      <w:r w:rsidRPr="00DD2D90">
        <w:rPr>
          <w:rStyle w:val="Emphasis"/>
          <w:highlight w:val="green"/>
        </w:rPr>
        <w:t>shared</w:t>
      </w:r>
      <w:r w:rsidRPr="00DD2D90">
        <w:rPr>
          <w:rStyle w:val="StyleUnderline"/>
        </w:rPr>
        <w:t xml:space="preserve">, </w:t>
      </w:r>
      <w:r w:rsidRPr="00DD2D90">
        <w:rPr>
          <w:rStyle w:val="StyleUnderline"/>
          <w:highlight w:val="green"/>
        </w:rPr>
        <w:t>with</w:t>
      </w:r>
      <w:r w:rsidRPr="00DD2D90">
        <w:rPr>
          <w:rStyle w:val="StyleUnderline"/>
        </w:rPr>
        <w:t xml:space="preserve"> </w:t>
      </w:r>
      <w:r w:rsidRPr="009278EB">
        <w:rPr>
          <w:sz w:val="16"/>
        </w:rPr>
        <w:t xml:space="preserve">high minimum wages and </w:t>
      </w:r>
      <w:r w:rsidRPr="00DD2D90">
        <w:rPr>
          <w:rStyle w:val="StyleUnderline"/>
          <w:highlight w:val="green"/>
        </w:rPr>
        <w:t xml:space="preserve">adequate </w:t>
      </w:r>
      <w:r w:rsidRPr="00DD2D90">
        <w:rPr>
          <w:rStyle w:val="Emphasis"/>
          <w:highlight w:val="green"/>
        </w:rPr>
        <w:t>health care</w:t>
      </w:r>
      <w:r w:rsidRPr="009278EB">
        <w:rPr>
          <w:sz w:val="16"/>
        </w:rPr>
        <w:t xml:space="preserve">. </w:t>
      </w:r>
      <w:r w:rsidRPr="00DD2D90">
        <w:rPr>
          <w:rStyle w:val="StyleUnderline"/>
        </w:rPr>
        <w:t xml:space="preserve">If people on the low end of the income spectrum are able to go to the movies and remodel their homes, money keeps circulating and creating the demand for new goods and services. </w:t>
      </w:r>
      <w:r w:rsidRPr="00DD2D90">
        <w:rPr>
          <w:rStyle w:val="StyleUnderline"/>
          <w:highlight w:val="green"/>
        </w:rPr>
        <w:t>Other countries</w:t>
      </w:r>
      <w:r w:rsidRPr="00DD2D90">
        <w:rPr>
          <w:rStyle w:val="StyleUnderline"/>
        </w:rPr>
        <w:t xml:space="preserve"> with stable or shrinking populations, including Japan</w:t>
      </w:r>
      <w:r w:rsidRPr="009278EB">
        <w:rPr>
          <w:sz w:val="16"/>
        </w:rPr>
        <w:t xml:space="preserve"> as well as Scandinavian nations, </w:t>
      </w:r>
      <w:r w:rsidRPr="00DD2D90">
        <w:rPr>
          <w:rStyle w:val="StyleUnderline"/>
          <w:highlight w:val="green"/>
        </w:rPr>
        <w:t xml:space="preserve">have much lower </w:t>
      </w:r>
      <w:r w:rsidRPr="00DD2D90">
        <w:rPr>
          <w:rStyle w:val="StyleUnderline"/>
        </w:rPr>
        <w:t xml:space="preserve">rates of </w:t>
      </w:r>
      <w:r w:rsidRPr="00DD2D90">
        <w:rPr>
          <w:rStyle w:val="StyleUnderline"/>
          <w:highlight w:val="green"/>
        </w:rPr>
        <w:t>inequality</w:t>
      </w:r>
      <w:r w:rsidRPr="00DD2D90">
        <w:rPr>
          <w:rStyle w:val="StyleUnderline"/>
        </w:rPr>
        <w:t xml:space="preserve"> than in the United States</w:t>
      </w:r>
      <w:r w:rsidRPr="009278EB">
        <w:rPr>
          <w:sz w:val="16"/>
        </w:rPr>
        <w:t>. “</w:t>
      </w:r>
      <w:r w:rsidRPr="00DD2D90">
        <w:rPr>
          <w:rStyle w:val="StyleUnderline"/>
          <w:highlight w:val="green"/>
        </w:rPr>
        <w:t>Distribution</w:t>
      </w:r>
      <w:r w:rsidRPr="009278EB">
        <w:rPr>
          <w:sz w:val="16"/>
        </w:rPr>
        <w:t xml:space="preserve"> can be an element that </w:t>
      </w:r>
      <w:r w:rsidRPr="00DD2D90">
        <w:rPr>
          <w:rStyle w:val="StyleUnderline"/>
          <w:highlight w:val="green"/>
        </w:rPr>
        <w:t>drives growth</w:t>
      </w:r>
      <w:r w:rsidRPr="009278EB">
        <w:rPr>
          <w:sz w:val="16"/>
        </w:rPr>
        <w:t xml:space="preserve">, </w:t>
      </w:r>
      <w:r w:rsidRPr="00DD2D90">
        <w:rPr>
          <w:rStyle w:val="StyleUnderline"/>
        </w:rPr>
        <w:t xml:space="preserve">because </w:t>
      </w:r>
      <w:r w:rsidRPr="00DD2D90">
        <w:rPr>
          <w:rStyle w:val="StyleUnderline"/>
          <w:highlight w:val="green"/>
        </w:rPr>
        <w:t>it</w:t>
      </w:r>
      <w:r w:rsidRPr="00DD2D90">
        <w:rPr>
          <w:rStyle w:val="StyleUnderline"/>
        </w:rPr>
        <w:t xml:space="preserve"> spreads out and </w:t>
      </w:r>
      <w:r w:rsidRPr="00DD2D90">
        <w:rPr>
          <w:rStyle w:val="StyleUnderline"/>
          <w:highlight w:val="green"/>
        </w:rPr>
        <w:t>creates a larger market</w:t>
      </w:r>
      <w:r w:rsidRPr="009278EB">
        <w:rPr>
          <w:sz w:val="16"/>
        </w:rPr>
        <w:t xml:space="preserve">,” Mr. Vollrath of the University of Houston said. People </w:t>
      </w:r>
      <w:r w:rsidRPr="00DD2D90">
        <w:rPr>
          <w:rStyle w:val="StyleUnderline"/>
        </w:rPr>
        <w:t>starting businesses want to know if there are enough customers with the wherewithal to buy what they’re selling</w:t>
      </w:r>
      <w:r w:rsidRPr="009278EB">
        <w:rPr>
          <w:sz w:val="16"/>
        </w:rPr>
        <w:t>. “We all benefit from that,” he said. “</w:t>
      </w:r>
      <w:r w:rsidRPr="00DD2D90">
        <w:rPr>
          <w:rStyle w:val="StyleUnderline"/>
        </w:rPr>
        <w:t>A more equitable distribution can create</w:t>
      </w:r>
      <w:r w:rsidRPr="009278EB">
        <w:rPr>
          <w:sz w:val="16"/>
        </w:rPr>
        <w:t xml:space="preserve"> some </w:t>
      </w:r>
      <w:r w:rsidRPr="00DD2D90">
        <w:rPr>
          <w:rStyle w:val="StyleUnderline"/>
        </w:rPr>
        <w:t>scale</w:t>
      </w:r>
      <w:r w:rsidRPr="009278EB">
        <w:rPr>
          <w:sz w:val="16"/>
        </w:rPr>
        <w:t xml:space="preserve"> for us that didn’t exist before.” But the easiest policy fix is one that America is currently rejecting: Allow more immigration. It’s not just the size and the age structure of the work force that matter. New arrivals have historically been willing to take jobs that native-born workers haven’t wanted because — with the benefits of language and cultural fluency — they have better options. In that way, immigrants are like complementary ingredients in a recipe: If you don’t have enough sugar, you can’t make as many pies as you’d like, so you use less flour. Natural experiments have buttressed this conclusion. In 2021 and 2022, U.S. companies that missed out on getting visas for seasonal workers saw reduced revenues and employed fewer native-born workers. And in South Korea, when a migrant worker program was suspended during the pandemic, companies went out of business and wages for Korean workers fell. “It’s not like you take away the migrant worker and you can replace them with a native worker,” said Charles Kenny, a senior fellow at the Center for Global Development who has argued that wealthy countries should welcome more migrants. “Really what happens is the business closes down.” This recipe math is accentuated by the potential dislocation of artificial intelligence, which appears very likely to destroy desk jobs for which there is no shortage of native-born workers. The occupations that have depended the most on immigrants, like home health care and landscaping, will scarcely be affected. That’s why some countries without a long tradition of integrating people from many other places have stepped up their efforts to recruit immigrants, if not as full citizens, at least to supplement their labor forces. That includes Japan as well as Italy, where even as the conservative premier, Giorgia Meloni, battles unauthorized migrants on land and on sea, she has quietly opened the door to 500,000 foreigners to work on farms, as caretakers for older people and in other essential settings. “You have to balance the social and political implications against the economic need,” said Lant Pritchett, a professor at the London School of Economics who has studied ways to make migration more palatable in destination countries. “</w:t>
      </w:r>
      <w:r w:rsidRPr="00DD2D90">
        <w:rPr>
          <w:rStyle w:val="StyleUnderline"/>
        </w:rPr>
        <w:t>Even a right-wing government</w:t>
      </w:r>
      <w:r w:rsidRPr="009278EB">
        <w:rPr>
          <w:sz w:val="16"/>
        </w:rPr>
        <w:t xml:space="preserve"> who came to power on the premise that it was anti-immigrant </w:t>
      </w:r>
      <w:r w:rsidRPr="00DD2D90">
        <w:rPr>
          <w:rStyle w:val="StyleUnderline"/>
        </w:rPr>
        <w:t>realized</w:t>
      </w:r>
      <w:r w:rsidRPr="009278EB">
        <w:rPr>
          <w:sz w:val="16"/>
        </w:rPr>
        <w:t xml:space="preserve"> that </w:t>
      </w:r>
      <w:r w:rsidRPr="00DD2D90">
        <w:rPr>
          <w:rStyle w:val="StyleUnderline"/>
        </w:rPr>
        <w:t>you can’t be anti-worker.”</w:t>
      </w:r>
    </w:p>
    <w:p w14:paraId="2F99572F" w14:textId="77777777" w:rsidR="009C702C" w:rsidRPr="009278EB" w:rsidRDefault="009C702C" w:rsidP="0080422C">
      <w:pPr>
        <w:pBdr>
          <w:top w:val="nil"/>
          <w:left w:val="nil"/>
          <w:bottom w:val="nil"/>
          <w:right w:val="nil"/>
          <w:between w:val="nil"/>
        </w:pBdr>
        <w:rPr>
          <w:sz w:val="16"/>
        </w:rPr>
      </w:pPr>
    </w:p>
    <w:p w14:paraId="18BDCDDE" w14:textId="77777777" w:rsidR="00EA6776" w:rsidRPr="009278EB" w:rsidRDefault="00EA6776">
      <w:pPr>
        <w:rPr>
          <w:rFonts w:eastAsiaTheme="majorEastAsia" w:cstheme="majorBidi"/>
          <w:b/>
          <w:iCs/>
          <w:sz w:val="16"/>
        </w:rPr>
      </w:pPr>
      <w:r w:rsidRPr="009278EB">
        <w:rPr>
          <w:sz w:val="16"/>
        </w:rPr>
        <w:br w:type="page"/>
      </w:r>
    </w:p>
    <w:p w14:paraId="2CCE0A33" w14:textId="60542FE2" w:rsidR="001349F2" w:rsidRPr="009278EB" w:rsidRDefault="001349F2" w:rsidP="001349F2">
      <w:pPr>
        <w:pStyle w:val="Heading4"/>
        <w:rPr>
          <w:szCs w:val="26"/>
        </w:rPr>
      </w:pPr>
      <w:r w:rsidRPr="009278EB">
        <w:rPr>
          <w:szCs w:val="26"/>
        </w:rPr>
        <w:t xml:space="preserve">Recent ACA changes are exploding costs </w:t>
      </w:r>
      <w:r w:rsidR="001005D3" w:rsidRPr="009278EB">
        <w:rPr>
          <w:szCs w:val="26"/>
        </w:rPr>
        <w:t xml:space="preserve">and those without employer-sponsored insurance, encouraging </w:t>
      </w:r>
      <w:r w:rsidRPr="009278EB">
        <w:rPr>
          <w:szCs w:val="26"/>
        </w:rPr>
        <w:t xml:space="preserve">job-lock </w:t>
      </w:r>
    </w:p>
    <w:p w14:paraId="776A02FE" w14:textId="77777777" w:rsidR="001349F2" w:rsidRPr="00DD2D90" w:rsidRDefault="001349F2" w:rsidP="001349F2">
      <w:r w:rsidRPr="009278EB">
        <w:rPr>
          <w:b/>
          <w:bCs/>
          <w:sz w:val="26"/>
          <w:szCs w:val="26"/>
        </w:rPr>
        <w:t>Williamson et al. 25</w:t>
      </w:r>
      <w:r w:rsidRPr="00DD2D90">
        <w:t xml:space="preserve"> [Molly Weston Williamson, senior fellow with American Progress and graduate from Swarthmore College and Yale Law School, Natasha Murphy, director of Health Policy at American Progress and former Kaiser Family Foundation Barbara Jordan Health Policy Scholar with a Master of Science in public health policy from Johns Hopkins, and Mia Ives-Rublee, senior director for the Disability Justice Initiative at American Progress with a master’s degree in social work from UNC Chapel Hill, 11-6-2025, "ACA Premium Spikes Will Derail Disabled People’s Careers", Center for American Progress, https://www.americanprogress.org/article/aca-premium-spikes-will-derail-disabled-peoples-careers/]/Kankee</w:t>
      </w:r>
    </w:p>
    <w:p w14:paraId="3901BA84" w14:textId="77777777" w:rsidR="001349F2" w:rsidRPr="009278EB" w:rsidRDefault="001349F2" w:rsidP="001349F2">
      <w:pPr>
        <w:rPr>
          <w:sz w:val="16"/>
        </w:rPr>
      </w:pPr>
      <w:r w:rsidRPr="009278EB">
        <w:rPr>
          <w:sz w:val="16"/>
        </w:rPr>
        <w:t xml:space="preserve">Now that 2026 Affordable Care Act (ACA) open enrollment is underway, </w:t>
      </w:r>
      <w:r w:rsidRPr="00DD2D90">
        <w:rPr>
          <w:rStyle w:val="Emphasis"/>
        </w:rPr>
        <w:t>millions</w:t>
      </w:r>
      <w:r w:rsidRPr="00DD2D90">
        <w:rPr>
          <w:rStyle w:val="StyleUnderline"/>
        </w:rPr>
        <w:t xml:space="preserve"> of Americans are finding that their marketplace premiums are </w:t>
      </w:r>
      <w:r w:rsidRPr="00DD2D90">
        <w:rPr>
          <w:rStyle w:val="Emphasis"/>
        </w:rPr>
        <w:t>dramatically more expensive</w:t>
      </w:r>
      <w:r w:rsidRPr="009278EB">
        <w:rPr>
          <w:sz w:val="16"/>
        </w:rPr>
        <w:t xml:space="preserve">. </w:t>
      </w:r>
      <w:r w:rsidRPr="00DD2D90">
        <w:rPr>
          <w:rStyle w:val="StyleUnderline"/>
          <w:highlight w:val="green"/>
        </w:rPr>
        <w:t xml:space="preserve">Congress’ failure to extend </w:t>
      </w:r>
      <w:r w:rsidRPr="00DD2D90">
        <w:rPr>
          <w:rStyle w:val="StyleUnderline"/>
        </w:rPr>
        <w:t xml:space="preserve">the </w:t>
      </w:r>
      <w:r w:rsidRPr="00DD2D90">
        <w:rPr>
          <w:rStyle w:val="StyleUnderline"/>
          <w:highlight w:val="green"/>
        </w:rPr>
        <w:t>ACA</w:t>
      </w:r>
      <w:r w:rsidRPr="00DD2D90">
        <w:rPr>
          <w:rStyle w:val="StyleUnderline"/>
        </w:rPr>
        <w:t xml:space="preserve">’s </w:t>
      </w:r>
      <w:r w:rsidRPr="009278EB">
        <w:rPr>
          <w:sz w:val="16"/>
        </w:rPr>
        <w:t>enhanced</w:t>
      </w:r>
      <w:r w:rsidRPr="00DD2D90">
        <w:rPr>
          <w:rStyle w:val="StyleUnderline"/>
        </w:rPr>
        <w:t xml:space="preserve"> </w:t>
      </w:r>
      <w:r w:rsidRPr="009278EB">
        <w:rPr>
          <w:sz w:val="16"/>
        </w:rPr>
        <w:t>premium</w:t>
      </w:r>
      <w:r w:rsidRPr="00DD2D90">
        <w:rPr>
          <w:rStyle w:val="StyleUnderline"/>
        </w:rPr>
        <w:t xml:space="preserve"> </w:t>
      </w:r>
      <w:r w:rsidRPr="00DD2D90">
        <w:rPr>
          <w:rStyle w:val="StyleUnderline"/>
          <w:highlight w:val="green"/>
        </w:rPr>
        <w:t>tax credits</w:t>
      </w:r>
      <w:r w:rsidRPr="009278EB">
        <w:rPr>
          <w:sz w:val="16"/>
        </w:rPr>
        <w:t xml:space="preserve"> has </w:t>
      </w:r>
      <w:r w:rsidRPr="00DD2D90">
        <w:rPr>
          <w:rStyle w:val="StyleUnderline"/>
          <w:highlight w:val="green"/>
        </w:rPr>
        <w:t>caused</w:t>
      </w:r>
      <w:r w:rsidRPr="009278EB">
        <w:rPr>
          <w:sz w:val="16"/>
        </w:rPr>
        <w:t xml:space="preserve"> net </w:t>
      </w:r>
      <w:r w:rsidRPr="00DD2D90">
        <w:rPr>
          <w:rStyle w:val="StyleUnderline"/>
          <w:highlight w:val="green"/>
        </w:rPr>
        <w:t>premium costs to</w:t>
      </w:r>
      <w:r w:rsidRPr="009278EB">
        <w:rPr>
          <w:sz w:val="16"/>
        </w:rPr>
        <w:t xml:space="preserve"> more than </w:t>
      </w:r>
      <w:r w:rsidRPr="00DD2D90">
        <w:rPr>
          <w:rStyle w:val="Emphasis"/>
          <w:highlight w:val="green"/>
        </w:rPr>
        <w:t>double</w:t>
      </w:r>
      <w:r w:rsidRPr="009278EB">
        <w:rPr>
          <w:sz w:val="16"/>
          <w:highlight w:val="green"/>
        </w:rPr>
        <w:t xml:space="preserve"> </w:t>
      </w:r>
      <w:r w:rsidRPr="00DD2D90">
        <w:rPr>
          <w:rStyle w:val="StyleUnderline"/>
          <w:highlight w:val="green"/>
        </w:rPr>
        <w:t>nationwide</w:t>
      </w:r>
      <w:r w:rsidRPr="009278EB">
        <w:rPr>
          <w:sz w:val="16"/>
        </w:rPr>
        <w:t xml:space="preserve"> for enrollees who receive financial assistance. As prior Center for American Progress research has highlighted, continued </w:t>
      </w:r>
      <w:r w:rsidRPr="00DD2D90">
        <w:rPr>
          <w:rStyle w:val="StyleUnderline"/>
          <w:highlight w:val="green"/>
        </w:rPr>
        <w:t>failure</w:t>
      </w:r>
      <w:r w:rsidRPr="00DD2D90">
        <w:rPr>
          <w:rStyle w:val="StyleUnderline"/>
        </w:rPr>
        <w:t xml:space="preserve"> to extend</w:t>
      </w:r>
      <w:r w:rsidRPr="009278EB">
        <w:rPr>
          <w:sz w:val="16"/>
        </w:rPr>
        <w:t xml:space="preserve"> the enhanced premium </w:t>
      </w:r>
      <w:r w:rsidRPr="00DD2D90">
        <w:rPr>
          <w:rStyle w:val="StyleUnderline"/>
        </w:rPr>
        <w:t>tax credits</w:t>
      </w:r>
      <w:r w:rsidRPr="009278EB">
        <w:rPr>
          <w:sz w:val="16"/>
        </w:rPr>
        <w:t xml:space="preserve"> </w:t>
      </w:r>
      <w:r w:rsidRPr="00DD2D90">
        <w:rPr>
          <w:rStyle w:val="StyleUnderline"/>
          <w:highlight w:val="green"/>
        </w:rPr>
        <w:t>will</w:t>
      </w:r>
      <w:r w:rsidRPr="009278EB">
        <w:rPr>
          <w:sz w:val="16"/>
        </w:rPr>
        <w:t xml:space="preserve"> particularly </w:t>
      </w:r>
      <w:r w:rsidRPr="00DD2D90">
        <w:rPr>
          <w:rStyle w:val="StyleUnderline"/>
          <w:highlight w:val="green"/>
        </w:rPr>
        <w:t>harm small-business</w:t>
      </w:r>
      <w:r w:rsidRPr="00DD2D90">
        <w:rPr>
          <w:rStyle w:val="StyleUnderline"/>
        </w:rPr>
        <w:t xml:space="preserve"> </w:t>
      </w:r>
      <w:r w:rsidRPr="00DD2D90">
        <w:rPr>
          <w:rStyle w:val="StyleUnderline"/>
          <w:highlight w:val="green"/>
        </w:rPr>
        <w:t xml:space="preserve">owners and self-employed workers who rely on </w:t>
      </w:r>
      <w:r w:rsidRPr="00DD2D90">
        <w:rPr>
          <w:rStyle w:val="StyleUnderline"/>
        </w:rPr>
        <w:t xml:space="preserve">the </w:t>
      </w:r>
      <w:r w:rsidRPr="00DD2D90">
        <w:rPr>
          <w:rStyle w:val="StyleUnderline"/>
          <w:highlight w:val="green"/>
        </w:rPr>
        <w:t>marketplaces</w:t>
      </w:r>
      <w:r w:rsidRPr="009278EB">
        <w:rPr>
          <w:sz w:val="16"/>
        </w:rPr>
        <w:t xml:space="preserve"> for affordable, comprehensive coverage. Because people with disabilities are overrepresented among the self-employed, the expiration of the credits will have especially pronounced impacts on a community already under attack. Dana </w:t>
      </w:r>
      <w:r w:rsidRPr="00DD2D90">
        <w:rPr>
          <w:rStyle w:val="StyleUnderline"/>
        </w:rPr>
        <w:t>Fink</w:t>
      </w:r>
      <w:r w:rsidRPr="009278EB">
        <w:rPr>
          <w:sz w:val="16"/>
        </w:rPr>
        <w:t xml:space="preserve">, a disabled federal employee who was recently one of the thousands of employees who were laid off through a reduction in force, </w:t>
      </w:r>
      <w:r w:rsidRPr="00DD2D90">
        <w:rPr>
          <w:rStyle w:val="StyleUnderline"/>
        </w:rPr>
        <w:t>thought about becoming self-employed but stated</w:t>
      </w:r>
      <w:r w:rsidRPr="009278EB">
        <w:rPr>
          <w:sz w:val="16"/>
        </w:rPr>
        <w:t>, “</w:t>
      </w:r>
      <w:r w:rsidRPr="00DD2D90">
        <w:rPr>
          <w:rStyle w:val="StyleUnderline"/>
        </w:rPr>
        <w:t>My</w:t>
      </w:r>
      <w:r w:rsidRPr="009278EB">
        <w:rPr>
          <w:sz w:val="16"/>
        </w:rPr>
        <w:t xml:space="preserve"> prevailing </w:t>
      </w:r>
      <w:r w:rsidRPr="00DD2D90">
        <w:rPr>
          <w:rStyle w:val="StyleUnderline"/>
        </w:rPr>
        <w:t>thought</w:t>
      </w:r>
      <w:r w:rsidRPr="009278EB">
        <w:rPr>
          <w:sz w:val="16"/>
        </w:rPr>
        <w:t xml:space="preserve"> really </w:t>
      </w:r>
      <w:r w:rsidRPr="00DD2D90">
        <w:rPr>
          <w:rStyle w:val="StyleUnderline"/>
        </w:rPr>
        <w:t>was about health insurance</w:t>
      </w:r>
      <w:r w:rsidRPr="009278EB">
        <w:rPr>
          <w:sz w:val="16"/>
        </w:rPr>
        <w:t xml:space="preserve">. I looked at the marketplace, and </w:t>
      </w:r>
      <w:r w:rsidRPr="00DD2D90">
        <w:rPr>
          <w:rStyle w:val="StyleUnderline"/>
        </w:rPr>
        <w:t>I am</w:t>
      </w:r>
      <w:r w:rsidRPr="009278EB">
        <w:rPr>
          <w:sz w:val="16"/>
        </w:rPr>
        <w:t xml:space="preserve"> pretty much </w:t>
      </w:r>
      <w:r w:rsidRPr="00DD2D90">
        <w:rPr>
          <w:rStyle w:val="Emphasis"/>
        </w:rPr>
        <w:t>priced out</w:t>
      </w:r>
      <w:r w:rsidRPr="009278EB">
        <w:rPr>
          <w:sz w:val="16"/>
        </w:rPr>
        <w:t xml:space="preserve"> </w:t>
      </w:r>
      <w:r w:rsidRPr="00DD2D90">
        <w:rPr>
          <w:rStyle w:val="StyleUnderline"/>
        </w:rPr>
        <w:t>of it</w:t>
      </w:r>
      <w:r w:rsidRPr="009278EB">
        <w:rPr>
          <w:sz w:val="16"/>
        </w:rPr>
        <w:t xml:space="preserve">.”* Enhanced premium tax credits made coverage more affordable for self-employed workers The ACA improved access to health insurance for self-employed workers who previously experienced significant barriers to coverage, including high premiums, limited plan choices, and coverage denials due to preexisting conditions. The ACA removed or alleviated many of these barriers, including by providing protections for those with preexisting conditions that are especially important for people with disabilities. Currently, 5.2 million self-employed people and other small-business owners receive coverage through ACA marketplaces. </w:t>
      </w:r>
      <w:r w:rsidRPr="00DD2D90">
        <w:rPr>
          <w:rStyle w:val="StyleUnderline"/>
        </w:rPr>
        <w:t>One of the core affordability supports provided by the ACA are the premium tax credits, which provide financial support to</w:t>
      </w:r>
      <w:r w:rsidRPr="009278EB">
        <w:rPr>
          <w:sz w:val="16"/>
        </w:rPr>
        <w:t xml:space="preserve"> those buying coverage via the </w:t>
      </w:r>
      <w:r w:rsidRPr="00DD2D90">
        <w:rPr>
          <w:rStyle w:val="StyleUnderline"/>
        </w:rPr>
        <w:t>marketplaces</w:t>
      </w:r>
      <w:r w:rsidRPr="009278EB">
        <w:rPr>
          <w:sz w:val="16"/>
        </w:rPr>
        <w:t xml:space="preserve">. Enhancements to the premium tax credits under the American Rescue Plan Act, which were further extended under the Inflation Reduction Act, provide even more support to make health coverage affordable. Unless Congress acts, those enhanced </w:t>
      </w:r>
      <w:r w:rsidRPr="00DD2D90">
        <w:rPr>
          <w:rStyle w:val="StyleUnderline"/>
          <w:highlight w:val="green"/>
        </w:rPr>
        <w:t>credits will expire</w:t>
      </w:r>
      <w:r w:rsidRPr="009278EB">
        <w:rPr>
          <w:sz w:val="16"/>
        </w:rPr>
        <w:t xml:space="preserve"> at the end of 2025, </w:t>
      </w:r>
      <w:r w:rsidRPr="00DD2D90">
        <w:rPr>
          <w:rStyle w:val="StyleUnderline"/>
          <w:highlight w:val="green"/>
        </w:rPr>
        <w:t>costing</w:t>
      </w:r>
      <w:r w:rsidRPr="00DD2D90">
        <w:rPr>
          <w:rStyle w:val="StyleUnderline"/>
        </w:rPr>
        <w:t xml:space="preserve"> the more than </w:t>
      </w:r>
      <w:r w:rsidRPr="00DD2D90">
        <w:rPr>
          <w:rStyle w:val="Emphasis"/>
          <w:highlight w:val="green"/>
        </w:rPr>
        <w:t>4.4 million</w:t>
      </w:r>
      <w:r w:rsidRPr="00DD2D90">
        <w:rPr>
          <w:rStyle w:val="StyleUnderline"/>
          <w:highlight w:val="green"/>
        </w:rPr>
        <w:t xml:space="preserve"> small-business owners and self-employed people</w:t>
      </w:r>
      <w:r w:rsidRPr="00DD2D90">
        <w:rPr>
          <w:rStyle w:val="StyleUnderline"/>
        </w:rPr>
        <w:t xml:space="preserve"> who receive premium credits </w:t>
      </w:r>
      <w:r w:rsidRPr="00DD2D90">
        <w:rPr>
          <w:rStyle w:val="StyleUnderline"/>
          <w:highlight w:val="green"/>
        </w:rPr>
        <w:t xml:space="preserve">an average of $1,500 </w:t>
      </w:r>
      <w:r w:rsidRPr="00DD2D90">
        <w:rPr>
          <w:rStyle w:val="StyleUnderline"/>
        </w:rPr>
        <w:t xml:space="preserve">each </w:t>
      </w:r>
      <w:r w:rsidRPr="00DD2D90">
        <w:rPr>
          <w:rStyle w:val="StyleUnderline"/>
          <w:highlight w:val="green"/>
        </w:rPr>
        <w:t>annually</w:t>
      </w:r>
      <w:r w:rsidRPr="009278EB">
        <w:rPr>
          <w:sz w:val="16"/>
        </w:rPr>
        <w:t xml:space="preserve">. Disabled people are disproportionately likely to be self-employed </w:t>
      </w:r>
    </w:p>
    <w:p w14:paraId="4D35F2D5" w14:textId="77777777" w:rsidR="00EA6776" w:rsidRPr="009278EB" w:rsidRDefault="00EA6776">
      <w:pPr>
        <w:rPr>
          <w:rFonts w:eastAsiaTheme="majorEastAsia" w:cstheme="majorBidi"/>
          <w:b/>
          <w:iCs/>
          <w:sz w:val="16"/>
        </w:rPr>
      </w:pPr>
      <w:r w:rsidRPr="009278EB">
        <w:rPr>
          <w:sz w:val="16"/>
        </w:rPr>
        <w:br w:type="page"/>
      </w:r>
    </w:p>
    <w:p w14:paraId="0A80F7F8" w14:textId="448F6C2E" w:rsidR="0080422C" w:rsidRPr="009278EB" w:rsidRDefault="0080422C" w:rsidP="0080422C">
      <w:pPr>
        <w:pStyle w:val="Heading4"/>
        <w:rPr>
          <w:szCs w:val="26"/>
        </w:rPr>
      </w:pPr>
      <w:r w:rsidRPr="009278EB">
        <w:rPr>
          <w:szCs w:val="26"/>
        </w:rPr>
        <w:t>Private healthcare leads to job lock, stifling job mobility</w:t>
      </w:r>
    </w:p>
    <w:p w14:paraId="10B5A828" w14:textId="486CEC39" w:rsidR="0080422C" w:rsidRPr="00DD2D90" w:rsidRDefault="0080422C" w:rsidP="0080422C">
      <w:r w:rsidRPr="009278EB">
        <w:rPr>
          <w:b/>
          <w:bCs/>
          <w:sz w:val="26"/>
          <w:szCs w:val="26"/>
        </w:rPr>
        <w:t>Bailey et al. 23</w:t>
      </w:r>
      <w:r w:rsidRPr="00DD2D90">
        <w:rPr>
          <w:b/>
          <w:bCs/>
        </w:rPr>
        <w:t xml:space="preserve"> </w:t>
      </w:r>
      <w:r w:rsidRPr="00DD2D90">
        <w:t>[James Bailey, Economics Faculty at Providence College,</w:t>
      </w:r>
      <w:r w:rsidR="00FD279A" w:rsidRPr="00DD2D90">
        <w:t xml:space="preserve"> Gregory Colman,</w:t>
      </w:r>
      <w:r w:rsidRPr="00DD2D90">
        <w:t xml:space="preserve"> </w:t>
      </w:r>
      <w:r w:rsidR="00FD279A" w:rsidRPr="00DD2D90">
        <w:t xml:space="preserve">Economics Faculty at Pace University and researcher at NBER and Dhaval Dave, researcher at the Institute of Labor Economics, </w:t>
      </w:r>
      <w:r w:rsidRPr="00DD2D90">
        <w:t>07-03-2022, “The Evolution of Job Lock in the U.S.: Evidence from the Affordable Care Act,” MDPI, https://www.mdpi.com/1911-8074/15/7/296]/Kankee</w:t>
      </w:r>
    </w:p>
    <w:p w14:paraId="2400CFD0" w14:textId="77777777" w:rsidR="0080422C" w:rsidRPr="009278EB" w:rsidRDefault="0080422C" w:rsidP="0080422C">
      <w:pPr>
        <w:rPr>
          <w:sz w:val="16"/>
        </w:rPr>
      </w:pPr>
      <w:r w:rsidRPr="00DD2D90">
        <w:rPr>
          <w:u w:val="single"/>
        </w:rPr>
        <w:t xml:space="preserve">Since at least the early 1990s, </w:t>
      </w:r>
      <w:r w:rsidRPr="00DD2D90">
        <w:rPr>
          <w:highlight w:val="green"/>
          <w:u w:val="single"/>
        </w:rPr>
        <w:t xml:space="preserve">economists </w:t>
      </w:r>
      <w:r w:rsidRPr="00DD2D90">
        <w:rPr>
          <w:u w:val="single"/>
        </w:rPr>
        <w:t xml:space="preserve">have </w:t>
      </w:r>
      <w:r w:rsidRPr="00DD2D90">
        <w:rPr>
          <w:highlight w:val="green"/>
          <w:u w:val="single"/>
        </w:rPr>
        <w:t>found</w:t>
      </w:r>
      <w:r w:rsidRPr="009278EB">
        <w:rPr>
          <w:sz w:val="16"/>
        </w:rPr>
        <w:t xml:space="preserve"> </w:t>
      </w:r>
      <w:r w:rsidRPr="00DD2D90">
        <w:rPr>
          <w:rStyle w:val="Emphasis"/>
          <w:highlight w:val="green"/>
        </w:rPr>
        <w:t>substantial</w:t>
      </w:r>
      <w:r w:rsidRPr="009278EB">
        <w:rPr>
          <w:sz w:val="16"/>
        </w:rPr>
        <w:t xml:space="preserve"> </w:t>
      </w:r>
      <w:r w:rsidRPr="00DD2D90">
        <w:rPr>
          <w:highlight w:val="green"/>
          <w:u w:val="single"/>
        </w:rPr>
        <w:t>evidence of “</w:t>
      </w:r>
      <w:r w:rsidRPr="00DD2D90">
        <w:rPr>
          <w:rStyle w:val="Emphasis"/>
          <w:highlight w:val="green"/>
        </w:rPr>
        <w:t>job lock</w:t>
      </w:r>
      <w:r w:rsidRPr="00DD2D90">
        <w:rPr>
          <w:highlight w:val="green"/>
          <w:u w:val="single"/>
        </w:rPr>
        <w:t>”</w:t>
      </w:r>
      <w:r w:rsidRPr="009278EB">
        <w:rPr>
          <w:sz w:val="16"/>
        </w:rPr>
        <w:t xml:space="preserve"> in the United States: </w:t>
      </w:r>
      <w:r w:rsidRPr="00DD2D90">
        <w:rPr>
          <w:u w:val="single"/>
        </w:rPr>
        <w:t>workers who get health insurance from their employer are less likely to switch jobs.</w:t>
      </w:r>
      <w:r w:rsidRPr="009278EB">
        <w:rPr>
          <w:sz w:val="16"/>
        </w:rPr>
        <w:t xml:space="preserve"> Early work showed </w:t>
      </w:r>
      <w:r w:rsidRPr="00DD2D90">
        <w:rPr>
          <w:u w:val="single"/>
        </w:rPr>
        <w:t>stronger job lock among groups that place a higher value on health insurance</w:t>
      </w:r>
      <w:r w:rsidRPr="009278EB">
        <w:rPr>
          <w:sz w:val="16"/>
        </w:rPr>
        <w:t xml:space="preserve">, whereas more recent work has focused on measuring the effect of specific policies on job lock. We combine these approaches by replicating some of the classic group comparisons (job switching among the more versus less healthy, and among those whose spouses do or do not have their own health insurance) over a much longer time period, </w:t>
      </w:r>
      <w:r w:rsidRPr="00DD2D90">
        <w:rPr>
          <w:u w:val="single"/>
        </w:rPr>
        <w:t>using data from the Current Population Survey and the Medical Expenditure Panel Survey.</w:t>
      </w:r>
      <w:r w:rsidRPr="009278EB">
        <w:rPr>
          <w:sz w:val="16"/>
        </w:rPr>
        <w:t xml:space="preserve"> This </w:t>
      </w:r>
      <w:r w:rsidRPr="00DD2D90">
        <w:rPr>
          <w:u w:val="single"/>
        </w:rPr>
        <w:t>enables</w:t>
      </w:r>
      <w:r w:rsidRPr="009278EB">
        <w:rPr>
          <w:sz w:val="16"/>
        </w:rPr>
        <w:t xml:space="preserve"> us to </w:t>
      </w:r>
      <w:r w:rsidRPr="00DD2D90">
        <w:rPr>
          <w:u w:val="single"/>
        </w:rPr>
        <w:t>document the evolution of job lock over time,</w:t>
      </w:r>
      <w:r w:rsidRPr="009278EB">
        <w:rPr>
          <w:sz w:val="16"/>
        </w:rPr>
        <w:t xml:space="preserve"> with a particular focus on how it changed when policies such as the Affordable Care Act (ACA) took effect. Estimates based on a difference-in-differences methodology indicate that </w:t>
      </w:r>
      <w:r w:rsidRPr="00DD2D90">
        <w:rPr>
          <w:u w:val="single"/>
        </w:rPr>
        <w:t xml:space="preserve">job lock remains </w:t>
      </w:r>
      <w:r w:rsidRPr="00DD2D90">
        <w:rPr>
          <w:rStyle w:val="Emphasis"/>
        </w:rPr>
        <w:t>substantial</w:t>
      </w:r>
      <w:r w:rsidRPr="009278EB">
        <w:rPr>
          <w:sz w:val="16"/>
        </w:rPr>
        <w:t xml:space="preserve">, and that </w:t>
      </w:r>
      <w:r w:rsidRPr="00DD2D90">
        <w:rPr>
          <w:u w:val="single"/>
        </w:rPr>
        <w:t>ACA has not</w:t>
      </w:r>
      <w:r w:rsidRPr="009278EB">
        <w:rPr>
          <w:sz w:val="16"/>
        </w:rPr>
        <w:t xml:space="preserve"> significantly </w:t>
      </w:r>
      <w:r w:rsidRPr="00DD2D90">
        <w:rPr>
          <w:u w:val="single"/>
        </w:rPr>
        <w:t xml:space="preserve">affected job mobility. </w:t>
      </w:r>
      <w:r w:rsidRPr="009278EB">
        <w:rPr>
          <w:sz w:val="16"/>
        </w:rPr>
        <w:t xml:space="preserve">1. Introduction </w:t>
      </w:r>
      <w:r w:rsidRPr="00DD2D90">
        <w:rPr>
          <w:u w:val="single"/>
        </w:rPr>
        <w:t xml:space="preserve">One of the main goals of </w:t>
      </w:r>
      <w:r w:rsidRPr="009278EB">
        <w:rPr>
          <w:sz w:val="16"/>
        </w:rPr>
        <w:t>the Patient Protection and Affordable Care Act (</w:t>
      </w:r>
      <w:r w:rsidRPr="00DD2D90">
        <w:rPr>
          <w:u w:val="single"/>
        </w:rPr>
        <w:t>ACA</w:t>
      </w:r>
      <w:r w:rsidRPr="009278EB">
        <w:rPr>
          <w:sz w:val="16"/>
        </w:rPr>
        <w:t xml:space="preserve"> or Obamacare) </w:t>
      </w:r>
      <w:r w:rsidRPr="00DD2D90">
        <w:rPr>
          <w:u w:val="single"/>
        </w:rPr>
        <w:t>was to reduce “job-lock”</w:t>
      </w:r>
      <w:r w:rsidRPr="009278EB">
        <w:rPr>
          <w:sz w:val="16"/>
        </w:rPr>
        <w:t xml:space="preserve"> (ERP 2011, p. 120), </w:t>
      </w:r>
      <w:r w:rsidRPr="00DD2D90">
        <w:rPr>
          <w:rStyle w:val="StyleUnderline"/>
        </w:rPr>
        <w:t xml:space="preserve">the reluctance of workers to move to more rewarding activities for </w:t>
      </w:r>
      <w:r w:rsidRPr="00DD2D90">
        <w:rPr>
          <w:rStyle w:val="Emphasis"/>
        </w:rPr>
        <w:t>fear</w:t>
      </w:r>
      <w:r w:rsidRPr="00DD2D90">
        <w:rPr>
          <w:rStyle w:val="StyleUnderline"/>
        </w:rPr>
        <w:t xml:space="preserve"> of losing their</w:t>
      </w:r>
      <w:r w:rsidRPr="009278EB">
        <w:rPr>
          <w:sz w:val="16"/>
        </w:rPr>
        <w:t xml:space="preserve"> employer-sponsored health insurance (</w:t>
      </w:r>
      <w:r w:rsidRPr="00DD2D90">
        <w:rPr>
          <w:rStyle w:val="StyleUnderline"/>
        </w:rPr>
        <w:t>ESI</w:t>
      </w:r>
      <w:r w:rsidRPr="009278EB">
        <w:rPr>
          <w:sz w:val="16"/>
        </w:rPr>
        <w:t xml:space="preserve">). According to its eponymous author, Obamacare would increase the availability of health insurance so that “people who lose their jobs, change jobs, start a business, or retire early will know that they can find insurance for themselves and their families” (Obama 2012). A number of studies have investigated the effect of the ACA on labor supply (Akosa Antwi et al. 2013; Colman and Dave 2018; Heim et al. 2018), entrepreneurship (Bailey 2017; Bailey and Dave 2019), and retirement (Levy et al. 2018; Aslim 2019), but </w:t>
      </w:r>
      <w:r w:rsidRPr="00DD2D90">
        <w:rPr>
          <w:rStyle w:val="StyleUnderline"/>
          <w:highlight w:val="green"/>
        </w:rPr>
        <w:t>there has been</w:t>
      </w:r>
      <w:r w:rsidRPr="00DD2D90">
        <w:rPr>
          <w:rStyle w:val="StyleUnderline"/>
        </w:rPr>
        <w:t xml:space="preserve"> </w:t>
      </w:r>
      <w:r w:rsidRPr="00DD2D90">
        <w:rPr>
          <w:rStyle w:val="Emphasis"/>
          <w:highlight w:val="green"/>
        </w:rPr>
        <w:t>very little</w:t>
      </w:r>
      <w:r w:rsidRPr="00DD2D90">
        <w:rPr>
          <w:rStyle w:val="StyleUnderline"/>
        </w:rPr>
        <w:t xml:space="preserve"> </w:t>
      </w:r>
      <w:r w:rsidRPr="00DD2D90">
        <w:rPr>
          <w:rStyle w:val="StyleUnderline"/>
          <w:highlight w:val="green"/>
        </w:rPr>
        <w:t>work on job lock</w:t>
      </w:r>
      <w:r w:rsidRPr="00DD2D90">
        <w:rPr>
          <w:rStyle w:val="StyleUnderline"/>
        </w:rPr>
        <w:t xml:space="preserve"> in the </w:t>
      </w:r>
      <w:r w:rsidRPr="00DD2D90">
        <w:rPr>
          <w:rStyle w:val="StyleUnderline"/>
          <w:highlight w:val="green"/>
        </w:rPr>
        <w:t>post</w:t>
      </w:r>
      <w:r w:rsidRPr="00DD2D90">
        <w:rPr>
          <w:rStyle w:val="StyleUnderline"/>
        </w:rPr>
        <w:t>-</w:t>
      </w:r>
      <w:r w:rsidRPr="00DD2D90">
        <w:rPr>
          <w:rStyle w:val="StyleUnderline"/>
          <w:highlight w:val="green"/>
        </w:rPr>
        <w:t>ACA</w:t>
      </w:r>
      <w:r w:rsidRPr="00DD2D90">
        <w:rPr>
          <w:rStyle w:val="StyleUnderline"/>
        </w:rPr>
        <w:t xml:space="preserve"> period</w:t>
      </w:r>
      <w:r w:rsidRPr="009278EB">
        <w:rPr>
          <w:sz w:val="16"/>
        </w:rPr>
        <w:t xml:space="preserve">.1 The exceptions are Bailey and Chorniy (2016), Jun (2018), and Kofoed and Frasier (2019), who study job-to-job mobility, though only through 2013, before the main elements of the ACA took effect. We address this knowledge gap and contribute to this literature in several ways. First, we analyze the effect of the ACA on job-to-job mobility, and specifically on job mobility after the ACA fully took effect. Second, we measure job mobility among those most likely to be affected by the policy, which is workers with health conditions that, prior to the ACA, were likely to be denied or delayed coverage if they changed jobs because they had “pre-existing conditions”. Further, we identify the effect of the ACA on job mobility through a strategy that is both robust and chosen by many prior researchers on this topic, most of whom have found a substantial effect of employer-sponsored health insurance on mobility. Our study uses 2001–2019 data from both the Current Population Survey and the Medical Expenditure Panel Survey. This long time period allows us to track the evolution of job lock over time, and estimate its recent strength following the full implementation of the ACA. We confirm the result from the prior literature that </w:t>
      </w:r>
      <w:r w:rsidRPr="00DD2D90">
        <w:rPr>
          <w:u w:val="single"/>
        </w:rPr>
        <w:t>employer-sponsored health insurance</w:t>
      </w:r>
      <w:r w:rsidRPr="009278EB">
        <w:rPr>
          <w:sz w:val="16"/>
        </w:rPr>
        <w:t xml:space="preserve"> appears to </w:t>
      </w:r>
      <w:r w:rsidRPr="00DD2D90">
        <w:rPr>
          <w:u w:val="single"/>
        </w:rPr>
        <w:t>reduce job mobility by at least 25%,</w:t>
      </w:r>
      <w:r w:rsidRPr="009278EB">
        <w:rPr>
          <w:sz w:val="16"/>
        </w:rPr>
        <w:t xml:space="preserve"> and we find that the ACA has not significantly improved the situation. Our results vary by dataset and identification strategy. When comparing those whose partners have employer-sponsored insurance to those whose partners do not, being the sole source of coverage for the family is associated with 28% lower job mobility. When comparing those who have health conditions that could have led to insurance denials pre-ACA to those who do not, we find that </w:t>
      </w:r>
      <w:r w:rsidRPr="00DD2D90">
        <w:rPr>
          <w:highlight w:val="green"/>
          <w:u w:val="single"/>
        </w:rPr>
        <w:t>employer-sponsored</w:t>
      </w:r>
      <w:r w:rsidRPr="009278EB">
        <w:rPr>
          <w:sz w:val="16"/>
        </w:rPr>
        <w:t xml:space="preserve"> health </w:t>
      </w:r>
      <w:r w:rsidRPr="00DD2D90">
        <w:rPr>
          <w:highlight w:val="green"/>
          <w:u w:val="single"/>
        </w:rPr>
        <w:t>insurance is associated with</w:t>
      </w:r>
      <w:r w:rsidRPr="009278EB">
        <w:rPr>
          <w:sz w:val="16"/>
        </w:rPr>
        <w:t xml:space="preserve"> up to </w:t>
      </w:r>
      <w:r w:rsidRPr="00DD2D90">
        <w:rPr>
          <w:rStyle w:val="Emphasis"/>
          <w:highlight w:val="green"/>
        </w:rPr>
        <w:t>45%</w:t>
      </w:r>
      <w:r w:rsidRPr="00DD2D90">
        <w:rPr>
          <w:highlight w:val="green"/>
          <w:u w:val="single"/>
        </w:rPr>
        <w:t xml:space="preserve"> lower job mobility. </w:t>
      </w:r>
      <w:r w:rsidRPr="009278EB">
        <w:rPr>
          <w:sz w:val="16"/>
        </w:rPr>
        <w:t xml:space="preserve">Our point estimates suggest that if anything, </w:t>
      </w:r>
      <w:r w:rsidRPr="00DD2D90">
        <w:rPr>
          <w:rStyle w:val="StyleUnderline"/>
        </w:rPr>
        <w:t>job lock has become stronger following the full implementation of the ACA</w:t>
      </w:r>
      <w:r w:rsidRPr="009278EB">
        <w:rPr>
          <w:sz w:val="16"/>
        </w:rPr>
        <w:t xml:space="preserve">. 2. Background Employer-sponsored health insurance (ESI) has been a prominent feature of the U.S. labor market since World War II, when price and wage controls restricted firms’ ability to attract workers through higher money wages, and, hence, induced them to do so through fringe benefits such as health insurance. Even after wage and price controls were removed in 1946, ESI has remained prevalent for a number of reasons (CBO 1994). First, employers’ contributions to workers’ health insurance premiums are exempt from workers’ taxable income, thus subsidizing the purchase of health insurance through employers. Second, ESI, as a type of group insurance, is typically cheaper than insurance bought individually by a worker (in the non-group market) because the employer can spread the fixed costs of setting up and administering the plan over its whole workforce and their families. As a result of the cost advantages of ESI, by 2010, about 55 percent of the population was covered under ESI (DeNavas-Walt et al. 2011). Coverage by </w:t>
      </w:r>
      <w:r w:rsidRPr="00DD2D90">
        <w:rPr>
          <w:u w:val="single"/>
        </w:rPr>
        <w:t xml:space="preserve">ESI reduces job mobility if </w:t>
      </w:r>
      <w:r w:rsidRPr="00DD2D90">
        <w:rPr>
          <w:highlight w:val="green"/>
          <w:u w:val="single"/>
        </w:rPr>
        <w:t xml:space="preserve">workers believe </w:t>
      </w:r>
      <w:r w:rsidRPr="00DD2D90">
        <w:rPr>
          <w:u w:val="single"/>
        </w:rPr>
        <w:t xml:space="preserve">that </w:t>
      </w:r>
      <w:r w:rsidRPr="00DD2D90">
        <w:rPr>
          <w:highlight w:val="green"/>
          <w:u w:val="single"/>
        </w:rPr>
        <w:t xml:space="preserve">if they leave their current jobs, they will be unable to obtain </w:t>
      </w:r>
      <w:r w:rsidRPr="00DD2D90">
        <w:rPr>
          <w:u w:val="single"/>
        </w:rPr>
        <w:t xml:space="preserve">equally </w:t>
      </w:r>
      <w:r w:rsidRPr="00DD2D90">
        <w:rPr>
          <w:highlight w:val="green"/>
          <w:u w:val="single"/>
        </w:rPr>
        <w:t xml:space="preserve">good </w:t>
      </w:r>
      <w:r w:rsidRPr="00DD2D90">
        <w:rPr>
          <w:u w:val="single"/>
        </w:rPr>
        <w:t xml:space="preserve">health </w:t>
      </w:r>
      <w:r w:rsidRPr="00DD2D90">
        <w:rPr>
          <w:highlight w:val="green"/>
          <w:u w:val="single"/>
        </w:rPr>
        <w:t>insurance</w:t>
      </w:r>
      <w:r w:rsidRPr="00DD2D90">
        <w:rPr>
          <w:u w:val="single"/>
        </w:rPr>
        <w:t xml:space="preserve"> </w:t>
      </w:r>
      <w:r w:rsidRPr="009278EB">
        <w:rPr>
          <w:sz w:val="16"/>
        </w:rPr>
        <w:t xml:space="preserve">through their new job, through the government, or on the private non-group insurance market at a price similar to their current ESI. One reason they might fear this is if they developed serious health conditions at their current jobs that might not be covered by insurance available to them after they leave those jobs. According to the Kaiser Family Foundation, before the ACA, this was a reasonable fear. It was estimated that prior to the passage of the ACA, about 27% of the non-elderly adult population had a condition which would likely cause them to be turned down for insurance coverage, either altogether or for that condition (Claxton et al. 2016). </w:t>
      </w:r>
    </w:p>
    <w:p w14:paraId="3C87464F" w14:textId="4E7C0378" w:rsidR="00D54208" w:rsidRPr="009278EB" w:rsidRDefault="00EA6776" w:rsidP="00EA6776">
      <w:pPr>
        <w:pStyle w:val="Heading4"/>
        <w:rPr>
          <w:szCs w:val="26"/>
        </w:rPr>
      </w:pPr>
      <w:r w:rsidRPr="00DD2D90">
        <w:rPr>
          <w:sz w:val="22"/>
        </w:rPr>
        <w:br w:type="page"/>
      </w:r>
      <w:r w:rsidR="00D54208" w:rsidRPr="009278EB">
        <w:rPr>
          <w:szCs w:val="26"/>
        </w:rPr>
        <w:t>Medicare for All would alleviate the regressive financial burden on small businesses and decrease job lock.</w:t>
      </w:r>
    </w:p>
    <w:p w14:paraId="2CA10D28" w14:textId="77777777" w:rsidR="00D54208" w:rsidRPr="00DD2D90" w:rsidRDefault="00D54208" w:rsidP="00D54208">
      <w:r w:rsidRPr="009278EB">
        <w:rPr>
          <w:b/>
          <w:bCs/>
          <w:sz w:val="26"/>
          <w:szCs w:val="26"/>
        </w:rPr>
        <w:t>Bivens 20</w:t>
      </w:r>
      <w:r w:rsidRPr="00DD2D90">
        <w:rPr>
          <w:b/>
          <w:bCs/>
        </w:rPr>
        <w:t xml:space="preserve"> </w:t>
      </w:r>
      <w:r w:rsidRPr="00DD2D90">
        <w:t>[Josh Bivens, chief economist at the Economic Policy Institute (EPI), 03-05-2020, “Fundamental health reform like ‘Medicare for All’ would help the labor market,” EPI, https://www.epi.org/publication/medicare-for-all-would-help-the-labor-market/]/Kankee</w:t>
      </w:r>
    </w:p>
    <w:p w14:paraId="398283CF" w14:textId="77777777" w:rsidR="00D54208" w:rsidRPr="009278EB" w:rsidRDefault="00D54208" w:rsidP="00D54208">
      <w:pPr>
        <w:rPr>
          <w:sz w:val="16"/>
        </w:rPr>
      </w:pPr>
      <w:r w:rsidRPr="009278EB">
        <w:rPr>
          <w:sz w:val="16"/>
        </w:rPr>
        <w:t>Fundamental health reform like “</w:t>
      </w:r>
      <w:r w:rsidRPr="00DD2D90">
        <w:rPr>
          <w:highlight w:val="green"/>
          <w:u w:val="single"/>
        </w:rPr>
        <w:t>Medicare for All</w:t>
      </w:r>
      <w:r w:rsidRPr="009278EB">
        <w:rPr>
          <w:sz w:val="16"/>
        </w:rPr>
        <w:t xml:space="preserve">” would be a hugely ambitious policy undertaking with profound effects on the economy and the economic security of households in America. </w:t>
      </w:r>
      <w:r w:rsidRPr="00DD2D90">
        <w:rPr>
          <w:u w:val="single"/>
        </w:rPr>
        <w:t>But despite oft-repeated claims of large-scale job losses, a national program that would guarantee health insurance for every American would not profoundly affect the total number of jobs in the U.S. economy</w:t>
      </w:r>
      <w:r w:rsidRPr="009278EB">
        <w:rPr>
          <w:sz w:val="16"/>
        </w:rPr>
        <w:t xml:space="preserve">. In fact, such reform could boost wages and jobs and </w:t>
      </w:r>
      <w:r w:rsidRPr="00DD2D90">
        <w:rPr>
          <w:highlight w:val="green"/>
          <w:u w:val="single"/>
        </w:rPr>
        <w:t>lead to more efficient labor markets</w:t>
      </w:r>
      <w:r w:rsidRPr="009278EB">
        <w:rPr>
          <w:sz w:val="16"/>
        </w:rPr>
        <w:t xml:space="preserve"> that better match jobs and workers. Specifically, </w:t>
      </w:r>
      <w:r w:rsidRPr="00DD2D90">
        <w:rPr>
          <w:highlight w:val="green"/>
          <w:u w:val="single"/>
        </w:rPr>
        <w:t>it could</w:t>
      </w:r>
      <w:r w:rsidRPr="009278EB">
        <w:rPr>
          <w:sz w:val="16"/>
        </w:rPr>
        <w:t xml:space="preserve">:  </w:t>
      </w:r>
      <w:r w:rsidRPr="00DD2D90">
        <w:rPr>
          <w:highlight w:val="green"/>
          <w:u w:val="single"/>
        </w:rPr>
        <w:t>Boost wages</w:t>
      </w:r>
      <w:r w:rsidRPr="00DD2D90">
        <w:rPr>
          <w:u w:val="single"/>
        </w:rPr>
        <w:t xml:space="preserve"> and salaries by allowing employers to redirect money they are spending on health care costs to their workers’ wages. </w:t>
      </w:r>
      <w:r w:rsidRPr="00DD2D90">
        <w:rPr>
          <w:highlight w:val="green"/>
          <w:u w:val="single"/>
        </w:rPr>
        <w:t>Increase job quality</w:t>
      </w:r>
      <w:r w:rsidRPr="009278EB">
        <w:rPr>
          <w:sz w:val="16"/>
        </w:rPr>
        <w:t xml:space="preserve"> by ensuring that every job now comes bundled with a guarantee of health care—with the boost to job quality even greater among women workers, who are less likely to have employer-sponsored health care. </w:t>
      </w:r>
      <w:r w:rsidRPr="00DD2D90">
        <w:rPr>
          <w:highlight w:val="green"/>
          <w:u w:val="single"/>
        </w:rPr>
        <w:t>Lessen</w:t>
      </w:r>
      <w:r w:rsidRPr="00DD2D90">
        <w:rPr>
          <w:u w:val="single"/>
        </w:rPr>
        <w:t xml:space="preserve"> the stress and </w:t>
      </w:r>
      <w:r w:rsidRPr="00DD2D90">
        <w:rPr>
          <w:highlight w:val="green"/>
          <w:u w:val="single"/>
        </w:rPr>
        <w:t>economic shock of losing a job or moving between jobs</w:t>
      </w:r>
      <w:r w:rsidRPr="009278EB">
        <w:rPr>
          <w:sz w:val="16"/>
        </w:rPr>
        <w:t xml:space="preserve"> by eliminating the loss of health care that now accompanies job losses and transitions. </w:t>
      </w:r>
      <w:r w:rsidRPr="00DD2D90">
        <w:rPr>
          <w:highlight w:val="green"/>
          <w:u w:val="single"/>
        </w:rPr>
        <w:t>Support</w:t>
      </w:r>
      <w:r w:rsidRPr="009278EB">
        <w:rPr>
          <w:sz w:val="16"/>
        </w:rPr>
        <w:t xml:space="preserve"> self-employment and </w:t>
      </w:r>
      <w:r w:rsidRPr="00DD2D90">
        <w:rPr>
          <w:highlight w:val="green"/>
          <w:u w:val="single"/>
        </w:rPr>
        <w:t>small business development</w:t>
      </w:r>
      <w:r w:rsidRPr="009278EB">
        <w:rPr>
          <w:sz w:val="16"/>
        </w:rPr>
        <w:t xml:space="preserve">—which is currently super low in the U.S. relative to other rich countries—by eliminating the daunting loss of/cost of health care from startup costs. Inject new dynamism and adaptability into the overall economy by reducing “job lock”—with workers going where their skills </w:t>
      </w:r>
      <w:r w:rsidRPr="00DD2D90">
        <w:rPr>
          <w:highlight w:val="green"/>
          <w:u w:val="single"/>
        </w:rPr>
        <w:t>and</w:t>
      </w:r>
      <w:r w:rsidRPr="009278EB">
        <w:rPr>
          <w:sz w:val="16"/>
        </w:rPr>
        <w:t xml:space="preserve"> preferences best fit the job, not just to workplaces (usually large ones) that have affordable health plans. </w:t>
      </w:r>
      <w:r w:rsidRPr="00DD2D90">
        <w:rPr>
          <w:highlight w:val="green"/>
          <w:u w:val="single"/>
        </w:rPr>
        <w:t>Produce a net increase in jobs</w:t>
      </w:r>
      <w:r w:rsidRPr="00DD2D90">
        <w:rPr>
          <w:u w:val="single"/>
        </w:rPr>
        <w:t xml:space="preserve"> as public spending boosts aggregate demand, with job losses in health insurance and billing administration being outweighed by job gains in provision of health care, including the expansion of long-term care.  </w:t>
      </w:r>
      <w:r w:rsidRPr="009278EB">
        <w:rPr>
          <w:sz w:val="16"/>
        </w:rPr>
        <w:t xml:space="preserve"> While the </w:t>
      </w:r>
      <w:r w:rsidRPr="00DD2D90">
        <w:rPr>
          <w:highlight w:val="green"/>
          <w:u w:val="single"/>
        </w:rPr>
        <w:t>overall effect</w:t>
      </w:r>
      <w:r w:rsidRPr="00DD2D90">
        <w:rPr>
          <w:u w:val="single"/>
        </w:rPr>
        <w:t xml:space="preserve"> of fundamental health reform on the labor market</w:t>
      </w:r>
      <w:r w:rsidRPr="009278EB">
        <w:rPr>
          <w:sz w:val="16"/>
        </w:rPr>
        <w:t xml:space="preserve"> </w:t>
      </w:r>
      <w:r w:rsidRPr="00DD2D90">
        <w:rPr>
          <w:highlight w:val="green"/>
          <w:u w:val="single"/>
        </w:rPr>
        <w:t>would be unambiguously positive,</w:t>
      </w:r>
      <w:r w:rsidRPr="00DD2D90">
        <w:rPr>
          <w:u w:val="single"/>
        </w:rPr>
        <w:t xml:space="preserve"> </w:t>
      </w:r>
      <w:r w:rsidRPr="009278EB">
        <w:rPr>
          <w:sz w:val="16"/>
        </w:rPr>
        <w:t xml:space="preserve">this does not mean policymakers should ignore the distress caused by job transitions forced by this reform. Specifically, policy support should be provided to help displaced health insurance and billing administration workers move into new positions. But we should not let critics of Medicare for All inflate the scale of this transition challenge or falsely present the number of jobs displaced in individual sectors as the net effect of reform on labor markets. The number of health insurance and billing administration workers who would need to transition implies an increase in the rate of overall job market churn that is relatively small: Job losses for these workers would be equivalent to one-twelfth the size of economywide layoffs in 2018.  Background: The need for fundamental health reform Currently, despite the significant gains in health care coverage spurred by the passage of the Affordable Care Act (ACA) in 2010, roughly 23 million Americans between the ages of 19 and 64 are uninsured, and another 64 million are underinsured (Collins, Bhupal, and Doty 2019).1 In addition to problems with access, the American health care system also suffers from excess costs.2 While excess health care cost growth has slowed notably in the last decade, it would be prudent for policymakers to try to keep this cost growth in check with significant policy reforms rather than simply hoping for the best going forward. Some highly important health-related prices have begun rising rapidly in the very recent past. Insurance premiums, for example, rose 20% in 2019.3 Overall spending on prescription drugs rose more than 9% between the fourth quarter of 2018 and the fourth quarter of 2019—the largest year-over-year change since 2015.4  Bivens 2018b provides data demonstrating that health spending in the U.S. is higher than in advanced peer countries and has risen faster over time—and yet continues to buy worse health outcomes. The higher and faster-growing spending of the United States is driven by faster growth of prices, not by growth in the volume of health care goods and services consumed. Further, international evidence shows that a key component of controlling cost growth is a strong public role in setting and negotiating the prices of health care goods and services.  A fundamental reform like Medicare for All (M4A) would make coverage universal. Further, by providing a counterweight to (or outright eliminating) the substantial market power that keeps prices high and that is currently wielded by many key players in the health care sector (e.g., insurance companies, drug companies, specialty physicians, and device makers), such a reform could also have great success in containing health care cost growth. This could in turn provide relief from many of the ways that rising health costs squeeze family incomes.  An underappreciated benefit of such a reform is that it would also lead to a much better functioning labor market in many areas. Job quality would increase, job switching would become less stressful, better “matches” between workers and employers would boost productivity, and small businesses would be much easier to launch.  Despite the fact that M4A could deliver these large benefits to efficient labor market functioning, the policy often comes under fire from critics making highly exaggerated claims about the potential job loss that could occur under such a reform. The grain of truth in some of the claims is that, like any productivity improvement, the adoption of a reform like M4A would require the redeployment of workers from one sector (the health insurance and medical billing complex) to other sectors (mostly the delivery of health care). But there is little in the M4A-induced redeployment of workers that would greatly stress the American labor market over and above the uncertainty and churn that characterizes this labor market every year. Smart policy could make this redeployment eminently manageable for those workers who would be required to make the transition.  This brief highlights some labor market implications of M4A and critically examines claims that large job losses in the health insurance and billing administration sectors would make M4A an undesirable policy.  Health reform as labor market policy: Key effects for workers Fundamental reforms like M4A could greatly aid labor market outcomes for U.S. workers. The most obvious benefits would be higher wages and salaries, increased availability of good jobs, reduced stress during spells of job loss, better “matches” between workers and employers, and greater opportunity to start small businesses.  Higher cash wages and salaries </w:t>
      </w:r>
      <w:r w:rsidRPr="00DD2D90">
        <w:rPr>
          <w:u w:val="single"/>
        </w:rPr>
        <w:t xml:space="preserve">Medicare for All </w:t>
      </w:r>
      <w:r w:rsidRPr="009278EB">
        <w:rPr>
          <w:sz w:val="16"/>
        </w:rPr>
        <w:t xml:space="preserve">could increase wages and salaries for U.S. workers by </w:t>
      </w:r>
      <w:r w:rsidRPr="00DD2D90">
        <w:rPr>
          <w:u w:val="single"/>
        </w:rPr>
        <w:t>reducing employers</w:t>
      </w:r>
      <w:r w:rsidRPr="009278EB">
        <w:rPr>
          <w:sz w:val="16"/>
        </w:rPr>
        <w:t>’ costs for health insurance—</w:t>
      </w:r>
      <w:r w:rsidRPr="00DD2D90">
        <w:rPr>
          <w:u w:val="single"/>
        </w:rPr>
        <w:t>freeing up fiscal space to invest in wages instead</w:t>
      </w:r>
      <w:r w:rsidRPr="009278EB">
        <w:rPr>
          <w:sz w:val="16"/>
        </w:rPr>
        <w:t xml:space="preserve">. The share of total annual compensation paid to American employees in the form of health insurance premiums rather than wages and salaries rose from 1.1% in 1960 to 4.2% in 1979 to 8.4% in 2018.5 If this post-1960 increase had been only half as large—and employers had spent the health cost savings on wages and salaries—the take-home wages of American workers would have been almost $400 billion higher in 2018.6 Given that the share of total compensation spoken for by health insurance premiums is starting from a high base today, any reform that managed to slow the excess growth of health spending going forward would go a long way in making space for faster growth of cash compensation.7  Increased availability of ‘good jobs’ Medicare for All could increase job quality substantially by making all jobs “good” jobs in terms of health insurance coverage and by increasing the potential for higher wages. While the definition of a “good job” is always going to be a bit imprecise, the vast majority of U.S. workers would say that a good job is one that pays decent wages and that also provides the health insurance coverage and retirement income benefits that most of today’s workers can only reliably access through employment. Nearly half of jobs fail this test on account of health care coverage alone: In 2016, 46.9% of workers held jobs in which their employer made no contributions to the workers’ health care; for workers in the middle fifth of the wage distribution, 42.9% held jobs in which the employer made no contribution to their health care (EPI 2017).  By making health coverage universal and delinking from employment, M4A would make it far easier for employers to offer good jobs in this regard, as every job would now be accompanied by guaranteed health care coverage. Further, as noted above, wages and salaries would have substantial room to grow if health care costs were taken off of the backs of employers. Schmitt and Jones (2013) estimate the share of good jobs—jobs that clear a specified wage floor8 and provide health and retirement coverage—in overall employment each year between 1979 and 2011. They then look at various policy changes that would boost this share. They find that providing universal health coverage would boost the probability that any given job in the economy is a good job by almost 20%—and that’s even before any potential boost to the share of jobs that are good jobs coming from cash wage increases provided as employers shed health care costs.9 The boost to job quality from making health coverage universal would be even greater for women workers, as women are currently less likely to receive employer-sponsored health insurance benefits from their own employers.10  Less damaging spells of joblessness Medicare for All could make job losses and transitions less stressful by delinking employment and access to health insurance, emulating the universal access to health care offered by our rich country peers. The U.S. is unique among the rich countries of the world in how much it ties crucial social benefits—like health insurance and retirement income—to specific jobs. Hacker (2002) has referred to this arrangement as the “divided welfare state,” with some Americans having relatively full access to health and retirement security while others have access to virtually none, all based on the specific jobs they have. This makes some jobs in the U.S. economy especially valuable, and hence especially damaging to lose. Manufacturing workers without a college degree, for example, likely incur enormous income and social benefits losses in the event of job loss stemming from either automation or trade. The ability of universal, public social benefits to make individual job losses less damaging has been long recognized by social scientists (see, for example, Estevez-Abe, Iversen, and Soskice 2001).  </w:t>
      </w:r>
      <w:r w:rsidRPr="00DD2D90">
        <w:rPr>
          <w:u w:val="single"/>
        </w:rPr>
        <w:t>Smooth job transitions contribute to economic dynamism</w:t>
      </w:r>
      <w:r w:rsidRPr="009278EB">
        <w:rPr>
          <w:sz w:val="16"/>
        </w:rPr>
        <w:t xml:space="preserve"> by helping ensure that vacancies are filled quickly by appropriate workers and that unemployed workers can quickly find new jobs that make good use of their skills. </w:t>
      </w:r>
      <w:r w:rsidRPr="00DD2D90">
        <w:rPr>
          <w:u w:val="single"/>
        </w:rPr>
        <w:t xml:space="preserve">Smooth job transitions will also be an important components of meeting crucial policy goals such as mitigating greenhouse gas emissions with wholesale changes in how energy is created. </w:t>
      </w:r>
      <w:r w:rsidRPr="009278EB">
        <w:rPr>
          <w:sz w:val="16"/>
        </w:rPr>
        <w:t xml:space="preserve">Policies that make job transitions easier and inspire less resistance from workers should be encouraged. Fundamental health reform that, like M4A, guarantees access to insurance regardless of one’s current job status is a key part of making such transitions easier.  Better labor market matches between workers and employers </w:t>
      </w:r>
      <w:r w:rsidRPr="00DD2D90">
        <w:rPr>
          <w:highlight w:val="green"/>
          <w:u w:val="single"/>
        </w:rPr>
        <w:t>Medicare for All could decrease</w:t>
      </w:r>
      <w:r w:rsidRPr="009278EB">
        <w:rPr>
          <w:sz w:val="16"/>
        </w:rPr>
        <w:t xml:space="preserve"> </w:t>
      </w:r>
      <w:r w:rsidRPr="00DD2D90">
        <w:rPr>
          <w:u w:val="single"/>
        </w:rPr>
        <w:t>inefficient</w:t>
      </w:r>
      <w:r w:rsidRPr="009278EB">
        <w:rPr>
          <w:sz w:val="16"/>
        </w:rPr>
        <w:t xml:space="preserve"> “</w:t>
      </w:r>
      <w:r w:rsidRPr="00DD2D90">
        <w:rPr>
          <w:highlight w:val="green"/>
          <w:u w:val="single"/>
        </w:rPr>
        <w:t>job lock” and boost small business creation and voluntary self-employment</w:t>
      </w:r>
      <w:r w:rsidRPr="009278EB">
        <w:rPr>
          <w:sz w:val="16"/>
        </w:rPr>
        <w:t xml:space="preserve">. </w:t>
      </w:r>
      <w:r w:rsidRPr="00DD2D90">
        <w:rPr>
          <w:highlight w:val="green"/>
          <w:u w:val="single"/>
        </w:rPr>
        <w:t xml:space="preserve">Making health insurance universal </w:t>
      </w:r>
      <w:r w:rsidRPr="009278EB">
        <w:rPr>
          <w:sz w:val="16"/>
        </w:rPr>
        <w:t xml:space="preserve">and delinked from employment widens the range of economic options for workers and </w:t>
      </w:r>
      <w:r w:rsidRPr="00DD2D90">
        <w:rPr>
          <w:highlight w:val="green"/>
          <w:u w:val="single"/>
        </w:rPr>
        <w:t>leads to better matches between workers’ skills and interests</w:t>
      </w:r>
      <w:r w:rsidRPr="009278EB">
        <w:rPr>
          <w:sz w:val="16"/>
        </w:rPr>
        <w:t xml:space="preserve"> and their jobs. </w:t>
      </w:r>
      <w:r w:rsidRPr="00DD2D90">
        <w:rPr>
          <w:highlight w:val="green"/>
          <w:u w:val="single"/>
        </w:rPr>
        <w:t>The boost to small business creation and self-employment would be particularly useful</w:t>
      </w:r>
      <w:r w:rsidRPr="009278EB">
        <w:rPr>
          <w:sz w:val="16"/>
        </w:rPr>
        <w:t xml:space="preserve">, as the United States is a laggard in both relative to advanced economy peers.  Substantial evidence indicates that </w:t>
      </w:r>
      <w:r w:rsidRPr="00DD2D90">
        <w:rPr>
          <w:highlight w:val="green"/>
          <w:u w:val="single"/>
        </w:rPr>
        <w:t>our current system</w:t>
      </w:r>
      <w:r w:rsidRPr="009278EB">
        <w:rPr>
          <w:sz w:val="16"/>
        </w:rPr>
        <w:t xml:space="preserve"> of employer-sponsored insurance (ESI) </w:t>
      </w:r>
      <w:r w:rsidRPr="00DD2D90">
        <w:rPr>
          <w:highlight w:val="green"/>
          <w:u w:val="single"/>
        </w:rPr>
        <w:t>creates</w:t>
      </w:r>
      <w:r w:rsidRPr="009278EB">
        <w:rPr>
          <w:sz w:val="16"/>
        </w:rPr>
        <w:t xml:space="preserve"> significant “</w:t>
      </w:r>
      <w:r w:rsidRPr="00DD2D90">
        <w:rPr>
          <w:highlight w:val="green"/>
          <w:u w:val="single"/>
        </w:rPr>
        <w:t>job lock</w:t>
      </w:r>
      <w:r w:rsidRPr="009278EB">
        <w:rPr>
          <w:sz w:val="16"/>
        </w:rPr>
        <w:t>”—</w:t>
      </w:r>
      <w:r w:rsidRPr="00DD2D90">
        <w:rPr>
          <w:u w:val="single"/>
        </w:rPr>
        <w:t xml:space="preserve">a condition in which workers who don’t want to lose their current ESI stay in their current jobs rather than make transitions that would better meet their needs. </w:t>
      </w:r>
      <w:r w:rsidRPr="009278EB">
        <w:rPr>
          <w:sz w:val="16"/>
        </w:rPr>
        <w:t xml:space="preserve">In a comprehensive review of this literature, Baker (2015) finds:  The likely range of a job-lock effect is a reduction in turnover—the rate at which people leave jobs—of 15–25 percent among workers with EPHI [employer-provided health insurance, or ESI]. With normal turnover for prime-age workers (people ages 25–54) in the range of 15–20 percent per year, this </w:t>
      </w:r>
      <w:r w:rsidRPr="00DD2D90">
        <w:rPr>
          <w:u w:val="single"/>
        </w:rPr>
        <w:t>job-lock effect implies a reduction in annual turnover of around 4 percentage points</w:t>
      </w:r>
      <w:r w:rsidRPr="009278EB">
        <w:rPr>
          <w:sz w:val="16"/>
        </w:rPr>
        <w:t xml:space="preserve"> among prime-age workers with [employer-provided health insurance, or ESI].  </w:t>
      </w:r>
      <w:r w:rsidRPr="00DD2D90">
        <w:rPr>
          <w:highlight w:val="green"/>
          <w:u w:val="single"/>
        </w:rPr>
        <w:t>Making employment decisions based on access to ESI</w:t>
      </w:r>
      <w:r w:rsidRPr="009278EB">
        <w:rPr>
          <w:sz w:val="16"/>
        </w:rPr>
        <w:t xml:space="preserve"> rather than on other criteria—such as work–life balance, cash wages, and commuting distance—</w:t>
      </w:r>
      <w:r w:rsidRPr="00DD2D90">
        <w:rPr>
          <w:highlight w:val="green"/>
          <w:u w:val="single"/>
        </w:rPr>
        <w:t>can lead to employment “matches” that are less productive and that decrease overall worker welfare</w:t>
      </w:r>
      <w:r w:rsidRPr="009278EB">
        <w:rPr>
          <w:sz w:val="16"/>
        </w:rPr>
        <w:t xml:space="preserve"> relative to job choices that are not constrained by the availability of health insurance.  More small-business formation Despite policymakers’ frequent claims that they seek to support small businesses in the U.S. economy, </w:t>
      </w:r>
      <w:r w:rsidRPr="00DD2D90">
        <w:rPr>
          <w:highlight w:val="green"/>
          <w:u w:val="single"/>
        </w:rPr>
        <w:t>the United States has a notably small share of small-business employment</w:t>
      </w:r>
      <w:r w:rsidRPr="009278EB">
        <w:rPr>
          <w:sz w:val="16"/>
        </w:rPr>
        <w:t xml:space="preserve"> relative to our rich country peers. In 2018, for example, the </w:t>
      </w:r>
      <w:r w:rsidRPr="00DD2D90">
        <w:rPr>
          <w:highlight w:val="green"/>
          <w:u w:val="single"/>
        </w:rPr>
        <w:t>U.S. was dead-las</w:t>
      </w:r>
      <w:r w:rsidRPr="00DD2D90">
        <w:rPr>
          <w:u w:val="single"/>
        </w:rPr>
        <w:t xml:space="preserve">t among the members of the Organisation for Economic Co-operation and Development (OECD) </w:t>
      </w:r>
      <w:r w:rsidRPr="00DD2D90">
        <w:rPr>
          <w:highlight w:val="green"/>
          <w:u w:val="single"/>
        </w:rPr>
        <w:t>in its share of self-employment</w:t>
      </w:r>
      <w:r w:rsidRPr="009278EB">
        <w:rPr>
          <w:sz w:val="16"/>
        </w:rPr>
        <w:t xml:space="preserve">, at just 6.3% of employment. Countries that are frequently portrayed in U.S. business reporting as being choked by regulation—like Spain, France, and Germany—have far higher shares of self-employment, at 16.0%, 11.7%, and 9.9%, respectively (OECD 2020).  Besides a low share of self-employment, </w:t>
      </w:r>
      <w:r w:rsidRPr="00DD2D90">
        <w:rPr>
          <w:highlight w:val="green"/>
          <w:u w:val="single"/>
        </w:rPr>
        <w:t>the U.S. also had significantly lower shares of overall employment in small businesses,</w:t>
      </w:r>
      <w:r w:rsidRPr="009278EB">
        <w:rPr>
          <w:sz w:val="16"/>
        </w:rPr>
        <w:t xml:space="preserve"> across nearly all industrial sectors. The latest OECD data show that the U.S. share of employment in enterprises with fewer than 50 employees is lower than in any other country except for Russia (OECD 2018, Figure 7). In an earlier overview of trends in employment by firm size, Schmitt and Lane (2009) highlight how health care policy plays two key roles in potentially explaining cross-country trends. First, because </w:t>
      </w:r>
      <w:r w:rsidRPr="00DD2D90">
        <w:rPr>
          <w:highlight w:val="green"/>
          <w:u w:val="single"/>
        </w:rPr>
        <w:t>health care is nearly universally provided in other rich countries, workers choosing to start their own businesses in those countries do not face a cost confronting would-be entrepreneurs in the U.S.: the loss of ESI</w:t>
      </w:r>
      <w:r w:rsidRPr="00DD2D90">
        <w:rPr>
          <w:u w:val="single"/>
        </w:rPr>
        <w:t xml:space="preserve">. Second, </w:t>
      </w:r>
      <w:r w:rsidRPr="00DD2D90">
        <w:rPr>
          <w:highlight w:val="green"/>
          <w:u w:val="single"/>
        </w:rPr>
        <w:t>small businesses in the U.S. are at a distinct disadvantage in recruiting employees because the cost of providing health care coverage is significantly higher for small companies.</w:t>
      </w:r>
      <w:r w:rsidRPr="009278EB">
        <w:rPr>
          <w:sz w:val="16"/>
        </w:rPr>
        <w:t xml:space="preserve">11  Employment effects of fundamental health reform: gains in health care, losses in insurance and billing—with likely economywide net job gains from rising economic demand </w:t>
      </w:r>
      <w:r w:rsidRPr="00DD2D90">
        <w:rPr>
          <w:u w:val="single"/>
        </w:rPr>
        <w:t>Like all positive productivity gains, Medicare for All would be more likely to increase the total number of jobs in the U.S. economy,</w:t>
      </w:r>
      <w:r w:rsidRPr="009278EB">
        <w:rPr>
          <w:sz w:val="16"/>
        </w:rPr>
        <w:t xml:space="preserve"> even as health reform leads to the redeployment of workers from some sectors and into others. </w:t>
      </w:r>
    </w:p>
    <w:p w14:paraId="74058A2C" w14:textId="77777777" w:rsidR="00EA6776" w:rsidRPr="009278EB" w:rsidRDefault="00EA6776">
      <w:pPr>
        <w:rPr>
          <w:rFonts w:eastAsiaTheme="majorEastAsia" w:cstheme="majorBidi"/>
          <w:b/>
          <w:iCs/>
          <w:sz w:val="16"/>
        </w:rPr>
      </w:pPr>
      <w:r w:rsidRPr="009278EB">
        <w:rPr>
          <w:sz w:val="16"/>
        </w:rPr>
        <w:br w:type="page"/>
      </w:r>
    </w:p>
    <w:p w14:paraId="53CD05DD" w14:textId="069DEFCF" w:rsidR="00F62882" w:rsidRPr="009278EB" w:rsidRDefault="00F62882" w:rsidP="00F62882">
      <w:pPr>
        <w:pStyle w:val="Heading4"/>
        <w:rPr>
          <w:szCs w:val="26"/>
        </w:rPr>
      </w:pPr>
      <w:r w:rsidRPr="009278EB">
        <w:rPr>
          <w:szCs w:val="26"/>
        </w:rPr>
        <w:t>Healthcare as a public good eliminates the job lock problem and improves job mobility</w:t>
      </w:r>
    </w:p>
    <w:p w14:paraId="7B66C91F" w14:textId="77777777" w:rsidR="00F62882" w:rsidRPr="00DD2D90" w:rsidRDefault="00F62882" w:rsidP="00F62882">
      <w:r w:rsidRPr="009278EB">
        <w:rPr>
          <w:b/>
          <w:bCs/>
          <w:sz w:val="26"/>
          <w:szCs w:val="26"/>
        </w:rPr>
        <w:t>Ingraham 20</w:t>
      </w:r>
      <w:r w:rsidRPr="00DD2D90">
        <w:rPr>
          <w:b/>
          <w:bCs/>
        </w:rPr>
        <w:t xml:space="preserve"> </w:t>
      </w:r>
      <w:r w:rsidRPr="00DD2D90">
        <w:t>[Christopher Ingraham, reporter on The Post’s business desk with a BA in religious studies from Cornell University, 03-05-2020, “Medicare-for-all would be a boon to the American labor market, study finds,” Washington Post, https://www.washingtonpost.com/business/2020/03/05/medicare-for-all-jobs-labor/]/Kankee</w:t>
      </w:r>
    </w:p>
    <w:p w14:paraId="313EA24C" w14:textId="77777777" w:rsidR="00F62882" w:rsidRPr="009278EB" w:rsidRDefault="00F62882" w:rsidP="00F62882">
      <w:pPr>
        <w:rPr>
          <w:sz w:val="16"/>
        </w:rPr>
      </w:pPr>
      <w:r w:rsidRPr="00DD2D90">
        <w:rPr>
          <w:u w:val="single"/>
        </w:rPr>
        <w:t>Proponents of a national, single-payer health care system</w:t>
      </w:r>
      <w:r w:rsidRPr="009278EB">
        <w:rPr>
          <w:sz w:val="16"/>
        </w:rPr>
        <w:t xml:space="preserve">, like one favored by presidential candidates Elizabeth Warren and Bernie Sanders, </w:t>
      </w:r>
      <w:r w:rsidRPr="00DD2D90">
        <w:rPr>
          <w:u w:val="single"/>
        </w:rPr>
        <w:t>have</w:t>
      </w:r>
      <w:r w:rsidRPr="009278EB">
        <w:rPr>
          <w:sz w:val="16"/>
        </w:rPr>
        <w:t xml:space="preserve"> long </w:t>
      </w:r>
      <w:r w:rsidRPr="00DD2D90">
        <w:rPr>
          <w:u w:val="single"/>
        </w:rPr>
        <w:t xml:space="preserve">argued it would make medical care accessible to millions of Americans who currently can’t afford it and potentially drive down national health care spending overall. </w:t>
      </w:r>
      <w:r w:rsidRPr="009278EB">
        <w:rPr>
          <w:sz w:val="16"/>
        </w:rPr>
        <w:t xml:space="preserve">Opponents, on the other hand, tend to focus on how it would rework the economy: 2 million jobs lost, higher taxes to pay for it, the concentration of market power in the government. But a report released Thursday by the Economic Policy Institute, a progressive think tank that surveyed the available data, laid out a case for why </w:t>
      </w:r>
      <w:r w:rsidRPr="00DD2D90">
        <w:rPr>
          <w:highlight w:val="green"/>
          <w:u w:val="single"/>
        </w:rPr>
        <w:t>Medicare-for-all could actually be beneficial to the</w:t>
      </w:r>
      <w:r w:rsidRPr="009278EB">
        <w:rPr>
          <w:sz w:val="16"/>
        </w:rPr>
        <w:t xml:space="preserve"> American </w:t>
      </w:r>
      <w:r w:rsidRPr="00DD2D90">
        <w:rPr>
          <w:highlight w:val="green"/>
          <w:u w:val="single"/>
        </w:rPr>
        <w:t xml:space="preserve">job market. </w:t>
      </w:r>
      <w:r w:rsidRPr="009278EB">
        <w:rPr>
          <w:sz w:val="16"/>
        </w:rPr>
        <w:t xml:space="preserve">By </w:t>
      </w:r>
      <w:r w:rsidRPr="00DD2D90">
        <w:rPr>
          <w:rStyle w:val="Emphasis"/>
          <w:highlight w:val="green"/>
        </w:rPr>
        <w:t>decoupling</w:t>
      </w:r>
      <w:r w:rsidRPr="00DD2D90">
        <w:rPr>
          <w:highlight w:val="green"/>
          <w:u w:val="single"/>
        </w:rPr>
        <w:t xml:space="preserve"> employment from health care</w:t>
      </w:r>
      <w:r w:rsidRPr="009278EB">
        <w:rPr>
          <w:sz w:val="16"/>
        </w:rPr>
        <w:t xml:space="preserve">, economist Josh Bivens argues, </w:t>
      </w:r>
      <w:r w:rsidRPr="00DD2D90">
        <w:rPr>
          <w:highlight w:val="green"/>
          <w:u w:val="single"/>
        </w:rPr>
        <w:t>workers would be able to find jobs that</w:t>
      </w:r>
      <w:r w:rsidRPr="009278EB">
        <w:rPr>
          <w:sz w:val="16"/>
        </w:rPr>
        <w:t xml:space="preserve"> better </w:t>
      </w:r>
      <w:r w:rsidRPr="00DD2D90">
        <w:rPr>
          <w:highlight w:val="green"/>
          <w:u w:val="single"/>
        </w:rPr>
        <w:t>match</w:t>
      </w:r>
      <w:r w:rsidRPr="009278EB">
        <w:rPr>
          <w:sz w:val="16"/>
        </w:rPr>
        <w:t xml:space="preserve"> their </w:t>
      </w:r>
      <w:r w:rsidRPr="00DD2D90">
        <w:rPr>
          <w:highlight w:val="green"/>
          <w:u w:val="single"/>
        </w:rPr>
        <w:t>skills and have more freedom to start</w:t>
      </w:r>
      <w:r w:rsidRPr="009278EB">
        <w:rPr>
          <w:sz w:val="16"/>
        </w:rPr>
        <w:t xml:space="preserve"> their own </w:t>
      </w:r>
      <w:r w:rsidRPr="00DD2D90">
        <w:rPr>
          <w:highlight w:val="green"/>
          <w:u w:val="single"/>
        </w:rPr>
        <w:t>businesses</w:t>
      </w:r>
      <w:r w:rsidRPr="009278EB">
        <w:rPr>
          <w:sz w:val="16"/>
        </w:rPr>
        <w:t xml:space="preserve">. The job losses in health care administration, while very real, are less of a concern in the context of normal amount of job creation and destruction in any given year, he says. Academics who believe </w:t>
      </w:r>
      <w:r w:rsidRPr="00DD2D90">
        <w:rPr>
          <w:u w:val="single"/>
        </w:rPr>
        <w:t>Medicare-for-all would reduce total health care spending point to the bloated U.S. industry as a big opportunity for savings.</w:t>
      </w:r>
      <w:r w:rsidRPr="009278EB">
        <w:rPr>
          <w:sz w:val="16"/>
        </w:rPr>
        <w:t xml:space="preserve"> We spend a lot more on health care than other countries do, largely because billions of dollars a year are being spent on the salaries of private insurance company workers and enriching their executives and shareholders. Cutting out those middlemen, as Medicare-for-all would, saves money, in part, by eliminating those jobs — about 1.8 million of them, according to a recent estimate. That sounds like a lot, but it’s less than one-tenth the typical number of layoffs in a single year, which added up to 21.8 million in 2018. It’s equivalent, in fact, to the number of layoffs in the finance and insurance sectors alone over the past four years, Bivens notes, demonstrating that millions of jobs can disappear from a single sector without causing much of a blip on the economic radar. “Our economy generates a huge amount of </w:t>
      </w:r>
      <w:r w:rsidRPr="00DD2D90">
        <w:rPr>
          <w:highlight w:val="green"/>
          <w:u w:val="single"/>
        </w:rPr>
        <w:t>job churn</w:t>
      </w:r>
      <w:r w:rsidRPr="009278EB">
        <w:rPr>
          <w:sz w:val="16"/>
        </w:rPr>
        <w:t xml:space="preserve"> every year,” he writes. “This churn </w:t>
      </w:r>
      <w:r w:rsidRPr="00DD2D90">
        <w:rPr>
          <w:highlight w:val="green"/>
          <w:u w:val="single"/>
        </w:rPr>
        <w:t xml:space="preserve">is the </w:t>
      </w:r>
      <w:r w:rsidRPr="00DD2D90">
        <w:rPr>
          <w:rStyle w:val="Emphasis"/>
          <w:highlight w:val="green"/>
        </w:rPr>
        <w:t>hallmark of growth</w:t>
      </w:r>
      <w:r w:rsidRPr="00DD2D90">
        <w:rPr>
          <w:highlight w:val="green"/>
          <w:u w:val="single"/>
        </w:rPr>
        <w:t xml:space="preserve"> in productivity</w:t>
      </w:r>
      <w:r w:rsidRPr="009278EB">
        <w:rPr>
          <w:sz w:val="16"/>
        </w:rPr>
        <w:t xml:space="preserve"> — getting more economic output with fewer inputs.” “Relative to the scale of other gross measures of job churn, the churn associated with M4A is not large,” Bivens adds. Counteracting those industry losses would be increased demand for jobs within the health care sector, due to millions of newly and adequately insured patients catching up on their care. Bivens notes many doctors and nurses, for instance, work in the insurance sector. Their jobs would probably translate fairly easily. Other health economists have long argued that maximizing insurance industry jobs and profits isn’t a great way to run a health-care system. “</w:t>
      </w:r>
      <w:r w:rsidRPr="00DD2D90">
        <w:rPr>
          <w:u w:val="single"/>
        </w:rPr>
        <w:t>Treating the health care system like a</w:t>
      </w:r>
      <w:r w:rsidRPr="009278EB">
        <w:rPr>
          <w:sz w:val="16"/>
        </w:rPr>
        <w:t xml:space="preserve"> (wildly inefficient) </w:t>
      </w:r>
      <w:r w:rsidRPr="00DD2D90">
        <w:rPr>
          <w:u w:val="single"/>
        </w:rPr>
        <w:t>jobs</w:t>
      </w:r>
      <w:r w:rsidRPr="009278EB">
        <w:rPr>
          <w:sz w:val="16"/>
        </w:rPr>
        <w:t xml:space="preserve"> </w:t>
      </w:r>
      <w:r w:rsidRPr="00DD2D90">
        <w:rPr>
          <w:u w:val="single"/>
        </w:rPr>
        <w:t>program conflicts directly with the goal of ensuring that all Americans have access to care at an affordable price</w:t>
      </w:r>
      <w:r w:rsidRPr="009278EB">
        <w:rPr>
          <w:sz w:val="16"/>
        </w:rPr>
        <w:t xml:space="preserve">,” economists Katherine Baicker and Amitabh Chandra wrote in a 2012 New England Journal of Medicine column. Beyond that, </w:t>
      </w:r>
      <w:r w:rsidRPr="00DD2D90">
        <w:rPr>
          <w:highlight w:val="green"/>
          <w:u w:val="single"/>
        </w:rPr>
        <w:t>Medicare-for-all would</w:t>
      </w:r>
      <w:r w:rsidRPr="009278EB">
        <w:rPr>
          <w:sz w:val="16"/>
        </w:rPr>
        <w:t xml:space="preserve"> directly </w:t>
      </w:r>
      <w:r w:rsidRPr="00DD2D90">
        <w:rPr>
          <w:u w:val="single"/>
        </w:rPr>
        <w:t>address</w:t>
      </w:r>
      <w:r w:rsidRPr="009278EB">
        <w:rPr>
          <w:sz w:val="16"/>
        </w:rPr>
        <w:t xml:space="preserve"> one of the most economically devastating aspects of losing a job today: the </w:t>
      </w:r>
      <w:r w:rsidRPr="00DD2D90">
        <w:rPr>
          <w:u w:val="single"/>
        </w:rPr>
        <w:t>loss of health insurance</w:t>
      </w:r>
      <w:r w:rsidRPr="009278EB">
        <w:rPr>
          <w:sz w:val="16"/>
        </w:rPr>
        <w:t xml:space="preserve">. “Fundamental health reform that, like M4A, </w:t>
      </w:r>
      <w:r w:rsidRPr="00DD2D90">
        <w:rPr>
          <w:highlight w:val="green"/>
          <w:u w:val="single"/>
        </w:rPr>
        <w:t>guarantees access to insurance regardless of one’s current job</w:t>
      </w:r>
      <w:r w:rsidRPr="009278EB">
        <w:rPr>
          <w:sz w:val="16"/>
        </w:rPr>
        <w:t xml:space="preserve"> status is </w:t>
      </w:r>
      <w:r w:rsidRPr="00DD2D90">
        <w:rPr>
          <w:highlight w:val="green"/>
          <w:u w:val="single"/>
        </w:rPr>
        <w:t>a key part of making [job] transitions easier,</w:t>
      </w:r>
      <w:r w:rsidRPr="009278EB">
        <w:rPr>
          <w:sz w:val="16"/>
        </w:rPr>
        <w:t xml:space="preserve">” Bivens writes. </w:t>
      </w:r>
      <w:r w:rsidRPr="00DD2D90">
        <w:rPr>
          <w:highlight w:val="green"/>
          <w:u w:val="single"/>
        </w:rPr>
        <w:t>Under the current system</w:t>
      </w:r>
      <w:r w:rsidRPr="009278EB">
        <w:rPr>
          <w:sz w:val="16"/>
        </w:rPr>
        <w:t xml:space="preserve">, in which health-care benefits are tied to specific jobs, many millions of </w:t>
      </w:r>
      <w:r w:rsidRPr="00DD2D90">
        <w:rPr>
          <w:highlight w:val="green"/>
          <w:u w:val="single"/>
        </w:rPr>
        <w:t xml:space="preserve">workers are discouraged from seeking jobs that better match their skills because they don’t want to lose the insurance their current job supplies. </w:t>
      </w:r>
      <w:r w:rsidRPr="009278EB">
        <w:rPr>
          <w:sz w:val="16"/>
        </w:rPr>
        <w:t>One 2015 estimate finds this “</w:t>
      </w:r>
      <w:r w:rsidRPr="00DD2D90">
        <w:rPr>
          <w:highlight w:val="green"/>
          <w:u w:val="single"/>
        </w:rPr>
        <w:t>job lock” reduces turnover among workers with</w:t>
      </w:r>
      <w:r w:rsidRPr="009278EB">
        <w:rPr>
          <w:sz w:val="16"/>
        </w:rPr>
        <w:t xml:space="preserve"> </w:t>
      </w:r>
      <w:r w:rsidRPr="00DD2D90">
        <w:rPr>
          <w:u w:val="single"/>
        </w:rPr>
        <w:t>employer-provided insurance</w:t>
      </w:r>
      <w:r w:rsidRPr="009278EB">
        <w:rPr>
          <w:sz w:val="16"/>
        </w:rPr>
        <w:t xml:space="preserve"> </w:t>
      </w:r>
      <w:r w:rsidRPr="00DD2D90">
        <w:rPr>
          <w:highlight w:val="green"/>
          <w:u w:val="single"/>
        </w:rPr>
        <w:t>by</w:t>
      </w:r>
      <w:r w:rsidRPr="009278EB">
        <w:rPr>
          <w:sz w:val="16"/>
        </w:rPr>
        <w:t xml:space="preserve"> 15 to </w:t>
      </w:r>
      <w:r w:rsidRPr="00DD2D90">
        <w:rPr>
          <w:rStyle w:val="Emphasis"/>
          <w:highlight w:val="green"/>
        </w:rPr>
        <w:t>25 percent</w:t>
      </w:r>
      <w:r w:rsidRPr="00DD2D90">
        <w:rPr>
          <w:highlight w:val="green"/>
          <w:u w:val="single"/>
        </w:rPr>
        <w:t>. This isn’t a good thing,</w:t>
      </w:r>
      <w:r w:rsidRPr="009278EB">
        <w:rPr>
          <w:sz w:val="16"/>
        </w:rPr>
        <w:t xml:space="preserve"> because</w:t>
      </w:r>
      <w:r w:rsidRPr="00DD2D90">
        <w:rPr>
          <w:highlight w:val="green"/>
          <w:u w:val="single"/>
        </w:rPr>
        <w:t xml:space="preserve"> in an optimal labor market people would be freer to pursue better jobs. </w:t>
      </w:r>
      <w:r w:rsidRPr="009278EB">
        <w:rPr>
          <w:sz w:val="16"/>
        </w:rPr>
        <w:t xml:space="preserve">Many conservative health experts agree that </w:t>
      </w:r>
      <w:r w:rsidRPr="00DD2D90">
        <w:rPr>
          <w:highlight w:val="green"/>
          <w:u w:val="single"/>
        </w:rPr>
        <w:t>“job lock” distorts the labor market.</w:t>
      </w:r>
      <w:r w:rsidRPr="009278EB">
        <w:rPr>
          <w:sz w:val="16"/>
        </w:rPr>
        <w:t xml:space="preserve"> But they offer different prescriptions for fixing it: The Cato Institute’s Michael D. Tanner, for instance, says the federal government should eliminate current tax incentives for employer-provided insurance and shift those credits toward individuals to make it easier for them to buy on the individual market. AD </w:t>
      </w:r>
      <w:r w:rsidRPr="00DD2D90">
        <w:rPr>
          <w:u w:val="single"/>
        </w:rPr>
        <w:t>Then there’s the issue of small business formation</w:t>
      </w:r>
      <w:r w:rsidRPr="009278EB">
        <w:rPr>
          <w:sz w:val="16"/>
        </w:rPr>
        <w:t>.</w:t>
      </w:r>
      <w:r w:rsidRPr="00DD2D90">
        <w:rPr>
          <w:highlight w:val="green"/>
          <w:u w:val="single"/>
        </w:rPr>
        <w:t xml:space="preserve"> The</w:t>
      </w:r>
      <w:r w:rsidRPr="00DD2D90">
        <w:rPr>
          <w:u w:val="single"/>
        </w:rPr>
        <w:t xml:space="preserve"> </w:t>
      </w:r>
      <w:r w:rsidRPr="00DD2D90">
        <w:rPr>
          <w:highlight w:val="green"/>
          <w:u w:val="single"/>
        </w:rPr>
        <w:t>U</w:t>
      </w:r>
      <w:r w:rsidRPr="00DD2D90">
        <w:rPr>
          <w:u w:val="single"/>
        </w:rPr>
        <w:t xml:space="preserve">nited </w:t>
      </w:r>
      <w:r w:rsidRPr="00DD2D90">
        <w:rPr>
          <w:highlight w:val="green"/>
          <w:u w:val="single"/>
        </w:rPr>
        <w:t>S</w:t>
      </w:r>
      <w:r w:rsidRPr="00DD2D90">
        <w:rPr>
          <w:u w:val="single"/>
        </w:rPr>
        <w:t xml:space="preserve">tates </w:t>
      </w:r>
      <w:r w:rsidRPr="00DD2D90">
        <w:rPr>
          <w:highlight w:val="green"/>
          <w:u w:val="single"/>
        </w:rPr>
        <w:t xml:space="preserve">has the </w:t>
      </w:r>
      <w:r w:rsidRPr="00DD2D90">
        <w:rPr>
          <w:rStyle w:val="Emphasis"/>
          <w:highlight w:val="green"/>
        </w:rPr>
        <w:t>lowest rate</w:t>
      </w:r>
      <w:r w:rsidRPr="00DD2D90">
        <w:rPr>
          <w:highlight w:val="green"/>
          <w:u w:val="single"/>
        </w:rPr>
        <w:t xml:space="preserve"> of self-employmen</w:t>
      </w:r>
      <w:r w:rsidRPr="009278EB">
        <w:rPr>
          <w:sz w:val="16"/>
        </w:rPr>
        <w:t xml:space="preserve">t — </w:t>
      </w:r>
      <w:r w:rsidRPr="00DD2D90">
        <w:rPr>
          <w:u w:val="single"/>
        </w:rPr>
        <w:t xml:space="preserve">roughly 6 percent </w:t>
      </w:r>
      <w:r w:rsidRPr="009278EB">
        <w:rPr>
          <w:sz w:val="16"/>
        </w:rPr>
        <w:t xml:space="preserve">— among the world’s wealthy democracies. In Canada, that number is 8 percent, while many </w:t>
      </w:r>
      <w:r w:rsidRPr="00DD2D90">
        <w:rPr>
          <w:u w:val="single"/>
        </w:rPr>
        <w:t>European countries exceed 10 percent</w:t>
      </w:r>
      <w:r w:rsidRPr="009278EB">
        <w:rPr>
          <w:sz w:val="16"/>
        </w:rPr>
        <w:t>. Similarly, the share of U.S. workers employed by a company with fewer than 50 employees is the lowest of the nearly three dozen Organization for Economic Cooperation and Development countries. Again,</w:t>
      </w:r>
      <w:r w:rsidRPr="00DD2D90">
        <w:rPr>
          <w:highlight w:val="green"/>
          <w:u w:val="single"/>
        </w:rPr>
        <w:t xml:space="preserve"> a big reason for this is the cost and difficulty of obtaining health insurance </w:t>
      </w:r>
      <w:r w:rsidRPr="009278EB">
        <w:rPr>
          <w:sz w:val="16"/>
        </w:rPr>
        <w:t>for people who aren’t employed by a large- or medium-size company. “</w:t>
      </w:r>
      <w:r w:rsidRPr="00DD2D90">
        <w:rPr>
          <w:u w:val="single"/>
        </w:rPr>
        <w:t>Because health care is nearly universally provided in other rich countries, workers choosing to start their own businesses in those countries do not face a cost confronting would-be entrepreneurs in the U.S.,</w:t>
      </w:r>
      <w:r w:rsidRPr="009278EB">
        <w:rPr>
          <w:sz w:val="16"/>
        </w:rPr>
        <w:t xml:space="preserve">” Bivens writes. On top of that, </w:t>
      </w:r>
      <w:r w:rsidRPr="00DD2D90">
        <w:rPr>
          <w:highlight w:val="green"/>
          <w:u w:val="single"/>
        </w:rPr>
        <w:t xml:space="preserve">U.S. health-care costs are </w:t>
      </w:r>
      <w:r w:rsidRPr="009278EB">
        <w:rPr>
          <w:sz w:val="16"/>
        </w:rPr>
        <w:t xml:space="preserve">so </w:t>
      </w:r>
      <w:r w:rsidRPr="00DD2D90">
        <w:rPr>
          <w:highlight w:val="green"/>
          <w:u w:val="single"/>
        </w:rPr>
        <w:t>prohibitive for small businesses</w:t>
      </w:r>
      <w:r w:rsidRPr="009278EB">
        <w:rPr>
          <w:sz w:val="16"/>
        </w:rPr>
        <w:t xml:space="preserve"> that those with fewer than 50 employees are exempt from the federal requirement to provide insurance. So while Medicare-for-all would undoubtedly be a challenge to implement, Bivens underscores that it could bring considerable economic opportunities as well. </w:t>
      </w:r>
    </w:p>
    <w:p w14:paraId="7FE0AB0A" w14:textId="77777777" w:rsidR="00EA6776" w:rsidRPr="009278EB" w:rsidRDefault="00EA6776">
      <w:pPr>
        <w:rPr>
          <w:rFonts w:eastAsiaTheme="majorEastAsia" w:cstheme="majorBidi"/>
          <w:b/>
          <w:iCs/>
          <w:sz w:val="16"/>
        </w:rPr>
      </w:pPr>
      <w:r w:rsidRPr="009278EB">
        <w:rPr>
          <w:sz w:val="16"/>
        </w:rPr>
        <w:br w:type="page"/>
      </w:r>
    </w:p>
    <w:p w14:paraId="7428AB74" w14:textId="1392C01C" w:rsidR="00222B1E" w:rsidRPr="009278EB" w:rsidRDefault="00222B1E" w:rsidP="00222B1E">
      <w:pPr>
        <w:pStyle w:val="Heading4"/>
        <w:rPr>
          <w:szCs w:val="26"/>
        </w:rPr>
      </w:pPr>
      <w:r w:rsidRPr="009278EB">
        <w:rPr>
          <w:szCs w:val="26"/>
        </w:rPr>
        <w:t>Job lock harms the economy</w:t>
      </w:r>
    </w:p>
    <w:p w14:paraId="57467B7F" w14:textId="77777777" w:rsidR="00222B1E" w:rsidRPr="00DD2D90" w:rsidRDefault="00222B1E" w:rsidP="00222B1E">
      <w:r w:rsidRPr="009278EB">
        <w:rPr>
          <w:b/>
          <w:bCs/>
          <w:sz w:val="26"/>
          <w:szCs w:val="26"/>
        </w:rPr>
        <w:t>Bailey et al. 23</w:t>
      </w:r>
      <w:r w:rsidRPr="00DD2D90">
        <w:rPr>
          <w:b/>
          <w:bCs/>
        </w:rPr>
        <w:t xml:space="preserve"> </w:t>
      </w:r>
      <w:r w:rsidRPr="00DD2D90">
        <w:t>[James Bailey, Economics Faculty at Providence College, Gregory Colman, Economics Faculty at Pace University and researcher at NBER and Dhaval Dave, researcher at the Institute of Labor Economics, 07-03-2022, “The Evolution of Job Lock in the U.S.: Evidence from the Affordable Care Act,” MDPI, https://www.mdpi.com/1911-8074/15/7/296]/Kankee</w:t>
      </w:r>
    </w:p>
    <w:p w14:paraId="45FCA8CE" w14:textId="77777777" w:rsidR="00222B1E" w:rsidRPr="009278EB" w:rsidRDefault="00222B1E" w:rsidP="00222B1E">
      <w:pPr>
        <w:rPr>
          <w:sz w:val="16"/>
        </w:rPr>
      </w:pPr>
      <w:r w:rsidRPr="009278EB">
        <w:rPr>
          <w:sz w:val="16"/>
        </w:rPr>
        <w:t xml:space="preserve">In fact, our point estimates suggest that job lock actually got stronger following the ACA. One possible explanation for our finding is that the ACA’s individual mandate made insurance even more desirable by fining the uninsured. Another possibility is that workers continue to value employer-provided health insurance more over time as premiums continue to rise. It is possible that our identification strategy, like that of much of the previous literature, is not estimating the causal effect of employer-provided health insurance on job mobility. Those with pre-existing conditions, or whose spouses have employer-provided health insurance, likely differ from others in ways we cannot fully control for, and which may also influence job mobility. It is further possible, though less likely, that these group differences changed around 2014 in ways that influence our evaluation of the ACA. However, our best attempt at estimating the causal effect of the ACA suggests it did not improve job mobility, and it is certainly clear in the raw data that </w:t>
      </w:r>
      <w:r w:rsidRPr="00DD2D90">
        <w:rPr>
          <w:rStyle w:val="StyleUnderline"/>
        </w:rPr>
        <w:t>job mobility remains much higher among workers without employer-provided health insurance compared to workers with employer-provided health insurance</w:t>
      </w:r>
      <w:r w:rsidRPr="009278EB">
        <w:rPr>
          <w:sz w:val="16"/>
        </w:rPr>
        <w:t xml:space="preserve">. How big a problem is this? Dey and Flinn (2005) argue that job lock is actually efficient in most cases, and that job mobility is lower for those with ESI because the insurance prevents them from getting so sick they lose their jobs. Gallagher et al. (2020) find similar productivity-increasing effects of health insurance using more recent data. However, </w:t>
      </w:r>
      <w:r w:rsidRPr="00DD2D90">
        <w:rPr>
          <w:rStyle w:val="StyleUnderline"/>
          <w:highlight w:val="green"/>
        </w:rPr>
        <w:t>the</w:t>
      </w:r>
      <w:r w:rsidRPr="009278EB">
        <w:rPr>
          <w:sz w:val="16"/>
        </w:rPr>
        <w:t xml:space="preserve"> general </w:t>
      </w:r>
      <w:r w:rsidRPr="00DD2D90">
        <w:rPr>
          <w:rStyle w:val="Emphasis"/>
          <w:highlight w:val="green"/>
        </w:rPr>
        <w:t>consensus</w:t>
      </w:r>
      <w:r w:rsidRPr="009278EB">
        <w:rPr>
          <w:sz w:val="16"/>
          <w:highlight w:val="green"/>
        </w:rPr>
        <w:t xml:space="preserve"> </w:t>
      </w:r>
      <w:r w:rsidRPr="00DD2D90">
        <w:rPr>
          <w:rStyle w:val="StyleUnderline"/>
          <w:highlight w:val="green"/>
        </w:rPr>
        <w:t>among economists</w:t>
      </w:r>
      <w:r w:rsidRPr="009278EB">
        <w:rPr>
          <w:sz w:val="16"/>
        </w:rPr>
        <w:t xml:space="preserve">, as well as proponents of the ACA, </w:t>
      </w:r>
      <w:r w:rsidRPr="00DD2D90">
        <w:rPr>
          <w:rStyle w:val="StyleUnderline"/>
          <w:highlight w:val="green"/>
        </w:rPr>
        <w:t>has been</w:t>
      </w:r>
      <w:r w:rsidRPr="009278EB">
        <w:rPr>
          <w:sz w:val="16"/>
        </w:rPr>
        <w:t xml:space="preserve"> that </w:t>
      </w:r>
      <w:r w:rsidRPr="00DD2D90">
        <w:rPr>
          <w:rStyle w:val="StyleUnderline"/>
          <w:highlight w:val="green"/>
        </w:rPr>
        <w:t>job lock is</w:t>
      </w:r>
      <w:r w:rsidRPr="009278EB">
        <w:rPr>
          <w:sz w:val="16"/>
          <w:highlight w:val="green"/>
        </w:rPr>
        <w:t xml:space="preserve"> </w:t>
      </w:r>
      <w:r w:rsidRPr="00DD2D90">
        <w:rPr>
          <w:rStyle w:val="Emphasis"/>
          <w:highlight w:val="green"/>
        </w:rPr>
        <w:t>inefficient</w:t>
      </w:r>
      <w:r w:rsidRPr="009278EB">
        <w:rPr>
          <w:sz w:val="16"/>
          <w:highlight w:val="green"/>
        </w:rPr>
        <w:t xml:space="preserve">, </w:t>
      </w:r>
      <w:r w:rsidRPr="00DD2D90">
        <w:rPr>
          <w:rStyle w:val="Emphasis"/>
          <w:highlight w:val="green"/>
        </w:rPr>
        <w:t>trapping</w:t>
      </w:r>
      <w:r w:rsidRPr="009278EB">
        <w:rPr>
          <w:sz w:val="16"/>
          <w:highlight w:val="green"/>
        </w:rPr>
        <w:t xml:space="preserve"> </w:t>
      </w:r>
      <w:r w:rsidRPr="00DD2D90">
        <w:rPr>
          <w:rStyle w:val="StyleUnderline"/>
          <w:highlight w:val="green"/>
        </w:rPr>
        <w:t>people in jobs they</w:t>
      </w:r>
      <w:r w:rsidRPr="00DD2D90">
        <w:rPr>
          <w:rStyle w:val="StyleUnderline"/>
        </w:rPr>
        <w:t xml:space="preserve"> otherwise </w:t>
      </w:r>
      <w:r w:rsidRPr="00DD2D90">
        <w:rPr>
          <w:rStyle w:val="StyleUnderline"/>
          <w:highlight w:val="green"/>
        </w:rPr>
        <w:t>do not like</w:t>
      </w:r>
      <w:r w:rsidRPr="00DD2D90">
        <w:rPr>
          <w:rStyle w:val="StyleUnderline"/>
        </w:rPr>
        <w:t xml:space="preserve">, </w:t>
      </w:r>
      <w:r w:rsidRPr="00DD2D90">
        <w:rPr>
          <w:rStyle w:val="StyleUnderline"/>
          <w:highlight w:val="green"/>
        </w:rPr>
        <w:t>and</w:t>
      </w:r>
      <w:r w:rsidRPr="00DD2D90">
        <w:rPr>
          <w:rStyle w:val="StyleUnderline"/>
        </w:rPr>
        <w:t xml:space="preserve"> perhaps </w:t>
      </w:r>
      <w:r w:rsidRPr="00DD2D90">
        <w:rPr>
          <w:rStyle w:val="StyleUnderline"/>
          <w:highlight w:val="green"/>
        </w:rPr>
        <w:t>keeping them from finding the job where they could be most</w:t>
      </w:r>
      <w:r w:rsidRPr="00DD2D90">
        <w:rPr>
          <w:rStyle w:val="StyleUnderline"/>
        </w:rPr>
        <w:t xml:space="preserve"> </w:t>
      </w:r>
      <w:r w:rsidRPr="00DD2D90">
        <w:rPr>
          <w:rStyle w:val="StyleUnderline"/>
          <w:highlight w:val="green"/>
        </w:rPr>
        <w:t>productive and contribute the most</w:t>
      </w:r>
      <w:r w:rsidRPr="00DD2D90">
        <w:rPr>
          <w:rStyle w:val="StyleUnderline"/>
        </w:rPr>
        <w:t xml:space="preserve"> </w:t>
      </w:r>
      <w:r w:rsidRPr="009278EB">
        <w:rPr>
          <w:sz w:val="16"/>
        </w:rPr>
        <w:t xml:space="preserve">to society. To the extent that job lock is inefficient, our results suggest that </w:t>
      </w:r>
      <w:r w:rsidRPr="00DD2D90">
        <w:rPr>
          <w:rStyle w:val="StyleUnderline"/>
        </w:rPr>
        <w:t xml:space="preserve">the magnitude of the problem is </w:t>
      </w:r>
      <w:r w:rsidRPr="00DD2D90">
        <w:rPr>
          <w:rStyle w:val="Emphasis"/>
        </w:rPr>
        <w:t>large</w:t>
      </w:r>
      <w:r w:rsidRPr="009278EB">
        <w:rPr>
          <w:sz w:val="16"/>
        </w:rPr>
        <w:t xml:space="preserve">, and that it has not been alleviated by the ACA. We show that job lock is still here, and so if policymakers think it is a problem, further action would be needed to address it. </w:t>
      </w:r>
    </w:p>
    <w:p w14:paraId="7029F27C" w14:textId="77777777" w:rsidR="00EA6776" w:rsidRPr="009278EB" w:rsidRDefault="00EA6776">
      <w:pPr>
        <w:rPr>
          <w:rFonts w:eastAsiaTheme="majorEastAsia" w:cstheme="majorBidi"/>
          <w:b/>
          <w:iCs/>
          <w:sz w:val="16"/>
        </w:rPr>
      </w:pPr>
      <w:r w:rsidRPr="009278EB">
        <w:rPr>
          <w:sz w:val="16"/>
        </w:rPr>
        <w:br w:type="page"/>
      </w:r>
    </w:p>
    <w:p w14:paraId="5DD35B88" w14:textId="690E99AA" w:rsidR="007822FA" w:rsidRPr="009278EB" w:rsidRDefault="007822FA" w:rsidP="007822FA">
      <w:pPr>
        <w:pStyle w:val="Heading4"/>
        <w:rPr>
          <w:szCs w:val="26"/>
        </w:rPr>
      </w:pPr>
      <w:r w:rsidRPr="009278EB">
        <w:rPr>
          <w:szCs w:val="26"/>
        </w:rPr>
        <w:t>Government provision encourages self-employment and the gig economy</w:t>
      </w:r>
    </w:p>
    <w:p w14:paraId="106B550A" w14:textId="77777777" w:rsidR="007822FA" w:rsidRPr="00DD2D90" w:rsidRDefault="007822FA" w:rsidP="007822FA">
      <w:r w:rsidRPr="009278EB">
        <w:rPr>
          <w:b/>
          <w:bCs/>
          <w:sz w:val="26"/>
          <w:szCs w:val="26"/>
        </w:rPr>
        <w:t>Onwuka 25</w:t>
      </w:r>
      <w:r w:rsidRPr="00DD2D90">
        <w:t xml:space="preserve"> [Patrice Onwuka, director of the Center for Economic Opportunity at Independent Women, 11-24-2025, "An innovative approach to expanding health coverage is gaining steam", Washington Post, https://www.washingtonpost.com/opinions/2025/11/24/portable-health-care-coverage-freelance-workers/]/Kankee</w:t>
      </w:r>
    </w:p>
    <w:p w14:paraId="00AA11F1" w14:textId="77777777" w:rsidR="007822FA" w:rsidRPr="009278EB" w:rsidRDefault="007822FA" w:rsidP="007822FA">
      <w:pPr>
        <w:rPr>
          <w:sz w:val="16"/>
        </w:rPr>
      </w:pPr>
      <w:r w:rsidRPr="009278EB">
        <w:rPr>
          <w:sz w:val="16"/>
        </w:rPr>
        <w:t xml:space="preserve">Health care — and the affordability of insurance — was front and center in the shutdown debate. But even as the government reopens, both parties will still confront the challenge of expanding affordable health care coverage to more Americans. For innovative, bipartisan solutions, federal policymakers can look to the states. </w:t>
      </w:r>
      <w:r w:rsidRPr="00DD2D90">
        <w:rPr>
          <w:rStyle w:val="StyleUnderline"/>
        </w:rPr>
        <w:t xml:space="preserve">Private </w:t>
      </w:r>
      <w:r w:rsidRPr="00DD2D90">
        <w:rPr>
          <w:rStyle w:val="StyleUnderline"/>
          <w:highlight w:val="green"/>
        </w:rPr>
        <w:t>employer</w:t>
      </w:r>
      <w:r w:rsidRPr="00DD2D90">
        <w:rPr>
          <w:rStyle w:val="StyleUnderline"/>
        </w:rPr>
        <w:t xml:space="preserve">-provided </w:t>
      </w:r>
      <w:r w:rsidRPr="00DD2D90">
        <w:rPr>
          <w:rStyle w:val="StyleUnderline"/>
          <w:highlight w:val="green"/>
        </w:rPr>
        <w:t>health care is</w:t>
      </w:r>
      <w:r w:rsidRPr="00DD2D90">
        <w:rPr>
          <w:rStyle w:val="StyleUnderline"/>
        </w:rPr>
        <w:t xml:space="preserve"> the </w:t>
      </w:r>
      <w:r w:rsidRPr="00DD2D90">
        <w:rPr>
          <w:rStyle w:val="StyleUnderline"/>
          <w:highlight w:val="green"/>
        </w:rPr>
        <w:t>leading</w:t>
      </w:r>
      <w:r w:rsidRPr="00DD2D90">
        <w:rPr>
          <w:rStyle w:val="StyleUnderline"/>
        </w:rPr>
        <w:t xml:space="preserve"> source of health insurance for the U.S. population</w:t>
      </w:r>
      <w:r w:rsidRPr="009278EB">
        <w:rPr>
          <w:sz w:val="16"/>
        </w:rPr>
        <w:t xml:space="preserve"> (covering 53.7 percent) and is predominant among working-age adults (62.9 percent). Despite public efforts and the private market, 27 million Americans — 8.2 percent of the population — were uninsured in 2024, with working-age adults constituting the largest share. </w:t>
      </w:r>
      <w:r w:rsidRPr="00DD2D90">
        <w:rPr>
          <w:rStyle w:val="StyleUnderline"/>
        </w:rPr>
        <w:t xml:space="preserve">Among </w:t>
      </w:r>
      <w:r w:rsidRPr="00DD2D90">
        <w:rPr>
          <w:rStyle w:val="StyleUnderline"/>
          <w:highlight w:val="green"/>
        </w:rPr>
        <w:t>the uninsured</w:t>
      </w:r>
      <w:r w:rsidRPr="00DD2D90">
        <w:rPr>
          <w:rStyle w:val="StyleUnderline"/>
        </w:rPr>
        <w:t xml:space="preserve"> is a growing segment of the American workforce </w:t>
      </w:r>
      <w:r w:rsidRPr="00DD2D90">
        <w:rPr>
          <w:rStyle w:val="StyleUnderline"/>
          <w:highlight w:val="green"/>
        </w:rPr>
        <w:t>for</w:t>
      </w:r>
      <w:r w:rsidRPr="00DD2D90">
        <w:rPr>
          <w:rStyle w:val="StyleUnderline"/>
        </w:rPr>
        <w:t xml:space="preserve"> whom employer-based benefits are not an option: </w:t>
      </w:r>
      <w:r w:rsidRPr="00DD2D90">
        <w:rPr>
          <w:rStyle w:val="StyleUnderline"/>
          <w:highlight w:val="green"/>
        </w:rPr>
        <w:t>freelancers</w:t>
      </w:r>
      <w:r w:rsidRPr="009278EB">
        <w:rPr>
          <w:sz w:val="16"/>
        </w:rPr>
        <w:t xml:space="preserve">. Self-employment and freelancing enjoy a long tradition in the United States, reflecting the nation’s entrepreneurial spirit. From seasoned professionals to Gen Z influencers to gig workers, an estimated 73 million people freelanced in 2025. Unlike traditional employees, independent contractors set their own schedules, work from anywhere and choose their clients. </w:t>
      </w:r>
      <w:r w:rsidRPr="00DD2D90">
        <w:rPr>
          <w:rStyle w:val="StyleUnderline"/>
          <w:highlight w:val="green"/>
        </w:rPr>
        <w:t xml:space="preserve">Flexibility is their </w:t>
      </w:r>
      <w:r w:rsidRPr="00DD2D90">
        <w:rPr>
          <w:rStyle w:val="Emphasis"/>
          <w:highlight w:val="green"/>
        </w:rPr>
        <w:t>motivator</w:t>
      </w:r>
      <w:r w:rsidRPr="00DD2D90">
        <w:rPr>
          <w:rStyle w:val="StyleUnderline"/>
        </w:rPr>
        <w:t>.</w:t>
      </w:r>
      <w:r w:rsidRPr="009278EB">
        <w:rPr>
          <w:sz w:val="16"/>
        </w:rPr>
        <w:t xml:space="preserve"> </w:t>
      </w:r>
      <w:r w:rsidRPr="00DD2D90">
        <w:rPr>
          <w:rStyle w:val="StyleUnderline"/>
        </w:rPr>
        <w:t>Women are particularly attracted to independent contracting because they can balance caregiving for children and aging parents, or managing health conditions, with gainful work</w:t>
      </w:r>
      <w:r w:rsidRPr="009278EB">
        <w:rPr>
          <w:sz w:val="16"/>
        </w:rPr>
        <w:t xml:space="preserve">. </w:t>
      </w:r>
      <w:r w:rsidRPr="00DD2D90">
        <w:rPr>
          <w:rStyle w:val="StyleUnderline"/>
        </w:rPr>
        <w:t xml:space="preserve">More </w:t>
      </w:r>
      <w:r w:rsidRPr="00DD2D90">
        <w:rPr>
          <w:rStyle w:val="Emphasis"/>
        </w:rPr>
        <w:t>than 80 percent</w:t>
      </w:r>
      <w:r w:rsidRPr="00DD2D90">
        <w:rPr>
          <w:rStyle w:val="StyleUnderline"/>
        </w:rPr>
        <w:t xml:space="preserve"> of independent contractors prefer their work arrangement to traditional W-2 employment</w:t>
      </w:r>
      <w:r w:rsidRPr="009278EB">
        <w:rPr>
          <w:sz w:val="16"/>
        </w:rPr>
        <w:t xml:space="preserve">, according to government data. The great majority of independent workers are earning supplemental (not primary) income. Many of them have access to benefits, such as health care, through a spouse’s coverage or their W-2 jobs. Still, </w:t>
      </w:r>
      <w:r w:rsidRPr="00DD2D90">
        <w:rPr>
          <w:rStyle w:val="Emphasis"/>
        </w:rPr>
        <w:t>29 million</w:t>
      </w:r>
      <w:r w:rsidRPr="00DD2D90">
        <w:rPr>
          <w:rStyle w:val="StyleUnderline"/>
        </w:rPr>
        <w:t xml:space="preserve"> self-employed workers</w:t>
      </w:r>
      <w:r w:rsidRPr="009278EB">
        <w:rPr>
          <w:sz w:val="16"/>
        </w:rPr>
        <w:t xml:space="preserve"> who also had traditional jobs in 2019 </w:t>
      </w:r>
      <w:r w:rsidRPr="00DD2D90">
        <w:rPr>
          <w:rStyle w:val="StyleUnderline"/>
        </w:rPr>
        <w:t>said they lacked health insurance through their employer</w:t>
      </w:r>
      <w:r w:rsidRPr="009278EB">
        <w:rPr>
          <w:sz w:val="16"/>
        </w:rPr>
        <w:t xml:space="preserve">. </w:t>
      </w:r>
      <w:r w:rsidRPr="00DD2D90">
        <w:rPr>
          <w:rStyle w:val="StyleUnderline"/>
        </w:rPr>
        <w:t>Access to quality preventive, emergency, curative and rehabilitative care provides individuals with a sense of security to carry on their day-to-day lives and peace of mind in a crisis</w:t>
      </w:r>
      <w:r w:rsidRPr="009278EB">
        <w:rPr>
          <w:sz w:val="16"/>
        </w:rPr>
        <w:t xml:space="preserve">. Even for traditional employees, </w:t>
      </w:r>
      <w:r w:rsidRPr="00DD2D90">
        <w:rPr>
          <w:rStyle w:val="StyleUnderline"/>
          <w:highlight w:val="green"/>
        </w:rPr>
        <w:t>the prospect of losing</w:t>
      </w:r>
      <w:r w:rsidRPr="00DD2D90">
        <w:rPr>
          <w:rStyle w:val="StyleUnderline"/>
        </w:rPr>
        <w:t xml:space="preserve"> access to uninterrupted </w:t>
      </w:r>
      <w:r w:rsidRPr="00DD2D90">
        <w:rPr>
          <w:rStyle w:val="StyleUnderline"/>
          <w:highlight w:val="green"/>
        </w:rPr>
        <w:t xml:space="preserve">care </w:t>
      </w:r>
      <w:r w:rsidRPr="00DD2D90">
        <w:rPr>
          <w:rStyle w:val="Emphasis"/>
          <w:highlight w:val="green"/>
        </w:rPr>
        <w:t>locks</w:t>
      </w:r>
      <w:r w:rsidRPr="00DD2D90">
        <w:rPr>
          <w:rStyle w:val="StyleUnderline"/>
          <w:highlight w:val="green"/>
        </w:rPr>
        <w:t xml:space="preserve"> them to an employer</w:t>
      </w:r>
      <w:r w:rsidRPr="009278EB">
        <w:rPr>
          <w:sz w:val="16"/>
          <w:highlight w:val="green"/>
        </w:rPr>
        <w:t xml:space="preserve"> </w:t>
      </w:r>
      <w:r w:rsidRPr="00DD2D90">
        <w:rPr>
          <w:rStyle w:val="StyleUnderline"/>
          <w:highlight w:val="green"/>
        </w:rPr>
        <w:t>and</w:t>
      </w:r>
      <w:r w:rsidRPr="009278EB">
        <w:rPr>
          <w:sz w:val="16"/>
        </w:rPr>
        <w:t xml:space="preserve">, according to one study, </w:t>
      </w:r>
      <w:r w:rsidRPr="00DD2D90">
        <w:rPr>
          <w:rStyle w:val="StyleUnderline"/>
          <w:highlight w:val="green"/>
        </w:rPr>
        <w:t xml:space="preserve">discourages </w:t>
      </w:r>
      <w:r w:rsidRPr="00DD2D90">
        <w:rPr>
          <w:rStyle w:val="Emphasis"/>
          <w:highlight w:val="green"/>
        </w:rPr>
        <w:t>20 percent</w:t>
      </w:r>
      <w:r w:rsidRPr="00DD2D90">
        <w:rPr>
          <w:rStyle w:val="StyleUnderline"/>
          <w:highlight w:val="green"/>
        </w:rPr>
        <w:t xml:space="preserve"> of would-be entrepreneurs from launching a business</w:t>
      </w:r>
      <w:r w:rsidRPr="009278EB">
        <w:rPr>
          <w:sz w:val="16"/>
        </w:rPr>
        <w:t xml:space="preserve">. Public </w:t>
      </w:r>
      <w:r w:rsidRPr="00DD2D90">
        <w:rPr>
          <w:rStyle w:val="StyleUnderline"/>
        </w:rPr>
        <w:t>policymakers</w:t>
      </w:r>
      <w:r w:rsidRPr="009278EB">
        <w:rPr>
          <w:sz w:val="16"/>
        </w:rPr>
        <w:t xml:space="preserve"> on the state level have </w:t>
      </w:r>
      <w:r w:rsidRPr="00DD2D90">
        <w:rPr>
          <w:rStyle w:val="StyleUnderline"/>
        </w:rPr>
        <w:t>sought</w:t>
      </w:r>
      <w:r w:rsidRPr="009278EB">
        <w:rPr>
          <w:sz w:val="16"/>
        </w:rPr>
        <w:t xml:space="preserve"> varied solutions to expand benefit options to independent workers. One misguided approach has been </w:t>
      </w:r>
      <w:r w:rsidRPr="00DD2D90">
        <w:rPr>
          <w:rStyle w:val="StyleUnderline"/>
        </w:rPr>
        <w:t>to reclassify independent contractors as employees</w:t>
      </w:r>
      <w:r w:rsidRPr="009278EB">
        <w:rPr>
          <w:sz w:val="16"/>
        </w:rPr>
        <w:t xml:space="preserve"> of their clients, to expand their access to mandated workplace benefits. When that route is taken, </w:t>
      </w:r>
      <w:r w:rsidRPr="00DD2D90">
        <w:rPr>
          <w:rStyle w:val="StyleUnderline"/>
        </w:rPr>
        <w:t>freelancers lose their ability to work independently</w:t>
      </w:r>
      <w:r w:rsidRPr="009278EB">
        <w:rPr>
          <w:sz w:val="16"/>
        </w:rPr>
        <w:t xml:space="preserve"> around their schedules and priorities, </w:t>
      </w:r>
      <w:r w:rsidRPr="00DD2D90">
        <w:rPr>
          <w:rStyle w:val="StyleUnderline"/>
        </w:rPr>
        <w:t>which</w:t>
      </w:r>
      <w:r w:rsidRPr="009278EB">
        <w:rPr>
          <w:sz w:val="16"/>
        </w:rPr>
        <w:t xml:space="preserve"> negates the reason they prefer to be independent contractors and, in some cases, </w:t>
      </w:r>
      <w:r w:rsidRPr="00DD2D90">
        <w:rPr>
          <w:rStyle w:val="StyleUnderline"/>
        </w:rPr>
        <w:t>disregards</w:t>
      </w:r>
      <w:r w:rsidRPr="009278EB">
        <w:rPr>
          <w:sz w:val="16"/>
        </w:rPr>
        <w:t xml:space="preserve"> the unique </w:t>
      </w:r>
      <w:r w:rsidRPr="00DD2D90">
        <w:rPr>
          <w:rStyle w:val="StyleUnderline"/>
        </w:rPr>
        <w:t>circumstances that make traditional employment impossible for them</w:t>
      </w:r>
      <w:r w:rsidRPr="009278EB">
        <w:rPr>
          <w:sz w:val="16"/>
        </w:rPr>
        <w:t xml:space="preserve">. </w:t>
      </w:r>
      <w:r w:rsidRPr="00DD2D90">
        <w:rPr>
          <w:rStyle w:val="StyleUnderline"/>
        </w:rPr>
        <w:t>Flexible opportunities</w:t>
      </w:r>
      <w:r w:rsidRPr="009278EB">
        <w:rPr>
          <w:sz w:val="16"/>
        </w:rPr>
        <w:t xml:space="preserve"> that </w:t>
      </w:r>
      <w:r w:rsidRPr="00DD2D90">
        <w:rPr>
          <w:rStyle w:val="StyleUnderline"/>
        </w:rPr>
        <w:t>keep groups such as mothers and older Americans attached to the labor force</w:t>
      </w:r>
      <w:r w:rsidRPr="009278EB">
        <w:rPr>
          <w:sz w:val="16"/>
        </w:rPr>
        <w:t xml:space="preserve"> disappear. </w:t>
      </w:r>
      <w:r w:rsidRPr="00DD2D90">
        <w:rPr>
          <w:rStyle w:val="StyleUnderline"/>
        </w:rPr>
        <w:t>California adopted more stringent standards for independent contracting</w:t>
      </w:r>
      <w:r w:rsidRPr="009278EB">
        <w:rPr>
          <w:sz w:val="16"/>
        </w:rPr>
        <w:t xml:space="preserve"> to woeful results. After the 2019 passage of Assembly Bill 5, which tightened restrictions on company use of freelancers, </w:t>
      </w:r>
      <w:r w:rsidRPr="00DD2D90">
        <w:rPr>
          <w:rStyle w:val="StyleUnderline"/>
        </w:rPr>
        <w:t>self-employment fell by 10.5 percent and overall employment in affected occupations fell by 4.4 percent</w:t>
      </w:r>
      <w:r w:rsidRPr="009278EB">
        <w:rPr>
          <w:sz w:val="16"/>
        </w:rPr>
        <w:t xml:space="preserve">, according to research by the Mercatus Center. </w:t>
      </w:r>
      <w:r w:rsidRPr="00DD2D90">
        <w:rPr>
          <w:rStyle w:val="StyleUnderline"/>
        </w:rPr>
        <w:t>Businesses</w:t>
      </w:r>
      <w:r w:rsidRPr="009278EB">
        <w:rPr>
          <w:sz w:val="16"/>
        </w:rPr>
        <w:t xml:space="preserve"> </w:t>
      </w:r>
      <w:r w:rsidRPr="00DD2D90">
        <w:rPr>
          <w:rStyle w:val="StyleUnderline"/>
        </w:rPr>
        <w:t>were</w:t>
      </w:r>
      <w:r w:rsidRPr="009278EB">
        <w:rPr>
          <w:sz w:val="16"/>
        </w:rPr>
        <w:t xml:space="preserve"> naively </w:t>
      </w:r>
      <w:r w:rsidRPr="00DD2D90">
        <w:rPr>
          <w:rStyle w:val="StyleUnderline"/>
        </w:rPr>
        <w:t>expected to eat the estimated</w:t>
      </w:r>
      <w:r w:rsidRPr="009278EB">
        <w:rPr>
          <w:sz w:val="16"/>
        </w:rPr>
        <w:t xml:space="preserve"> 20 to </w:t>
      </w:r>
      <w:r w:rsidRPr="00DD2D90">
        <w:rPr>
          <w:rStyle w:val="Emphasis"/>
        </w:rPr>
        <w:t xml:space="preserve">30 percent </w:t>
      </w:r>
      <w:r w:rsidRPr="00DD2D90">
        <w:rPr>
          <w:rStyle w:val="StyleUnderline"/>
        </w:rPr>
        <w:t>increase in labor costs</w:t>
      </w:r>
      <w:r w:rsidRPr="009278EB">
        <w:rPr>
          <w:sz w:val="16"/>
        </w:rPr>
        <w:t xml:space="preserve">. Instead, they eliminated their freelance workforce. Vox Media, for example, hailed the labor law’s passage before cutting about 200 freelance writers. </w:t>
      </w:r>
      <w:r w:rsidRPr="00DD2D90">
        <w:rPr>
          <w:rStyle w:val="StyleUnderline"/>
        </w:rPr>
        <w:t xml:space="preserve">Women were marginalized and watched their livelihoods </w:t>
      </w:r>
      <w:r w:rsidRPr="00DD2D90">
        <w:rPr>
          <w:rStyle w:val="Emphasis"/>
        </w:rPr>
        <w:t>destroyed</w:t>
      </w:r>
      <w:r w:rsidRPr="00DD2D90">
        <w:rPr>
          <w:rStyle w:val="StyleUnderline"/>
        </w:rPr>
        <w:t xml:space="preserve">, and workers in </w:t>
      </w:r>
      <w:r w:rsidRPr="00DD2D90">
        <w:rPr>
          <w:rStyle w:val="Emphasis"/>
        </w:rPr>
        <w:t>hundreds</w:t>
      </w:r>
      <w:r w:rsidRPr="00DD2D90">
        <w:rPr>
          <w:rStyle w:val="StyleUnderline"/>
        </w:rPr>
        <w:t xml:space="preserve"> of occupations</w:t>
      </w:r>
      <w:r w:rsidRPr="009278EB">
        <w:rPr>
          <w:sz w:val="16"/>
        </w:rPr>
        <w:t xml:space="preserve">, from truck drivers to tutors, were roiled. Jessica Tucker of Loma Linda, California, once earned $60 an hour as a freelance transcriber, a job that provided extra grocery, clothing and spending money. “AB5 took this away completely, and my family has been struggling to put food on the table ever since,” she told Independent Women. An alternative approach — one that respects individual liberty without imposing new financial burdens on businesses or taxpayers — is gaining steam in both red and blue states. The strategy: </w:t>
      </w:r>
      <w:r w:rsidRPr="00DD2D90">
        <w:rPr>
          <w:rStyle w:val="StyleUnderline"/>
        </w:rPr>
        <w:t>untether benefits such as health care</w:t>
      </w:r>
      <w:r w:rsidRPr="009278EB">
        <w:rPr>
          <w:sz w:val="16"/>
        </w:rPr>
        <w:t xml:space="preserve">, disability and retirement </w:t>
      </w:r>
      <w:r w:rsidRPr="00DD2D90">
        <w:rPr>
          <w:rStyle w:val="StyleUnderline"/>
        </w:rPr>
        <w:t>from one employer</w:t>
      </w:r>
      <w:r w:rsidRPr="009278EB">
        <w:rPr>
          <w:sz w:val="16"/>
        </w:rPr>
        <w:t xml:space="preserve"> or job </w:t>
      </w:r>
      <w:r w:rsidRPr="00DD2D90">
        <w:rPr>
          <w:rStyle w:val="StyleUnderline"/>
        </w:rPr>
        <w:t xml:space="preserve">by embracing </w:t>
      </w:r>
      <w:r w:rsidRPr="00DD2D90">
        <w:rPr>
          <w:rStyle w:val="Emphasis"/>
          <w:highlight w:val="green"/>
        </w:rPr>
        <w:t>portable benefits</w:t>
      </w:r>
      <w:r w:rsidRPr="009278EB">
        <w:rPr>
          <w:sz w:val="16"/>
        </w:rPr>
        <w:t xml:space="preserve">. </w:t>
      </w:r>
      <w:r w:rsidRPr="00DD2D90">
        <w:rPr>
          <w:rStyle w:val="StyleUnderline"/>
        </w:rPr>
        <w:t>Portable benefit</w:t>
      </w:r>
      <w:r w:rsidRPr="009278EB">
        <w:rPr>
          <w:sz w:val="16"/>
        </w:rPr>
        <w:t xml:space="preserve"> plans travel with workers and </w:t>
      </w:r>
      <w:r w:rsidRPr="00DD2D90">
        <w:rPr>
          <w:rStyle w:val="StyleUnderline"/>
          <w:highlight w:val="green"/>
        </w:rPr>
        <w:t>allow independent contractors to access</w:t>
      </w:r>
      <w:r w:rsidRPr="00DD2D90">
        <w:rPr>
          <w:rStyle w:val="StyleUnderline"/>
        </w:rPr>
        <w:t xml:space="preserve"> a variety of </w:t>
      </w:r>
      <w:r w:rsidRPr="00DD2D90">
        <w:rPr>
          <w:rStyle w:val="StyleUnderline"/>
          <w:highlight w:val="green"/>
        </w:rPr>
        <w:t>benefits without losing their independent</w:t>
      </w:r>
      <w:r w:rsidRPr="009278EB">
        <w:rPr>
          <w:sz w:val="16"/>
          <w:highlight w:val="green"/>
        </w:rPr>
        <w:t xml:space="preserve"> </w:t>
      </w:r>
      <w:r w:rsidRPr="00DD2D90">
        <w:rPr>
          <w:rStyle w:val="StyleUnderline"/>
          <w:highlight w:val="green"/>
        </w:rPr>
        <w:t>status</w:t>
      </w:r>
      <w:r w:rsidRPr="009278EB">
        <w:rPr>
          <w:sz w:val="16"/>
        </w:rPr>
        <w:t xml:space="preserve">. Organizations, companies or individuals can pay contributions into individual benefits accounts, which can be administered by states or third-party companies. The state’s role is to knock down the legal and regulatory barriers to portable benefits. At present, state (and federal) law prohibits companies from offering benefits to independent contractors. Policymakers can create safe harbors in the law for entities to contribute to portable benefit plans without signaling an employer-employee relationship, an outcome neither independent workers nor their clients desire. </w:t>
      </w:r>
      <w:r w:rsidRPr="00DD2D90">
        <w:rPr>
          <w:rStyle w:val="StyleUnderline"/>
        </w:rPr>
        <w:t xml:space="preserve">The idea of </w:t>
      </w:r>
      <w:r w:rsidRPr="00DD2D90">
        <w:rPr>
          <w:rStyle w:val="StyleUnderline"/>
          <w:highlight w:val="green"/>
        </w:rPr>
        <w:t xml:space="preserve">portable benefits is </w:t>
      </w:r>
      <w:r w:rsidRPr="00DD2D90">
        <w:rPr>
          <w:rStyle w:val="Emphasis"/>
          <w:highlight w:val="green"/>
        </w:rPr>
        <w:t>widely popular</w:t>
      </w:r>
      <w:r w:rsidRPr="00DD2D90">
        <w:rPr>
          <w:rStyle w:val="StyleUnderline"/>
          <w:highlight w:val="green"/>
        </w:rPr>
        <w:t xml:space="preserve"> among self-employed workers</w:t>
      </w:r>
      <w:r w:rsidRPr="009278EB">
        <w:rPr>
          <w:sz w:val="16"/>
        </w:rPr>
        <w:t xml:space="preserve">, who recognize its game-changing possibilities. In 2023, Utah pioneered portable benefits in the U.S. by establishing a framework for government and private entities to voluntarily offer flexible benefits to independent contractors. This year, Alabama, Tennessee and Wisconsin passed similar laws (although Wisconsin’s was subsequently vetoed by the governor). A successful pilot program in Pennsylvania with delivery company DoorDash, in which two-thirds of participants gained access to benefits, inspired programs in Georgia and Maryland. Notably, </w:t>
      </w:r>
      <w:r w:rsidRPr="00DD2D90">
        <w:rPr>
          <w:rStyle w:val="Emphasis"/>
        </w:rPr>
        <w:t>82 percent</w:t>
      </w:r>
      <w:r w:rsidRPr="009278EB">
        <w:rPr>
          <w:sz w:val="16"/>
        </w:rPr>
        <w:t xml:space="preserve"> </w:t>
      </w:r>
      <w:r w:rsidRPr="00DD2D90">
        <w:rPr>
          <w:rStyle w:val="StyleUnderline"/>
        </w:rPr>
        <w:t>of Pennsylvania</w:t>
      </w:r>
      <w:r w:rsidRPr="009278EB">
        <w:rPr>
          <w:sz w:val="16"/>
        </w:rPr>
        <w:t xml:space="preserve"> program </w:t>
      </w:r>
      <w:r w:rsidRPr="00DD2D90">
        <w:rPr>
          <w:rStyle w:val="StyleUnderline"/>
          <w:highlight w:val="green"/>
        </w:rPr>
        <w:t>participants</w:t>
      </w:r>
      <w:r w:rsidRPr="009278EB">
        <w:rPr>
          <w:sz w:val="16"/>
          <w:highlight w:val="green"/>
        </w:rPr>
        <w:t xml:space="preserve"> </w:t>
      </w:r>
      <w:r w:rsidRPr="00DD2D90">
        <w:rPr>
          <w:rStyle w:val="StyleUnderline"/>
          <w:highlight w:val="green"/>
        </w:rPr>
        <w:t>preferred</w:t>
      </w:r>
      <w:r w:rsidRPr="009278EB">
        <w:rPr>
          <w:sz w:val="16"/>
        </w:rPr>
        <w:t xml:space="preserve"> their balance of </w:t>
      </w:r>
      <w:r w:rsidRPr="00DD2D90">
        <w:rPr>
          <w:rStyle w:val="StyleUnderline"/>
          <w:highlight w:val="green"/>
        </w:rPr>
        <w:t>flexibility</w:t>
      </w:r>
      <w:r w:rsidRPr="009278EB">
        <w:rPr>
          <w:sz w:val="16"/>
        </w:rPr>
        <w:t xml:space="preserve"> </w:t>
      </w:r>
      <w:r w:rsidRPr="00DD2D90">
        <w:rPr>
          <w:rStyle w:val="StyleUnderline"/>
        </w:rPr>
        <w:t>and portable benefits</w:t>
      </w:r>
      <w:r w:rsidRPr="009278EB">
        <w:rPr>
          <w:sz w:val="16"/>
        </w:rPr>
        <w:t xml:space="preserve"> savings </w:t>
      </w:r>
      <w:r w:rsidRPr="00DD2D90">
        <w:rPr>
          <w:rStyle w:val="StyleUnderline"/>
          <w:highlight w:val="green"/>
        </w:rPr>
        <w:t>to</w:t>
      </w:r>
      <w:r w:rsidRPr="00DD2D90">
        <w:rPr>
          <w:rStyle w:val="StyleUnderline"/>
        </w:rPr>
        <w:t xml:space="preserve"> the alternative of </w:t>
      </w:r>
      <w:r w:rsidRPr="00DD2D90">
        <w:rPr>
          <w:rStyle w:val="StyleUnderline"/>
          <w:highlight w:val="green"/>
        </w:rPr>
        <w:t>more generous benefits</w:t>
      </w:r>
      <w:r w:rsidRPr="00DD2D90">
        <w:rPr>
          <w:rStyle w:val="StyleUnderline"/>
        </w:rPr>
        <w:t xml:space="preserve"> but less flexibility</w:t>
      </w:r>
      <w:r w:rsidRPr="009278EB">
        <w:rPr>
          <w:sz w:val="16"/>
        </w:rPr>
        <w:t>. Hopefully, more states will pursue portable benefits legislation for their self-employed workforce or other pilot programs in 2026 and beyond. Meanwhile, U.S. House and Senate committees are considering portable benefits bills that can align federal law with state efforts. Lawmakers should lean into the portable program to unlock health care and other benefits the growing freelancer community desires without curbing flexibility and freedom. This is a solution that meets the moment. We should seize it.</w:t>
      </w:r>
    </w:p>
    <w:p w14:paraId="3AEABBB9" w14:textId="77777777" w:rsidR="00EA6776" w:rsidRPr="009278EB" w:rsidRDefault="00EA6776">
      <w:pPr>
        <w:rPr>
          <w:rFonts w:eastAsiaTheme="majorEastAsia" w:cstheme="majorBidi"/>
          <w:b/>
          <w:iCs/>
          <w:sz w:val="16"/>
        </w:rPr>
      </w:pPr>
      <w:r w:rsidRPr="009278EB">
        <w:rPr>
          <w:sz w:val="16"/>
        </w:rPr>
        <w:br w:type="page"/>
      </w:r>
    </w:p>
    <w:p w14:paraId="4ED900E1" w14:textId="14487630" w:rsidR="009C702C" w:rsidRPr="009278EB" w:rsidRDefault="009C702C" w:rsidP="009C702C">
      <w:pPr>
        <w:pStyle w:val="Heading4"/>
        <w:rPr>
          <w:szCs w:val="26"/>
        </w:rPr>
      </w:pPr>
      <w:r w:rsidRPr="009278EB">
        <w:rPr>
          <w:szCs w:val="26"/>
        </w:rPr>
        <w:t xml:space="preserve">Universal reproductive care encourages </w:t>
      </w:r>
      <w:proofErr w:type="gramStart"/>
      <w:r w:rsidRPr="009278EB">
        <w:rPr>
          <w:szCs w:val="26"/>
        </w:rPr>
        <w:t>child birth</w:t>
      </w:r>
      <w:proofErr w:type="gramEnd"/>
    </w:p>
    <w:p w14:paraId="760388BC" w14:textId="77777777" w:rsidR="009C702C" w:rsidRPr="00DD2D90" w:rsidRDefault="009C702C" w:rsidP="009C702C">
      <w:r w:rsidRPr="009278EB">
        <w:rPr>
          <w:b/>
          <w:bCs/>
          <w:sz w:val="26"/>
          <w:szCs w:val="26"/>
        </w:rPr>
        <w:t>Bruenig 23</w:t>
      </w:r>
      <w:r w:rsidRPr="00DD2D90">
        <w:t xml:space="preserve"> [Matt Bruenig, policy analysist with a BA from the University of Oklahoma and a JD from Boston University, 01-19-2023, "It Would Be Easy to Provide Universal Pregnancy Coverage", People's Policy Project, https://www.peoplespolicyproject.org/2023/01/19/it-would-be-easy-to-provide-universal-pregnancy-coverage/]/Kankee</w:t>
      </w:r>
    </w:p>
    <w:p w14:paraId="00A17BB4" w14:textId="77777777" w:rsidR="009C702C" w:rsidRPr="009278EB" w:rsidRDefault="009C702C" w:rsidP="009C702C">
      <w:pPr>
        <w:rPr>
          <w:sz w:val="16"/>
        </w:rPr>
      </w:pPr>
      <w:r w:rsidRPr="009278EB">
        <w:rPr>
          <w:sz w:val="16"/>
        </w:rPr>
        <w:t xml:space="preserve">Last year, Elizabeth Bruenig wrote a piece at The Atlantic arguing that </w:t>
      </w:r>
      <w:r w:rsidRPr="00DD2D90">
        <w:rPr>
          <w:rStyle w:val="StyleUnderline"/>
          <w:highlight w:val="green"/>
        </w:rPr>
        <w:t>policymakers should make birth free</w:t>
      </w:r>
      <w:r w:rsidRPr="009278EB">
        <w:rPr>
          <w:sz w:val="16"/>
        </w:rPr>
        <w:t xml:space="preserve">. This call was picked up by a couple of pro-life organizations yesterday and managed to attract the attention of at least one Senator. In our current health care system, </w:t>
      </w:r>
      <w:r w:rsidRPr="00DD2D90">
        <w:rPr>
          <w:rStyle w:val="StyleUnderline"/>
        </w:rPr>
        <w:t>pregnancy and delivery come</w:t>
      </w:r>
      <w:r w:rsidRPr="009278EB">
        <w:rPr>
          <w:sz w:val="16"/>
        </w:rPr>
        <w:t xml:space="preserve"> </w:t>
      </w:r>
      <w:r w:rsidRPr="00DD2D90">
        <w:rPr>
          <w:rStyle w:val="StyleUnderline"/>
        </w:rPr>
        <w:t>with</w:t>
      </w:r>
      <w:r w:rsidRPr="009278EB">
        <w:rPr>
          <w:sz w:val="16"/>
        </w:rPr>
        <w:t xml:space="preserve"> quite </w:t>
      </w:r>
      <w:r w:rsidRPr="00DD2D90">
        <w:rPr>
          <w:rStyle w:val="StyleUnderline"/>
        </w:rPr>
        <w:t>high out-of-pocket expenses</w:t>
      </w:r>
      <w:r w:rsidRPr="009278EB">
        <w:rPr>
          <w:sz w:val="16"/>
        </w:rPr>
        <w:t xml:space="preserve">. </w:t>
      </w:r>
      <w:r w:rsidRPr="00DD2D90">
        <w:rPr>
          <w:rStyle w:val="StyleUnderline"/>
        </w:rPr>
        <w:t xml:space="preserve">The average privately insured person pays </w:t>
      </w:r>
      <w:r w:rsidRPr="00DD2D90">
        <w:rPr>
          <w:rStyle w:val="Emphasis"/>
        </w:rPr>
        <w:t>$2,854</w:t>
      </w:r>
      <w:r w:rsidRPr="009278EB">
        <w:rPr>
          <w:sz w:val="16"/>
        </w:rPr>
        <w:t xml:space="preserve"> to give birth. </w:t>
      </w:r>
      <w:r w:rsidRPr="00DD2D90">
        <w:rPr>
          <w:rStyle w:val="StyleUnderline"/>
          <w:highlight w:val="green"/>
        </w:rPr>
        <w:t xml:space="preserve">One in six new parents pays over </w:t>
      </w:r>
      <w:r w:rsidRPr="00DD2D90">
        <w:rPr>
          <w:rStyle w:val="Emphasis"/>
          <w:highlight w:val="green"/>
        </w:rPr>
        <w:t>$5,000</w:t>
      </w:r>
      <w:r w:rsidRPr="009278EB">
        <w:rPr>
          <w:sz w:val="16"/>
        </w:rPr>
        <w:t xml:space="preserve">. Creating </w:t>
      </w:r>
      <w:r w:rsidRPr="00DD2D90">
        <w:rPr>
          <w:rStyle w:val="StyleUnderline"/>
          <w:highlight w:val="green"/>
        </w:rPr>
        <w:t>a system</w:t>
      </w:r>
      <w:r w:rsidRPr="00DD2D90">
        <w:rPr>
          <w:rStyle w:val="StyleUnderline"/>
        </w:rPr>
        <w:t xml:space="preserve"> that takes this amount of money from people</w:t>
      </w:r>
      <w:r w:rsidRPr="009278EB">
        <w:rPr>
          <w:sz w:val="16"/>
        </w:rPr>
        <w:t xml:space="preserve"> right as they embark upon the already expensive task of caring for an infant is a mind-boggling decision unless your goal </w:t>
      </w:r>
      <w:r w:rsidRPr="00DD2D90">
        <w:rPr>
          <w:rStyle w:val="StyleUnderline"/>
        </w:rPr>
        <w:t xml:space="preserve">is to </w:t>
      </w:r>
      <w:r w:rsidRPr="00DD2D90">
        <w:rPr>
          <w:rStyle w:val="Emphasis"/>
          <w:highlight w:val="green"/>
        </w:rPr>
        <w:t>disincentivize</w:t>
      </w:r>
      <w:r w:rsidRPr="00DD2D90">
        <w:rPr>
          <w:rStyle w:val="StyleUnderline"/>
          <w:highlight w:val="green"/>
        </w:rPr>
        <w:t xml:space="preserve"> having children</w:t>
      </w:r>
      <w:r w:rsidRPr="00DD2D90">
        <w:rPr>
          <w:rStyle w:val="StyleUnderline"/>
        </w:rPr>
        <w:t xml:space="preserve">. </w:t>
      </w:r>
      <w:r w:rsidRPr="009278EB">
        <w:rPr>
          <w:sz w:val="16"/>
        </w:rPr>
        <w:t xml:space="preserve">So far, people who have written about making childbirth free have mostly focused on the rationales for doing so. These rationales span various ideological perspectives, including conservative natalist perspectives, liberal perspectives concerning women’s equality, and leftist perspectives about the importance of free universal health care. In theory, these kinds of overlapping rationales could provide fertile ground for policymaking. In practice, such overlap often ends up causing anger because people don’t just want their policy preferences enacted. They also want their political opponents to be unhappy about it. Whatever one’s preferred rationale, the underlying policy idea would be very easy to pull off. For starters, the public sector already has extensive experience administering insurance benefits for pregnancy and childbirth. Medicaid currently pays for 42 percent of births. Even Medicare currently pays for some births each year. So the basic mechanics of running this kind of program have already been worked out. There is also already a model for creating a condition-specific benefit inside the Medicare program. Since 1973, Medicare has operated the End-Stage Renal Disease (ESRD) program, which covers dialysis and other treatment for people with kidney failure who would not normally be eligible for the Medicare program. Shortly after the ESRD program was passed, there were even efforts to create similar Medicare benefits for hemophilia and other kinds of catastrophic ailments. It would be easy enough to create a Medicare Pregnancy Program, modeled off the ESRD program, that covered all of the costs of pregnancy and childbirth for every American. The fiscal cost of such a program would be modest and </w:t>
      </w:r>
      <w:r w:rsidRPr="00DD2D90">
        <w:rPr>
          <w:rStyle w:val="StyleUnderline"/>
        </w:rPr>
        <w:t>the net cost</w:t>
      </w:r>
      <w:r w:rsidRPr="009278EB">
        <w:rPr>
          <w:sz w:val="16"/>
        </w:rPr>
        <w:t xml:space="preserve"> of the program in terms of national health spending </w:t>
      </w:r>
      <w:r w:rsidRPr="00DD2D90">
        <w:rPr>
          <w:rStyle w:val="StyleUnderline"/>
        </w:rPr>
        <w:t>would</w:t>
      </w:r>
      <w:r w:rsidRPr="009278EB">
        <w:rPr>
          <w:sz w:val="16"/>
        </w:rPr>
        <w:t xml:space="preserve"> probably </w:t>
      </w:r>
      <w:r w:rsidRPr="00DD2D90">
        <w:rPr>
          <w:rStyle w:val="StyleUnderline"/>
        </w:rPr>
        <w:t>be zero or slightly negative</w:t>
      </w:r>
      <w:r w:rsidRPr="009278EB">
        <w:rPr>
          <w:sz w:val="16"/>
        </w:rPr>
        <w:t xml:space="preserve">. According to the Peterson-KFF Health System Tracker, the all-in cost for pregnancy and childbirth for a privately-insured individual is around $19,906. If we very liberally used that number as the all-in cost for the new Medicare Pregnancy Program and multiply it by 3.6 million annual births, we get a headline cost of $73 billion per year. This could be financed entirely by increasing both sides of Medicare payroll tax by 0.5 percentage points or, as is my preference, by increasing just the employer side of the Medicare payroll tax by 1 percentage point. </w:t>
      </w:r>
      <w:r w:rsidRPr="00DD2D90">
        <w:rPr>
          <w:rStyle w:val="StyleUnderline"/>
        </w:rPr>
        <w:t>This</w:t>
      </w:r>
      <w:r w:rsidRPr="009278EB">
        <w:rPr>
          <w:sz w:val="16"/>
        </w:rPr>
        <w:t xml:space="preserve"> approximately $73 billion </w:t>
      </w:r>
      <w:r w:rsidRPr="00DD2D90">
        <w:rPr>
          <w:rStyle w:val="StyleUnderline"/>
        </w:rPr>
        <w:t>would not be new spending</w:t>
      </w:r>
      <w:r w:rsidRPr="009278EB">
        <w:rPr>
          <w:sz w:val="16"/>
        </w:rPr>
        <w:t xml:space="preserve">. Rather, </w:t>
      </w:r>
      <w:r w:rsidRPr="00DD2D90">
        <w:rPr>
          <w:rStyle w:val="StyleUnderline"/>
        </w:rPr>
        <w:t>it would replace spending that is already being done by states, private insurers, and individuals through out-of-pocket expenses</w:t>
      </w:r>
      <w:r w:rsidRPr="009278EB">
        <w:rPr>
          <w:sz w:val="16"/>
        </w:rPr>
        <w:t xml:space="preserve">. </w:t>
      </w:r>
      <w:r w:rsidRPr="00DD2D90">
        <w:rPr>
          <w:rStyle w:val="StyleUnderline"/>
        </w:rPr>
        <w:t xml:space="preserve">By replacing Medicaid’s pregnancy coverage, the </w:t>
      </w:r>
      <w:r w:rsidRPr="00DD2D90">
        <w:rPr>
          <w:rStyle w:val="StyleUnderline"/>
          <w:highlight w:val="green"/>
        </w:rPr>
        <w:t>Medicare Pregnancy</w:t>
      </w:r>
      <w:r w:rsidRPr="00DD2D90">
        <w:rPr>
          <w:rStyle w:val="StyleUnderline"/>
        </w:rPr>
        <w:t xml:space="preserve"> Program </w:t>
      </w:r>
      <w:r w:rsidRPr="00DD2D90">
        <w:rPr>
          <w:rStyle w:val="StyleUnderline"/>
          <w:highlight w:val="green"/>
        </w:rPr>
        <w:t xml:space="preserve">would result in </w:t>
      </w:r>
      <w:r w:rsidRPr="00DD2D90">
        <w:rPr>
          <w:rStyle w:val="Emphasis"/>
          <w:highlight w:val="green"/>
        </w:rPr>
        <w:t>tens of billions</w:t>
      </w:r>
      <w:r w:rsidRPr="00DD2D90">
        <w:rPr>
          <w:rStyle w:val="StyleUnderline"/>
          <w:highlight w:val="green"/>
        </w:rPr>
        <w:t xml:space="preserve"> of dollars of annual savings </w:t>
      </w:r>
      <w:r w:rsidRPr="00DD2D90">
        <w:rPr>
          <w:rStyle w:val="StyleUnderline"/>
        </w:rPr>
        <w:t>to state governments</w:t>
      </w:r>
      <w:r w:rsidRPr="009278EB">
        <w:rPr>
          <w:sz w:val="16"/>
        </w:rPr>
        <w:t xml:space="preserve"> that those states could use to cut taxes or provide other government services. By (mostly if not entirely) replacing private insurance coverage of pregnancy and childbirth, </w:t>
      </w:r>
      <w:r w:rsidRPr="00DD2D90">
        <w:rPr>
          <w:rStyle w:val="StyleUnderline"/>
        </w:rPr>
        <w:t>the Medicare Pregnancy Program would</w:t>
      </w:r>
      <w:r w:rsidRPr="009278EB">
        <w:rPr>
          <w:sz w:val="16"/>
        </w:rPr>
        <w:t xml:space="preserve"> also </w:t>
      </w:r>
      <w:r w:rsidRPr="00DD2D90">
        <w:rPr>
          <w:rStyle w:val="StyleUnderline"/>
        </w:rPr>
        <w:t xml:space="preserve">reduce private insurer outlays by </w:t>
      </w:r>
      <w:r w:rsidRPr="00DD2D90">
        <w:rPr>
          <w:rStyle w:val="Emphasis"/>
        </w:rPr>
        <w:t>tens of billions</w:t>
      </w:r>
      <w:r w:rsidRPr="00DD2D90">
        <w:rPr>
          <w:rStyle w:val="StyleUnderline"/>
        </w:rPr>
        <w:t xml:space="preserve"> of dollars per yea</w:t>
      </w:r>
      <w:r w:rsidRPr="009278EB">
        <w:rPr>
          <w:sz w:val="16"/>
        </w:rPr>
        <w:t xml:space="preserve">r. Due to the medical loss ratio rule, </w:t>
      </w:r>
      <w:r w:rsidRPr="00DD2D90">
        <w:rPr>
          <w:rStyle w:val="StyleUnderline"/>
        </w:rPr>
        <w:t xml:space="preserve">117 to </w:t>
      </w:r>
      <w:r w:rsidRPr="00DD2D90">
        <w:rPr>
          <w:rStyle w:val="Emphasis"/>
          <w:highlight w:val="green"/>
        </w:rPr>
        <w:t>125 percent</w:t>
      </w:r>
      <w:r w:rsidRPr="00DD2D90">
        <w:rPr>
          <w:rStyle w:val="StyleUnderline"/>
          <w:highlight w:val="green"/>
        </w:rPr>
        <w:t xml:space="preserve"> of these private insurance savings would filter back to employers and individuals in the form of reduced premiums</w:t>
      </w:r>
      <w:r w:rsidRPr="009278EB">
        <w:rPr>
          <w:sz w:val="16"/>
        </w:rPr>
        <w:t xml:space="preserve">, partially </w:t>
      </w:r>
      <w:r w:rsidRPr="00DD2D90">
        <w:rPr>
          <w:rStyle w:val="StyleUnderline"/>
        </w:rPr>
        <w:t>offsetting the Medicare payroll tax bump</w:t>
      </w:r>
      <w:r w:rsidRPr="009278EB">
        <w:rPr>
          <w:sz w:val="16"/>
        </w:rPr>
        <w:t xml:space="preserve"> discussed in the last paragraph. This kind of program would be vastly superior to alternative reform ideas in this area, especially ideas that try to make pregnancy and childbirth coverage play nicely with employer-sponsored insurance (ESI). The </w:t>
      </w:r>
      <w:r w:rsidRPr="00DD2D90">
        <w:rPr>
          <w:rStyle w:val="StyleUnderline"/>
          <w:highlight w:val="green"/>
        </w:rPr>
        <w:t>ESI</w:t>
      </w:r>
      <w:r w:rsidRPr="009278EB">
        <w:rPr>
          <w:sz w:val="16"/>
        </w:rPr>
        <w:t xml:space="preserve"> system </w:t>
      </w:r>
      <w:r w:rsidRPr="00DD2D90">
        <w:rPr>
          <w:rStyle w:val="StyleUnderline"/>
          <w:highlight w:val="green"/>
        </w:rPr>
        <w:t>is</w:t>
      </w:r>
      <w:r w:rsidRPr="00DD2D90">
        <w:rPr>
          <w:rStyle w:val="StyleUnderline"/>
        </w:rPr>
        <w:t xml:space="preserve"> uniquely </w:t>
      </w:r>
      <w:r w:rsidRPr="00DD2D90">
        <w:rPr>
          <w:rStyle w:val="StyleUnderline"/>
          <w:highlight w:val="green"/>
        </w:rPr>
        <w:t>ill-suited for</w:t>
      </w:r>
      <w:r w:rsidRPr="00DD2D90">
        <w:rPr>
          <w:rStyle w:val="StyleUnderline"/>
        </w:rPr>
        <w:t xml:space="preserve"> covering pregnancy and </w:t>
      </w:r>
      <w:r w:rsidRPr="00DD2D90">
        <w:rPr>
          <w:rStyle w:val="StyleUnderline"/>
          <w:highlight w:val="green"/>
        </w:rPr>
        <w:t>childbirth</w:t>
      </w:r>
      <w:r w:rsidRPr="00DD2D90">
        <w:rPr>
          <w:rStyle w:val="StyleUnderline"/>
        </w:rPr>
        <w:t xml:space="preserve"> precisely </w:t>
      </w:r>
      <w:r w:rsidRPr="00DD2D90">
        <w:rPr>
          <w:rStyle w:val="StyleUnderline"/>
          <w:highlight w:val="green"/>
        </w:rPr>
        <w:t>because</w:t>
      </w:r>
      <w:r w:rsidRPr="00DD2D90">
        <w:rPr>
          <w:rStyle w:val="StyleUnderline"/>
        </w:rPr>
        <w:t xml:space="preserve"> </w:t>
      </w:r>
      <w:r w:rsidRPr="00DD2D90">
        <w:rPr>
          <w:rStyle w:val="StyleUnderline"/>
          <w:highlight w:val="green"/>
        </w:rPr>
        <w:t>those events</w:t>
      </w:r>
      <w:r w:rsidRPr="00DD2D90">
        <w:rPr>
          <w:rStyle w:val="StyleUnderline"/>
        </w:rPr>
        <w:t xml:space="preserve"> often </w:t>
      </w:r>
      <w:r w:rsidRPr="00DD2D90">
        <w:rPr>
          <w:rStyle w:val="Emphasis"/>
          <w:highlight w:val="green"/>
        </w:rPr>
        <w:t>coincide</w:t>
      </w:r>
      <w:r w:rsidRPr="00DD2D90">
        <w:rPr>
          <w:rStyle w:val="StyleUnderline"/>
          <w:highlight w:val="green"/>
        </w:rPr>
        <w:t xml:space="preserve"> with dislocations from work</w:t>
      </w:r>
      <w:r w:rsidRPr="009278EB">
        <w:rPr>
          <w:sz w:val="16"/>
        </w:rPr>
        <w:t xml:space="preserve">. </w:t>
      </w:r>
      <w:r w:rsidRPr="00DD2D90">
        <w:rPr>
          <w:rStyle w:val="StyleUnderline"/>
          <w:highlight w:val="green"/>
        </w:rPr>
        <w:t>People</w:t>
      </w:r>
      <w:r w:rsidRPr="00DD2D90">
        <w:rPr>
          <w:rStyle w:val="StyleUnderline"/>
        </w:rPr>
        <w:t xml:space="preserve"> with difficult pregnancies or other complicating health factors</w:t>
      </w:r>
      <w:r w:rsidRPr="009278EB">
        <w:rPr>
          <w:sz w:val="16"/>
        </w:rPr>
        <w:t xml:space="preserve"> frequently have to </w:t>
      </w:r>
      <w:r w:rsidRPr="00DD2D90">
        <w:rPr>
          <w:rStyle w:val="StyleUnderline"/>
          <w:highlight w:val="green"/>
        </w:rPr>
        <w:t>leave</w:t>
      </w:r>
      <w:r w:rsidRPr="009278EB">
        <w:rPr>
          <w:sz w:val="16"/>
          <w:highlight w:val="green"/>
        </w:rPr>
        <w:t xml:space="preserve"> </w:t>
      </w:r>
      <w:r w:rsidRPr="00DD2D90">
        <w:rPr>
          <w:rStyle w:val="StyleUnderline"/>
          <w:highlight w:val="green"/>
        </w:rPr>
        <w:t>work</w:t>
      </w:r>
      <w:r w:rsidRPr="009278EB">
        <w:rPr>
          <w:sz w:val="16"/>
          <w:highlight w:val="green"/>
        </w:rPr>
        <w:t xml:space="preserve"> </w:t>
      </w:r>
      <w:r w:rsidRPr="00DD2D90">
        <w:rPr>
          <w:rStyle w:val="Emphasis"/>
          <w:highlight w:val="green"/>
        </w:rPr>
        <w:t>months</w:t>
      </w:r>
      <w:r w:rsidRPr="009278EB">
        <w:rPr>
          <w:sz w:val="16"/>
          <w:highlight w:val="green"/>
        </w:rPr>
        <w:t xml:space="preserve"> </w:t>
      </w:r>
      <w:r w:rsidRPr="00DD2D90">
        <w:rPr>
          <w:rStyle w:val="StyleUnderline"/>
          <w:highlight w:val="green"/>
        </w:rPr>
        <w:t xml:space="preserve">ahead of </w:t>
      </w:r>
      <w:r w:rsidRPr="00DD2D90">
        <w:rPr>
          <w:rStyle w:val="StyleUnderline"/>
        </w:rPr>
        <w:t xml:space="preserve">their scheduled </w:t>
      </w:r>
      <w:r w:rsidRPr="00DD2D90">
        <w:rPr>
          <w:rStyle w:val="StyleUnderline"/>
          <w:highlight w:val="green"/>
        </w:rPr>
        <w:t xml:space="preserve">childbirth </w:t>
      </w:r>
      <w:r w:rsidRPr="00DD2D90">
        <w:rPr>
          <w:rStyle w:val="StyleUnderline"/>
        </w:rPr>
        <w:t>date</w:t>
      </w:r>
      <w:r w:rsidRPr="009278EB">
        <w:rPr>
          <w:sz w:val="16"/>
        </w:rPr>
        <w:t xml:space="preserve">. After birth, </w:t>
      </w:r>
      <w:r w:rsidRPr="00DD2D90">
        <w:rPr>
          <w:rStyle w:val="StyleUnderline"/>
        </w:rPr>
        <w:t>many leave work for</w:t>
      </w:r>
      <w:r w:rsidRPr="009278EB">
        <w:rPr>
          <w:sz w:val="16"/>
        </w:rPr>
        <w:t xml:space="preserve"> months or </w:t>
      </w:r>
      <w:r w:rsidRPr="00DD2D90">
        <w:rPr>
          <w:rStyle w:val="StyleUnderline"/>
        </w:rPr>
        <w:t>years to take care of their children</w:t>
      </w:r>
      <w:r w:rsidRPr="009278EB">
        <w:rPr>
          <w:sz w:val="16"/>
        </w:rPr>
        <w:t xml:space="preserve">. Even some </w:t>
      </w:r>
      <w:r w:rsidRPr="00DD2D90">
        <w:rPr>
          <w:rStyle w:val="StyleUnderline"/>
          <w:highlight w:val="green"/>
        </w:rPr>
        <w:t>people</w:t>
      </w:r>
      <w:r w:rsidRPr="009278EB">
        <w:rPr>
          <w:sz w:val="16"/>
        </w:rPr>
        <w:t xml:space="preserve"> who do everything they can to hang on to their ESI will still </w:t>
      </w:r>
      <w:r w:rsidRPr="00DD2D90">
        <w:rPr>
          <w:rStyle w:val="StyleUnderline"/>
          <w:highlight w:val="green"/>
        </w:rPr>
        <w:t>wind up losing</w:t>
      </w:r>
      <w:r w:rsidRPr="00DD2D90">
        <w:rPr>
          <w:rStyle w:val="StyleUnderline"/>
        </w:rPr>
        <w:t xml:space="preserve"> it right around birth </w:t>
      </w:r>
      <w:r w:rsidRPr="00DD2D90">
        <w:rPr>
          <w:rStyle w:val="StyleUnderline"/>
          <w:highlight w:val="green"/>
        </w:rPr>
        <w:t>due to an unluckily timed layoff or pregnancy discrimination</w:t>
      </w:r>
      <w:r w:rsidRPr="00DD2D90">
        <w:rPr>
          <w:rStyle w:val="StyleUnderline"/>
        </w:rPr>
        <w:t xml:space="preserve">. </w:t>
      </w:r>
      <w:r w:rsidRPr="009278EB">
        <w:rPr>
          <w:sz w:val="16"/>
        </w:rPr>
        <w:t xml:space="preserve">Needless to say, it is unlikely that the Medicare Pregnancy Program described above, or anything similar to it, will be passed any time soon. But it’s important to remember that this is not because of any technical challenges related to setting up such a thing. </w:t>
      </w:r>
      <w:r w:rsidRPr="00DD2D90">
        <w:rPr>
          <w:rStyle w:val="StyleUnderline"/>
        </w:rPr>
        <w:t xml:space="preserve">Making childbirth free is </w:t>
      </w:r>
      <w:r w:rsidRPr="00DD2D90">
        <w:rPr>
          <w:rStyle w:val="Emphasis"/>
        </w:rPr>
        <w:t>very easy</w:t>
      </w:r>
      <w:r w:rsidRPr="00DD2D90">
        <w:rPr>
          <w:rStyle w:val="StyleUnderline"/>
        </w:rPr>
        <w:t xml:space="preserve"> to do</w:t>
      </w:r>
      <w:r w:rsidRPr="009278EB">
        <w:rPr>
          <w:sz w:val="16"/>
        </w:rPr>
        <w:t>. Lawmakers just don’t want to.</w:t>
      </w:r>
    </w:p>
    <w:p w14:paraId="4E134EFA" w14:textId="4C3FF53D" w:rsidR="009C702C" w:rsidRPr="009278EB" w:rsidRDefault="00D54208" w:rsidP="009C702C">
      <w:pPr>
        <w:pStyle w:val="Heading4"/>
        <w:rPr>
          <w:szCs w:val="26"/>
        </w:rPr>
      </w:pPr>
      <w:r w:rsidRPr="009278EB">
        <w:rPr>
          <w:szCs w:val="26"/>
        </w:rPr>
        <w:t>Government provision increases c</w:t>
      </w:r>
      <w:r w:rsidR="009C702C" w:rsidRPr="009278EB">
        <w:rPr>
          <w:szCs w:val="26"/>
        </w:rPr>
        <w:t>ertainty</w:t>
      </w:r>
      <w:r w:rsidRPr="009278EB">
        <w:rPr>
          <w:szCs w:val="26"/>
        </w:rPr>
        <w:t xml:space="preserve"> and predictability, allowing better pregnancy planning</w:t>
      </w:r>
    </w:p>
    <w:p w14:paraId="55C9BB91" w14:textId="77777777" w:rsidR="009C702C" w:rsidRPr="00DD2D90" w:rsidRDefault="009C702C" w:rsidP="009C702C">
      <w:r w:rsidRPr="009278EB">
        <w:rPr>
          <w:b/>
          <w:bCs/>
          <w:sz w:val="26"/>
          <w:szCs w:val="26"/>
        </w:rPr>
        <w:t>Mansell 25</w:t>
      </w:r>
      <w:r w:rsidRPr="00DD2D90">
        <w:t xml:space="preserve"> [Lawson Mansell, health policy analyst at the Niskanen Center with a Master of Public Policy from Pepperdine University School of Public Policy and a Bachelor of Arts in political science </w:t>
      </w:r>
      <w:proofErr w:type="gramStart"/>
      <w:r w:rsidRPr="00DD2D90">
        <w:t>from</w:t>
      </w:r>
      <w:proofErr w:type="gramEnd"/>
      <w:r w:rsidRPr="00DD2D90">
        <w:t xml:space="preserve"> Thomas Edison State University, 5-21-2025, "New bipartisan proposal would remove childbirth costs and confusion for parents", Niskanen Center, https://www.niskanencenter.org/new-bipartisan-proposal-would-remove-childbirth-costs-and-confusion-for-parents/]/Kankee</w:t>
      </w:r>
    </w:p>
    <w:p w14:paraId="372D7A73" w14:textId="77777777" w:rsidR="009C702C" w:rsidRPr="009278EB" w:rsidRDefault="009C702C" w:rsidP="009C702C">
      <w:pPr>
        <w:rPr>
          <w:sz w:val="16"/>
        </w:rPr>
      </w:pPr>
      <w:r w:rsidRPr="009278EB">
        <w:rPr>
          <w:sz w:val="16"/>
        </w:rPr>
        <w:t xml:space="preserve">This week, Senators Cindy Hyde-Smith (R-MS), Tim Kaine (D-VA), Josh Hawley (R-MO), and Kristen Gillibrand (D-NY) introduced the Supporting Healthy Moms and Babies Act, a bill that would make childbirth effectively free for families covered by private health insurance. The </w:t>
      </w:r>
      <w:r w:rsidRPr="00DD2D90">
        <w:rPr>
          <w:rStyle w:val="StyleUnderline"/>
        </w:rPr>
        <w:t>legislation designates prenatal, birth, and postpartum care as essential health benefits</w:t>
      </w:r>
      <w:r w:rsidRPr="009278EB">
        <w:rPr>
          <w:sz w:val="16"/>
        </w:rPr>
        <w:t xml:space="preserve"> (EHBs) </w:t>
      </w:r>
      <w:r w:rsidRPr="00DD2D90">
        <w:rPr>
          <w:rStyle w:val="StyleUnderline"/>
        </w:rPr>
        <w:t>and eliminates cost-sharing</w:t>
      </w:r>
      <w:r w:rsidRPr="009278EB">
        <w:rPr>
          <w:sz w:val="16"/>
        </w:rPr>
        <w:t xml:space="preserve"> from these services. </w:t>
      </w:r>
      <w:r w:rsidRPr="00DD2D90">
        <w:rPr>
          <w:rStyle w:val="StyleUnderline"/>
          <w:highlight w:val="green"/>
        </w:rPr>
        <w:t>The bill would</w:t>
      </w:r>
      <w:r w:rsidRPr="00DD2D90">
        <w:rPr>
          <w:rStyle w:val="StyleUnderline"/>
        </w:rPr>
        <w:t xml:space="preserve"> </w:t>
      </w:r>
      <w:r w:rsidRPr="00DD2D90">
        <w:rPr>
          <w:rStyle w:val="StyleUnderline"/>
          <w:highlight w:val="green"/>
        </w:rPr>
        <w:t xml:space="preserve">provide families with greater financial </w:t>
      </w:r>
      <w:r w:rsidRPr="00DD2D90">
        <w:rPr>
          <w:rStyle w:val="Emphasis"/>
          <w:highlight w:val="green"/>
        </w:rPr>
        <w:t>stability</w:t>
      </w:r>
      <w:r w:rsidRPr="00DD2D90">
        <w:rPr>
          <w:rStyle w:val="StyleUnderline"/>
          <w:highlight w:val="green"/>
        </w:rPr>
        <w:t xml:space="preserve"> by requiring insurance plans</w:t>
      </w:r>
      <w:r w:rsidRPr="00DD2D90">
        <w:rPr>
          <w:rStyle w:val="StyleUnderline"/>
        </w:rPr>
        <w:t xml:space="preserve"> </w:t>
      </w:r>
      <w:r w:rsidRPr="00DD2D90">
        <w:rPr>
          <w:rStyle w:val="StyleUnderline"/>
          <w:highlight w:val="green"/>
        </w:rPr>
        <w:t>to fully cover childbirth</w:t>
      </w:r>
      <w:r w:rsidRPr="00DD2D90">
        <w:rPr>
          <w:rStyle w:val="StyleUnderline"/>
        </w:rPr>
        <w:t xml:space="preserve"> allowing parents to focus on their children</w:t>
      </w:r>
      <w:r w:rsidRPr="009278EB">
        <w:rPr>
          <w:sz w:val="16"/>
        </w:rPr>
        <w:t xml:space="preserve">’s well-being </w:t>
      </w:r>
      <w:r w:rsidRPr="00DD2D90">
        <w:rPr>
          <w:rStyle w:val="StyleUnderline"/>
          <w:highlight w:val="green"/>
        </w:rPr>
        <w:t>without</w:t>
      </w:r>
      <w:r w:rsidRPr="00DD2D90">
        <w:rPr>
          <w:rStyle w:val="StyleUnderline"/>
        </w:rPr>
        <w:t xml:space="preserve"> the burden of </w:t>
      </w:r>
      <w:r w:rsidRPr="00DD2D90">
        <w:rPr>
          <w:rStyle w:val="StyleUnderline"/>
          <w:highlight w:val="green"/>
        </w:rPr>
        <w:t>high medical expenses</w:t>
      </w:r>
      <w:r w:rsidRPr="009278EB">
        <w:rPr>
          <w:sz w:val="16"/>
        </w:rPr>
        <w:t xml:space="preserve">. While this change may result in a modest increase in insurance premiums, </w:t>
      </w:r>
      <w:r w:rsidRPr="00DD2D90">
        <w:rPr>
          <w:rStyle w:val="StyleUnderline"/>
          <w:highlight w:val="green"/>
        </w:rPr>
        <w:t xml:space="preserve">it ensures </w:t>
      </w:r>
      <w:r w:rsidRPr="00DD2D90">
        <w:rPr>
          <w:rStyle w:val="Emphasis"/>
          <w:highlight w:val="green"/>
        </w:rPr>
        <w:t>more predictable</w:t>
      </w:r>
      <w:r w:rsidRPr="00DD2D90">
        <w:rPr>
          <w:rStyle w:val="StyleUnderline"/>
        </w:rPr>
        <w:t xml:space="preserve"> healthcare </w:t>
      </w:r>
      <w:r w:rsidRPr="00DD2D90">
        <w:rPr>
          <w:rStyle w:val="StyleUnderline"/>
          <w:highlight w:val="green"/>
        </w:rPr>
        <w:t>costs</w:t>
      </w:r>
      <w:r w:rsidRPr="00DD2D90">
        <w:rPr>
          <w:rStyle w:val="StyleUnderline"/>
        </w:rPr>
        <w:t xml:space="preserve"> for families. </w:t>
      </w:r>
      <w:r w:rsidRPr="009278EB">
        <w:rPr>
          <w:sz w:val="16"/>
        </w:rPr>
        <w:t xml:space="preserve">Maternity and newborn care is subject to cost sharing in all commercial insurance plans. This bill would eliminate those costs for all in-network childbirth services, and out-of-network care when no in-network provider is available. For parents in the individual and small-group markets, the Affordable Care Act (ACA) already requires qualified health plans to cover essential health benefits, including maternity and newborn care. The new legislation expands the definition of essential childbirth services and ensures qualified health plans cover them without cost sharing. </w:t>
      </w:r>
      <w:r w:rsidRPr="00DD2D90">
        <w:rPr>
          <w:rStyle w:val="StyleUnderline"/>
        </w:rPr>
        <w:t>The bill mandates full coverage for ultrasounds, miscarriage care, delivery services, and postpartum care for up to a year after birth</w:t>
      </w:r>
      <w:r w:rsidRPr="009278EB">
        <w:rPr>
          <w:sz w:val="16"/>
        </w:rPr>
        <w:t xml:space="preserve">. Additionally, beyond general postpartum mental health care, it introduces—for the first time—mental health coverage for spouses and adoptive parents, recognizing the broader emotional and psychological needs of growing families. Reducing costs and confusion for new families The Medicaid program already covers the full cost of birth for enrolled families, accounting for 41 percent of births in America. However, for the remaining pregnancies covered by private insurance, </w:t>
      </w:r>
      <w:r w:rsidRPr="00DD2D90">
        <w:rPr>
          <w:rStyle w:val="StyleUnderline"/>
          <w:highlight w:val="green"/>
        </w:rPr>
        <w:t>parents</w:t>
      </w:r>
      <w:r w:rsidRPr="00DD2D90">
        <w:rPr>
          <w:rStyle w:val="StyleUnderline"/>
        </w:rPr>
        <w:t xml:space="preserve"> typically </w:t>
      </w:r>
      <w:r w:rsidRPr="00DD2D90">
        <w:rPr>
          <w:rStyle w:val="StyleUnderline"/>
          <w:highlight w:val="green"/>
        </w:rPr>
        <w:t>pay</w:t>
      </w:r>
      <w:r w:rsidRPr="00DD2D90">
        <w:rPr>
          <w:rStyle w:val="StyleUnderline"/>
        </w:rPr>
        <w:t xml:space="preserve"> approximately </w:t>
      </w:r>
      <w:r w:rsidRPr="00DD2D90">
        <w:rPr>
          <w:rStyle w:val="StyleUnderline"/>
          <w:highlight w:val="green"/>
        </w:rPr>
        <w:t>$3,000</w:t>
      </w:r>
      <w:r w:rsidRPr="00DD2D90">
        <w:rPr>
          <w:rStyle w:val="StyleUnderline"/>
        </w:rPr>
        <w:t xml:space="preserve"> </w:t>
      </w:r>
      <w:r w:rsidRPr="009278EB">
        <w:rPr>
          <w:sz w:val="16"/>
        </w:rPr>
        <w:t>out-of-pocket (</w:t>
      </w:r>
      <w:r w:rsidRPr="00DD2D90">
        <w:rPr>
          <w:rStyle w:val="StyleUnderline"/>
          <w:highlight w:val="green"/>
        </w:rPr>
        <w:t>OOP</w:t>
      </w:r>
      <w:r w:rsidRPr="009278EB">
        <w:rPr>
          <w:sz w:val="16"/>
        </w:rPr>
        <w:t xml:space="preserve">). </w:t>
      </w:r>
      <w:r w:rsidRPr="00DD2D90">
        <w:rPr>
          <w:rStyle w:val="StyleUnderline"/>
          <w:highlight w:val="green"/>
        </w:rPr>
        <w:t>That number is</w:t>
      </w:r>
      <w:r w:rsidRPr="00DD2D90">
        <w:rPr>
          <w:rStyle w:val="StyleUnderline"/>
        </w:rPr>
        <w:t xml:space="preserve"> </w:t>
      </w:r>
      <w:r w:rsidRPr="00DD2D90">
        <w:rPr>
          <w:rStyle w:val="Emphasis"/>
        </w:rPr>
        <w:t xml:space="preserve">much </w:t>
      </w:r>
      <w:r w:rsidRPr="00DD2D90">
        <w:rPr>
          <w:rStyle w:val="Emphasis"/>
          <w:highlight w:val="green"/>
        </w:rPr>
        <w:t>higher</w:t>
      </w:r>
      <w:r w:rsidRPr="00DD2D90">
        <w:rPr>
          <w:rStyle w:val="StyleUnderline"/>
          <w:highlight w:val="green"/>
        </w:rPr>
        <w:t xml:space="preserve"> for</w:t>
      </w:r>
      <w:r w:rsidRPr="009278EB">
        <w:rPr>
          <w:sz w:val="16"/>
        </w:rPr>
        <w:t xml:space="preserve"> some </w:t>
      </w:r>
      <w:r w:rsidRPr="00DD2D90">
        <w:rPr>
          <w:rStyle w:val="StyleUnderline"/>
          <w:highlight w:val="green"/>
        </w:rPr>
        <w:t>families with high deductible</w:t>
      </w:r>
      <w:r w:rsidRPr="00DD2D90">
        <w:rPr>
          <w:rStyle w:val="StyleUnderline"/>
        </w:rPr>
        <w:t xml:space="preserve"> health </w:t>
      </w:r>
      <w:r w:rsidRPr="00DD2D90">
        <w:rPr>
          <w:rStyle w:val="StyleUnderline"/>
          <w:highlight w:val="green"/>
        </w:rPr>
        <w:t>plans</w:t>
      </w:r>
      <w:r w:rsidRPr="009278EB">
        <w:rPr>
          <w:sz w:val="16"/>
        </w:rPr>
        <w:t xml:space="preserve"> (HDHP), </w:t>
      </w:r>
      <w:r w:rsidRPr="00DD2D90">
        <w:rPr>
          <w:rStyle w:val="StyleUnderline"/>
        </w:rPr>
        <w:t xml:space="preserve">or who </w:t>
      </w:r>
      <w:r w:rsidRPr="00DD2D90">
        <w:rPr>
          <w:rStyle w:val="StyleUnderline"/>
          <w:highlight w:val="green"/>
        </w:rPr>
        <w:t>have</w:t>
      </w:r>
      <w:r w:rsidRPr="009278EB">
        <w:rPr>
          <w:sz w:val="16"/>
        </w:rPr>
        <w:t xml:space="preserve"> additional health </w:t>
      </w:r>
      <w:r w:rsidRPr="00DD2D90">
        <w:rPr>
          <w:rStyle w:val="StyleUnderline"/>
          <w:highlight w:val="green"/>
        </w:rPr>
        <w:t>complications</w:t>
      </w:r>
      <w:r w:rsidRPr="00DD2D90">
        <w:rPr>
          <w:rStyle w:val="StyleUnderline"/>
        </w:rPr>
        <w:t xml:space="preserve"> during pregnancy, </w:t>
      </w:r>
      <w:r w:rsidRPr="00DD2D90">
        <w:rPr>
          <w:rStyle w:val="StyleUnderline"/>
          <w:highlight w:val="green"/>
        </w:rPr>
        <w:t>or have gaps in</w:t>
      </w:r>
      <w:r w:rsidRPr="009278EB">
        <w:rPr>
          <w:sz w:val="16"/>
        </w:rPr>
        <w:t xml:space="preserve"> their </w:t>
      </w:r>
      <w:r w:rsidRPr="00DD2D90">
        <w:rPr>
          <w:rStyle w:val="StyleUnderline"/>
          <w:highlight w:val="green"/>
        </w:rPr>
        <w:t>coverage</w:t>
      </w:r>
      <w:r w:rsidRPr="009278EB">
        <w:rPr>
          <w:sz w:val="16"/>
        </w:rPr>
        <w:t xml:space="preserve">. One major factor driving high out-of-pocket costs is the timing of a pregnancy. </w:t>
      </w:r>
      <w:r w:rsidRPr="00DD2D90">
        <w:rPr>
          <w:rStyle w:val="StyleUnderline"/>
          <w:highlight w:val="green"/>
        </w:rPr>
        <w:t>Families</w:t>
      </w:r>
      <w:r w:rsidRPr="00DD2D90">
        <w:rPr>
          <w:rStyle w:val="StyleUnderline"/>
        </w:rPr>
        <w:t xml:space="preserve"> welcoming a child in January</w:t>
      </w:r>
      <w:r w:rsidRPr="009278EB">
        <w:rPr>
          <w:sz w:val="16"/>
        </w:rPr>
        <w:t xml:space="preserve">, for example, </w:t>
      </w:r>
      <w:r w:rsidRPr="00DD2D90">
        <w:rPr>
          <w:rStyle w:val="StyleUnderline"/>
          <w:highlight w:val="green"/>
        </w:rPr>
        <w:t>may</w:t>
      </w:r>
      <w:r w:rsidRPr="00DD2D90">
        <w:rPr>
          <w:rStyle w:val="StyleUnderline"/>
        </w:rPr>
        <w:t xml:space="preserve"> </w:t>
      </w:r>
      <w:r w:rsidRPr="00DD2D90">
        <w:rPr>
          <w:rStyle w:val="StyleUnderline"/>
          <w:highlight w:val="green"/>
        </w:rPr>
        <w:t>be forced to</w:t>
      </w:r>
      <w:r w:rsidRPr="00DD2D90">
        <w:rPr>
          <w:rStyle w:val="StyleUnderline"/>
        </w:rPr>
        <w:t xml:space="preserve"> </w:t>
      </w:r>
      <w:r w:rsidRPr="00DD2D90">
        <w:rPr>
          <w:rStyle w:val="StyleUnderline"/>
          <w:highlight w:val="green"/>
        </w:rPr>
        <w:t>meet their</w:t>
      </w:r>
      <w:r w:rsidRPr="00DD2D90">
        <w:rPr>
          <w:rStyle w:val="StyleUnderline"/>
        </w:rPr>
        <w:t xml:space="preserve"> insurance </w:t>
      </w:r>
      <w:r w:rsidRPr="00DD2D90">
        <w:rPr>
          <w:rStyle w:val="StyleUnderline"/>
          <w:highlight w:val="green"/>
        </w:rPr>
        <w:t xml:space="preserve">deductible </w:t>
      </w:r>
      <w:r w:rsidRPr="00DD2D90">
        <w:rPr>
          <w:rStyle w:val="Emphasis"/>
          <w:highlight w:val="green"/>
        </w:rPr>
        <w:t>twice</w:t>
      </w:r>
      <w:r w:rsidRPr="009278EB">
        <w:rPr>
          <w:sz w:val="16"/>
        </w:rPr>
        <w:t>—</w:t>
      </w:r>
      <w:r w:rsidRPr="00DD2D90">
        <w:rPr>
          <w:rStyle w:val="StyleUnderline"/>
        </w:rPr>
        <w:t xml:space="preserve">once for prenatal care in the previous year and again for delivery in the new year. </w:t>
      </w:r>
      <w:r w:rsidRPr="009278EB">
        <w:rPr>
          <w:sz w:val="16"/>
        </w:rPr>
        <w:t xml:space="preserve">For those with HDHP plans, where deductibles range from $2,500 to $5,000, </w:t>
      </w:r>
      <w:r w:rsidRPr="00DD2D90">
        <w:rPr>
          <w:rStyle w:val="StyleUnderline"/>
        </w:rPr>
        <w:t xml:space="preserve">total out-of-pocket expenses could reach $5,000 to </w:t>
      </w:r>
      <w:r w:rsidRPr="00DD2D90">
        <w:rPr>
          <w:rStyle w:val="Emphasis"/>
        </w:rPr>
        <w:t>$10,000</w:t>
      </w:r>
      <w:r w:rsidRPr="009278EB">
        <w:rPr>
          <w:sz w:val="16"/>
        </w:rPr>
        <w:t xml:space="preserve">. This </w:t>
      </w:r>
      <w:r w:rsidRPr="00DD2D90">
        <w:rPr>
          <w:rStyle w:val="StyleUnderline"/>
          <w:highlight w:val="green"/>
        </w:rPr>
        <w:t>financial strain affects</w:t>
      </w:r>
      <w:r w:rsidRPr="00DD2D90">
        <w:rPr>
          <w:rStyle w:val="StyleUnderline"/>
        </w:rPr>
        <w:t xml:space="preserve"> over </w:t>
      </w:r>
      <w:r w:rsidRPr="00DD2D90">
        <w:rPr>
          <w:rStyle w:val="Emphasis"/>
          <w:highlight w:val="green"/>
        </w:rPr>
        <w:t>17%</w:t>
      </w:r>
      <w:r w:rsidRPr="00DD2D90">
        <w:rPr>
          <w:rStyle w:val="StyleUnderline"/>
        </w:rPr>
        <w:t xml:space="preserve"> </w:t>
      </w:r>
      <w:r w:rsidRPr="00DD2D90">
        <w:rPr>
          <w:rStyle w:val="StyleUnderline"/>
          <w:highlight w:val="green"/>
        </w:rPr>
        <w:t>of privately insured parents</w:t>
      </w:r>
      <w:r w:rsidRPr="009278EB">
        <w:rPr>
          <w:sz w:val="16"/>
        </w:rPr>
        <w:t xml:space="preserve">, </w:t>
      </w:r>
      <w:r w:rsidRPr="00DD2D90">
        <w:rPr>
          <w:rStyle w:val="StyleUnderline"/>
          <w:highlight w:val="green"/>
        </w:rPr>
        <w:t>burdening new</w:t>
      </w:r>
      <w:r w:rsidRPr="00DD2D90">
        <w:rPr>
          <w:rStyle w:val="StyleUnderline"/>
        </w:rPr>
        <w:t xml:space="preserve"> </w:t>
      </w:r>
      <w:r w:rsidRPr="00DD2D90">
        <w:rPr>
          <w:rStyle w:val="StyleUnderline"/>
          <w:highlight w:val="green"/>
        </w:rPr>
        <w:t xml:space="preserve">families with </w:t>
      </w:r>
      <w:r w:rsidRPr="00DD2D90">
        <w:rPr>
          <w:rStyle w:val="Emphasis"/>
          <w:highlight w:val="green"/>
        </w:rPr>
        <w:t>debt</w:t>
      </w:r>
      <w:r w:rsidRPr="009278EB">
        <w:rPr>
          <w:sz w:val="16"/>
        </w:rPr>
        <w:t xml:space="preserve"> on top of the many costs of raising a newborn. A recent Peterson-KFF analysis highlights the impact: </w:t>
      </w:r>
      <w:r w:rsidRPr="00DD2D90">
        <w:rPr>
          <w:rStyle w:val="StyleUnderline"/>
          <w:highlight w:val="green"/>
        </w:rPr>
        <w:t xml:space="preserve">new mothers are </w:t>
      </w:r>
      <w:r w:rsidRPr="00DD2D90">
        <w:rPr>
          <w:rStyle w:val="Emphasis"/>
          <w:highlight w:val="green"/>
        </w:rPr>
        <w:t>twice</w:t>
      </w:r>
      <w:r w:rsidRPr="00DD2D90">
        <w:rPr>
          <w:rStyle w:val="StyleUnderline"/>
          <w:highlight w:val="green"/>
        </w:rPr>
        <w:t xml:space="preserve"> as likely to carry medical debt</w:t>
      </w:r>
      <w:r w:rsidRPr="00DD2D90">
        <w:rPr>
          <w:rStyle w:val="StyleUnderline"/>
        </w:rPr>
        <w:t xml:space="preserve"> compared to young women who did not give birth</w:t>
      </w:r>
      <w:r w:rsidRPr="009278EB">
        <w:rPr>
          <w:sz w:val="16"/>
        </w:rPr>
        <w:t xml:space="preserve">. </w:t>
      </w:r>
      <w:r w:rsidRPr="00DD2D90">
        <w:rPr>
          <w:rStyle w:val="Emphasis"/>
          <w:highlight w:val="green"/>
        </w:rPr>
        <w:t>Eleven percent</w:t>
      </w:r>
      <w:r w:rsidRPr="00DD2D90">
        <w:rPr>
          <w:rStyle w:val="StyleUnderline"/>
          <w:highlight w:val="green"/>
        </w:rPr>
        <w:t xml:space="preserve"> of new</w:t>
      </w:r>
      <w:r w:rsidRPr="00DD2D90">
        <w:rPr>
          <w:rStyle w:val="StyleUnderline"/>
        </w:rPr>
        <w:t xml:space="preserve"> </w:t>
      </w:r>
      <w:r w:rsidRPr="00DD2D90">
        <w:rPr>
          <w:rStyle w:val="StyleUnderline"/>
          <w:highlight w:val="green"/>
        </w:rPr>
        <w:t>mothers</w:t>
      </w:r>
      <w:r w:rsidRPr="00DD2D90">
        <w:rPr>
          <w:rStyle w:val="StyleUnderline"/>
        </w:rPr>
        <w:t>—about 400,000 annually—</w:t>
      </w:r>
      <w:r w:rsidRPr="00DD2D90">
        <w:rPr>
          <w:rStyle w:val="StyleUnderline"/>
          <w:highlight w:val="green"/>
        </w:rPr>
        <w:t>report medical debt exceeding</w:t>
      </w:r>
      <w:r w:rsidRPr="00DD2D90">
        <w:rPr>
          <w:rStyle w:val="Emphasis"/>
          <w:highlight w:val="green"/>
        </w:rPr>
        <w:t xml:space="preserve"> $1,000</w:t>
      </w:r>
      <w:r w:rsidRPr="00DD2D90">
        <w:rPr>
          <w:rStyle w:val="Emphasis"/>
        </w:rPr>
        <w:t xml:space="preserve">. </w:t>
      </w:r>
      <w:r w:rsidRPr="009278EB">
        <w:rPr>
          <w:sz w:val="16"/>
        </w:rPr>
        <w:t xml:space="preserve">Beyond the high costs, </w:t>
      </w:r>
      <w:r w:rsidRPr="00DD2D90">
        <w:rPr>
          <w:rStyle w:val="StyleUnderline"/>
          <w:highlight w:val="green"/>
        </w:rPr>
        <w:t xml:space="preserve">childbirth expenses are </w:t>
      </w:r>
      <w:r w:rsidRPr="00DD2D90">
        <w:rPr>
          <w:rStyle w:val="Emphasis"/>
          <w:highlight w:val="green"/>
        </w:rPr>
        <w:t>notoriously difficult</w:t>
      </w:r>
      <w:r w:rsidRPr="00DD2D90">
        <w:rPr>
          <w:rStyle w:val="StyleUnderline"/>
          <w:highlight w:val="green"/>
        </w:rPr>
        <w:t xml:space="preserve"> to predict due to </w:t>
      </w:r>
      <w:r w:rsidRPr="00DD2D90">
        <w:rPr>
          <w:rStyle w:val="Emphasis"/>
          <w:highlight w:val="green"/>
        </w:rPr>
        <w:t>significant</w:t>
      </w:r>
      <w:r w:rsidRPr="00DD2D90">
        <w:rPr>
          <w:rStyle w:val="StyleUnderline"/>
          <w:highlight w:val="green"/>
        </w:rPr>
        <w:t xml:space="preserve"> price variations across hospital</w:t>
      </w:r>
      <w:r w:rsidRPr="00DD2D90">
        <w:rPr>
          <w:rStyle w:val="StyleUnderline"/>
        </w:rPr>
        <w:t>s and regions</w:t>
      </w:r>
      <w:r w:rsidRPr="009278EB">
        <w:rPr>
          <w:sz w:val="16"/>
        </w:rPr>
        <w:t>. As the Washington Post reported, determining out-of-pocket costs by contacting the hospital is often futile–</w:t>
      </w:r>
      <w:r w:rsidRPr="00DD2D90">
        <w:rPr>
          <w:rStyle w:val="StyleUnderline"/>
        </w:rPr>
        <w:t xml:space="preserve">hospitals provide different prices online than over the phone, making it </w:t>
      </w:r>
      <w:r w:rsidRPr="009278EB">
        <w:rPr>
          <w:sz w:val="16"/>
        </w:rPr>
        <w:t>nearly</w:t>
      </w:r>
      <w:r w:rsidRPr="00DD2D90">
        <w:rPr>
          <w:rStyle w:val="StyleUnderline"/>
        </w:rPr>
        <w:t xml:space="preserve"> </w:t>
      </w:r>
      <w:r w:rsidRPr="00DD2D90">
        <w:rPr>
          <w:rStyle w:val="Emphasis"/>
        </w:rPr>
        <w:t>impossible</w:t>
      </w:r>
      <w:r w:rsidRPr="00DD2D90">
        <w:rPr>
          <w:rStyle w:val="StyleUnderline"/>
        </w:rPr>
        <w:t xml:space="preserve"> for parents to plan effectively</w:t>
      </w:r>
      <w:r w:rsidRPr="009278EB">
        <w:rPr>
          <w:sz w:val="16"/>
        </w:rPr>
        <w:t xml:space="preserve">. Even estimated </w:t>
      </w:r>
      <w:r w:rsidRPr="00DD2D90">
        <w:rPr>
          <w:rStyle w:val="StyleUnderline"/>
        </w:rPr>
        <w:t>costs</w:t>
      </w:r>
      <w:r w:rsidRPr="009278EB">
        <w:rPr>
          <w:sz w:val="16"/>
        </w:rPr>
        <w:t xml:space="preserve"> for “uncomplicated labor and delivery” </w:t>
      </w:r>
      <w:r w:rsidRPr="00DD2D90">
        <w:rPr>
          <w:rStyle w:val="StyleUnderline"/>
        </w:rPr>
        <w:t>vary widely</w:t>
      </w:r>
      <w:r w:rsidRPr="009278EB">
        <w:rPr>
          <w:sz w:val="16"/>
        </w:rPr>
        <w:t xml:space="preserve"> by hospital, </w:t>
      </w:r>
      <w:r w:rsidRPr="00DD2D90">
        <w:rPr>
          <w:rStyle w:val="StyleUnderline"/>
        </w:rPr>
        <w:t xml:space="preserve">leaving families unprepared for the </w:t>
      </w:r>
      <w:r w:rsidRPr="009278EB">
        <w:rPr>
          <w:sz w:val="16"/>
        </w:rPr>
        <w:t>actual</w:t>
      </w:r>
      <w:r w:rsidRPr="00DD2D90">
        <w:rPr>
          <w:rStyle w:val="StyleUnderline"/>
        </w:rPr>
        <w:t xml:space="preserve"> financial burden </w:t>
      </w:r>
      <w:r w:rsidRPr="009278EB">
        <w:rPr>
          <w:sz w:val="16"/>
        </w:rPr>
        <w:t xml:space="preserve">of childbirth. </w:t>
      </w:r>
      <w:r w:rsidRPr="00DD2D90">
        <w:rPr>
          <w:rStyle w:val="StyleUnderline"/>
        </w:rPr>
        <w:t xml:space="preserve">These financial consequences, reporting discrepancies, and lack of transparency underscore the urgent need to </w:t>
      </w:r>
      <w:r w:rsidRPr="009278EB">
        <w:rPr>
          <w:sz w:val="16"/>
        </w:rPr>
        <w:t xml:space="preserve">eliminate cost-sharing for childbirth and </w:t>
      </w:r>
      <w:r w:rsidRPr="00DD2D90">
        <w:rPr>
          <w:rStyle w:val="StyleUnderline"/>
        </w:rPr>
        <w:t>ensure health insurance fully covers these essential services</w:t>
      </w:r>
      <w:r w:rsidRPr="009278EB">
        <w:rPr>
          <w:sz w:val="16"/>
        </w:rPr>
        <w:t xml:space="preserve">. By doing so, </w:t>
      </w:r>
      <w:r w:rsidRPr="00DD2D90">
        <w:rPr>
          <w:rStyle w:val="StyleUnderline"/>
          <w:highlight w:val="green"/>
        </w:rPr>
        <w:t>we can provide families with</w:t>
      </w:r>
      <w:r w:rsidRPr="00DD2D90">
        <w:rPr>
          <w:rStyle w:val="StyleUnderline"/>
        </w:rPr>
        <w:t xml:space="preserve"> greater financial predictability, reduce medical debt, and allow new parents to plan for their future with </w:t>
      </w:r>
      <w:r w:rsidRPr="00DD2D90">
        <w:rPr>
          <w:rStyle w:val="Emphasis"/>
          <w:highlight w:val="green"/>
        </w:rPr>
        <w:t>confidence</w:t>
      </w:r>
      <w:r w:rsidRPr="00DD2D90">
        <w:rPr>
          <w:rStyle w:val="StyleUnderline"/>
        </w:rPr>
        <w:t>.</w:t>
      </w:r>
      <w:r w:rsidRPr="009278EB">
        <w:rPr>
          <w:sz w:val="16"/>
        </w:rPr>
        <w:t xml:space="preserve"> Effect on insurance premiums</w:t>
      </w:r>
    </w:p>
    <w:p w14:paraId="66BF6045" w14:textId="2DE064DD" w:rsidR="009C702C" w:rsidRPr="009278EB" w:rsidRDefault="00BD7199" w:rsidP="009C702C">
      <w:pPr>
        <w:pStyle w:val="Heading4"/>
        <w:rPr>
          <w:szCs w:val="26"/>
        </w:rPr>
      </w:pPr>
      <w:r w:rsidRPr="009278EB">
        <w:rPr>
          <w:szCs w:val="26"/>
        </w:rPr>
        <w:t>Decades of data prove universal healthcare decreases mortality, especially among newborns</w:t>
      </w:r>
    </w:p>
    <w:p w14:paraId="56DD36BE" w14:textId="0E3CA31A" w:rsidR="009C702C" w:rsidRPr="00DD2D90" w:rsidRDefault="009C702C" w:rsidP="009C702C">
      <w:r w:rsidRPr="009278EB">
        <w:rPr>
          <w:b/>
          <w:bCs/>
          <w:sz w:val="26"/>
          <w:szCs w:val="26"/>
        </w:rPr>
        <w:t>Hone et al. 24</w:t>
      </w:r>
      <w:r w:rsidRPr="00DD2D90">
        <w:t xml:space="preserve"> [Thomas Hone, researcher at the Imperial College London Public Health Policy Evaluation Unit, Judite Gonçalves, researcher at the Imperial College London Public Health Policy Evaluation Unit, Paraskevi Seferidi, researcher at the Imperial College London Public Health Policy Evaluation Unit, Rodrigo Moreno-Serra, researcher at the University of York Centre for Health Economics, Rudi Rocha, researcher at the Instituto de Estudos para Políticas de Saúde, Indrani Gupta, researcher at the University of Delhi Institute of Economic Growth, Vinayak Bhardwaj, researcher at the South African Medical Research Council, Taufik Hidayat, researcher at the Universitas Indonesia Center for Health Economics and Policy Studies, Chang Cai, researcher at the Imperial College London Public Health Policy Evaluation Unit, Marc Suhrcke, researcher at the University of York Centre for Health Economics, and Christopher Millett, researcher at the Imperial College London Public Health Policy Evaluation Unit, 05-2024, "Progress towards universal health coverage and inequalities in infant mortality: an analysis of 4·1 million births from 60 low-income and middle-income countries between 2000 and 2019", Lancet Global Health, https://www.thelancet.com/journals/langlo/article/PIIS2214-109X%2824%2900040-8/fulltext]/Kankee</w:t>
      </w:r>
    </w:p>
    <w:p w14:paraId="6CE0FDD0" w14:textId="2B77884E" w:rsidR="009C702C" w:rsidRPr="009278EB" w:rsidRDefault="009C702C" w:rsidP="009C702C">
      <w:pPr>
        <w:rPr>
          <w:sz w:val="16"/>
        </w:rPr>
      </w:pPr>
      <w:r w:rsidRPr="009278EB">
        <w:rPr>
          <w:sz w:val="16"/>
        </w:rPr>
        <w:t xml:space="preserve">Introduction Universal health coverage (UHC) is the essential platform within health systems needed for making progress towards the Sustainable Development Goals and achieving health for all.1,2 UHC means ensuring everyone receives the high-quality health services they need without resulting in financial hardship. UHC is enshrined in Sustainable Development Goal 3.8, committing countries to achieve UHC by 2030, and is based on the principle of leaving no-one behind. The current year, 2024, leaves just 6 years until the SDG period concludes and is a crucial juncture at which to examine whether a more explicit focus on low-income populations within UHC is necessary in the future. Over recent decades, there has been </w:t>
      </w:r>
      <w:r w:rsidRPr="00DD2D90">
        <w:rPr>
          <w:rStyle w:val="StyleUnderline"/>
        </w:rPr>
        <w:t xml:space="preserve">progress towards </w:t>
      </w:r>
      <w:r w:rsidRPr="00DD2D90">
        <w:rPr>
          <w:rStyle w:val="StyleUnderline"/>
          <w:highlight w:val="green"/>
        </w:rPr>
        <w:t>UHC</w:t>
      </w:r>
      <w:r w:rsidRPr="00DD2D90">
        <w:rPr>
          <w:rStyle w:val="StyleUnderline"/>
        </w:rPr>
        <w:t xml:space="preserve"> in</w:t>
      </w:r>
      <w:r w:rsidRPr="009278EB">
        <w:rPr>
          <w:sz w:val="16"/>
        </w:rPr>
        <w:t xml:space="preserve"> many countries,1,3 </w:t>
      </w:r>
      <w:r w:rsidRPr="00DD2D90">
        <w:rPr>
          <w:rStyle w:val="StyleUnderline"/>
        </w:rPr>
        <w:t>with</w:t>
      </w:r>
      <w:r w:rsidRPr="009278EB">
        <w:rPr>
          <w:sz w:val="16"/>
        </w:rPr>
        <w:t xml:space="preserve"> concomitant </w:t>
      </w:r>
      <w:r w:rsidRPr="00DD2D90">
        <w:rPr>
          <w:rStyle w:val="StyleUnderline"/>
          <w:highlight w:val="green"/>
        </w:rPr>
        <w:t xml:space="preserve">improvement in </w:t>
      </w:r>
      <w:r w:rsidRPr="00DD2D90">
        <w:rPr>
          <w:rStyle w:val="StyleUnderline"/>
        </w:rPr>
        <w:t>health outcomes</w:t>
      </w:r>
      <w:r w:rsidRPr="009278EB">
        <w:rPr>
          <w:sz w:val="16"/>
        </w:rPr>
        <w:t xml:space="preserve">, </w:t>
      </w:r>
      <w:r w:rsidRPr="00DD2D90">
        <w:rPr>
          <w:rStyle w:val="StyleUnderline"/>
        </w:rPr>
        <w:t xml:space="preserve">such as lower </w:t>
      </w:r>
      <w:r w:rsidRPr="00DD2D90">
        <w:rPr>
          <w:rStyle w:val="StyleUnderline"/>
          <w:highlight w:val="green"/>
        </w:rPr>
        <w:t>child and adult mortality</w:t>
      </w:r>
      <w:r w:rsidRPr="00DD2D90">
        <w:rPr>
          <w:rStyle w:val="StyleUnderline"/>
        </w:rPr>
        <w:t xml:space="preserve">, higher </w:t>
      </w:r>
      <w:r w:rsidRPr="00DD2D90">
        <w:rPr>
          <w:rStyle w:val="StyleUnderline"/>
          <w:highlight w:val="green"/>
        </w:rPr>
        <w:t>life</w:t>
      </w:r>
      <w:r w:rsidRPr="00DD2D90">
        <w:rPr>
          <w:rStyle w:val="StyleUnderline"/>
        </w:rPr>
        <w:t xml:space="preserve"> </w:t>
      </w:r>
      <w:r w:rsidRPr="00DD2D90">
        <w:rPr>
          <w:rStyle w:val="StyleUnderline"/>
          <w:highlight w:val="green"/>
        </w:rPr>
        <w:t>expectancy, and reduced catastrophic health expenditure</w:t>
      </w:r>
      <w:r w:rsidRPr="009278EB">
        <w:rPr>
          <w:sz w:val="16"/>
        </w:rPr>
        <w:t xml:space="preserve">.4,5 However, the projected progress is insufficient to achieve UHC and associated Sustainable Development Goals,1 and equity in access to health care is a challenge globally.1 UHC is the modern manifestation of WHO's egalitarian goal of health-for-all, encompassing the principles of fairness and equity.6 However, the path chosen for expanding UHC differs between countries, and outcomes might not be inherently equitable without targeting or prioritisation of disadvantaged groups.6 The inverse equity hypothesis outlines how new health interventions are often first adopted by wealthier populations, with poorer populations left behind and inequalities widening in the short term (panel 1).25,26 However, with the diffusion of interventions across populations, poorer populations can catch up, meaning that equity improves at higher coverage.25,26 It can be argued that interventions targeted towards lower-income populations, such as UHC, are not essential because poorer populations eventually catch up. However, universalist approaches to UHC aimed at prioritising poorer populations are widely argued to be essential,27 with UHC expansions targeted towards poorer, vulnerable populations with lower existing access to health care.28 In many low-income and middle-income countries (LMICs), health-care financing prioritises higher-income populations23,29,30 and </w:t>
      </w:r>
      <w:r w:rsidRPr="00DD2D90">
        <w:rPr>
          <w:rStyle w:val="StyleUnderline"/>
        </w:rPr>
        <w:t>vulnerable communities do not have access to</w:t>
      </w:r>
      <w:r w:rsidRPr="009278EB">
        <w:rPr>
          <w:sz w:val="16"/>
        </w:rPr>
        <w:t xml:space="preserve"> high-quality </w:t>
      </w:r>
      <w:r w:rsidRPr="00DD2D90">
        <w:rPr>
          <w:rStyle w:val="StyleUnderline"/>
        </w:rPr>
        <w:t>health services</w:t>
      </w:r>
      <w:r w:rsidRPr="009278EB">
        <w:rPr>
          <w:sz w:val="16"/>
        </w:rPr>
        <w:t xml:space="preserve">,31 </w:t>
      </w:r>
      <w:r w:rsidRPr="00DD2D90">
        <w:rPr>
          <w:rStyle w:val="StyleUnderline"/>
        </w:rPr>
        <w:t>with high rates of mortality or morbidity</w:t>
      </w:r>
      <w:r w:rsidRPr="009278EB">
        <w:rPr>
          <w:sz w:val="16"/>
        </w:rPr>
        <w:t xml:space="preserve">.32 The expansion of UHC can create inequalities by reducing out-of-pocket payments for already covered populations or expanding coverage to low-priority services at the expense of expanding coverage and reducing costs for uncovered populations. Many LMICs have also adopted contributory health insurance schemes to make progress towards UHC, yet the low-income, informal workers and unemployed people are often excluded.33,34 Despite the global attention on UHC and the risk of inequalities skewing towards higher-income populations, there is little empirical evidence about the health inequality effects of UHC progress. Panel 1 The inverse equity hypothesis The inverse equity hypothesis outlines how new interventions often reach the wealthiest populations and countries first, being adopted by poorer populations when the wealthiest populations reach near universal coverage. After the introduction of new health interventions, the health gaps between wealthier and poorer populations can initially widen before narrowing as poorer populations catch up.7 Although the concept has been extensively cited, evidence on the inverse equity hypothesis is mixed.8 The hypothesis was corroborated in some public health interventions, including chronic disease monitoring and management,9 cancer screening,10 HIV and AIDS screening and treatment,11 and infectious diseases prevention.12 However, these studies were mostly based on high-income countries.9–11,13 However, evidence on the coverage of reproductive, maternal, newborn, and child health interventions is less conclusive. Although the inverse equity hypothesis is supported in some studies in low-income and middle-income countries (LMICs),14,15 it was rejected by studies from China,16 India,17 Bangladesh,18 Nepal,19 Cambodia,20 Ecuador,21 and Burkina Faso.22 Notably, these countries all introduced policies or reforms over the last decades that have been targeted towards poorer populations. One LMIC-based study suggested that delivery channels can be important for equity in coverage of reproductive, maternal, newborn, and child health interventions.23 Community-based primary health care was often more equitably distributed23 and associated with improvements in child mortality.24 Research in context Evidence before this study On May 3, 2023, we searched MEDLINE, Embase, Global Health, Health Management Information Consortium, EconLit, WHOLIS and the World Bank's Open Knowledge Repository for the terms “Universal Health Coverage” AND “Universal Health Care” AND “(in)equity/(in)equality” (and synonyms) in the title and abstracts for publications from any year in English. A broad range of studies and conceptual articles, with no population or study design restrictions, were included that contributed to the literature on the expansion of universal health coverage (UHC) and health inequalities. There was no clear consensus in the literature on the association between expanding UHC and health inequalities across income groups. Some studies evaluating specific reforms from a range of low-income and middle-income countries (LMICs), including Bangladesh, Burkina Faso, Chile, India, Türkiye, Thailand, Zambia, and Latin American countries, identified improvements in some equity indicators, mainly in financing and coverage outcomes, but inequalities in health outcomes were infrequently studied. However, other studies and systematic reviews found contrary evidence pointing to fewer benefits to poorer populations of UHC reforms. One systematic review concluded that benefits from public health-care financing were accrued by wealthier populations more than poorer populations in many LMICs, and multiple systematic reviews suggested that the expansion of insurance schemes did not benefit poorer populations. One cross-country study identified that transitions from out-of-pocket dominant systems to government-funded or insurance-based financing were associated with reductions in catastrophic health expenditure and improvements in health. However, there were no cross-country studies examining associations between overall progress to UHC and health inequalities in LMICs. Added value of this study </w:t>
      </w:r>
      <w:r w:rsidRPr="00DD2D90">
        <w:rPr>
          <w:rStyle w:val="StyleUnderline"/>
          <w:highlight w:val="green"/>
        </w:rPr>
        <w:t xml:space="preserve">This study analyses </w:t>
      </w:r>
      <w:r w:rsidRPr="00DD2D90">
        <w:rPr>
          <w:rStyle w:val="Emphasis"/>
          <w:highlight w:val="green"/>
        </w:rPr>
        <w:t>4 million</w:t>
      </w:r>
      <w:r w:rsidRPr="00DD2D90">
        <w:rPr>
          <w:rStyle w:val="StyleUnderline"/>
          <w:highlight w:val="green"/>
        </w:rPr>
        <w:t xml:space="preserve"> births across 60 LMICs</w:t>
      </w:r>
      <w:r w:rsidRPr="00DD2D90">
        <w:rPr>
          <w:rStyle w:val="StyleUnderline"/>
        </w:rPr>
        <w:t xml:space="preserve"> and uses WHO's UHC service coverage index </w:t>
      </w:r>
      <w:r w:rsidRPr="00DD2D90">
        <w:rPr>
          <w:rStyle w:val="StyleUnderline"/>
          <w:highlight w:val="green"/>
        </w:rPr>
        <w:t>to show</w:t>
      </w:r>
      <w:r w:rsidRPr="00DD2D90">
        <w:rPr>
          <w:rStyle w:val="StyleUnderline"/>
        </w:rPr>
        <w:t xml:space="preserve"> that </w:t>
      </w:r>
      <w:r w:rsidRPr="00DD2D90">
        <w:rPr>
          <w:rStyle w:val="StyleUnderline"/>
          <w:highlight w:val="green"/>
        </w:rPr>
        <w:t>UHC</w:t>
      </w:r>
      <w:r w:rsidRPr="00DD2D90">
        <w:rPr>
          <w:rStyle w:val="StyleUnderline"/>
        </w:rPr>
        <w:t xml:space="preserve"> expansion </w:t>
      </w:r>
      <w:r w:rsidRPr="00DD2D90">
        <w:rPr>
          <w:rStyle w:val="StyleUnderline"/>
          <w:highlight w:val="green"/>
        </w:rPr>
        <w:t>was associated with reductions in infant mortality</w:t>
      </w:r>
      <w:r w:rsidRPr="00DD2D90">
        <w:rPr>
          <w:rStyle w:val="StyleUnderline"/>
        </w:rPr>
        <w:t xml:space="preserve"> over the period 2000–19</w:t>
      </w:r>
      <w:r w:rsidRPr="009278EB">
        <w:rPr>
          <w:sz w:val="16"/>
        </w:rPr>
        <w:t xml:space="preserve">. Overall, this association generally favoured wealthier populations (ie, it resulted in larger reductions in infant mortality for richer households), both in absolute and relative terms, and moved from benefitting poorer populations to wealthier populations as countries increased UHC coverage. This study uses individual-level data controlling for key infant-level, mother-level, and country-level confounders, and validates its findings with a range of robustness checks. </w:t>
      </w:r>
      <w:r w:rsidRPr="00DD2D90">
        <w:rPr>
          <w:rStyle w:val="StyleUnderline"/>
        </w:rPr>
        <w:t xml:space="preserve">Associations between the subcomponents of UHC and infant mortality showed that </w:t>
      </w:r>
      <w:r w:rsidRPr="00DD2D90">
        <w:rPr>
          <w:rStyle w:val="StyleUnderline"/>
          <w:highlight w:val="green"/>
        </w:rPr>
        <w:t>reproductive, maternal, newborn, and child health coverage and infectious disease coverage were associated with greater reductions</w:t>
      </w:r>
      <w:r w:rsidRPr="00DD2D90">
        <w:rPr>
          <w:rStyle w:val="StyleUnderline"/>
        </w:rPr>
        <w:t xml:space="preserve"> in infant mortality in poorer households</w:t>
      </w:r>
      <w:r w:rsidRPr="009278EB">
        <w:rPr>
          <w:sz w:val="16"/>
        </w:rPr>
        <w:t xml:space="preserve">, yet the service capacity and access elements of UHC were associated with larger reductions in infant mortality in wealthier households. Implications of all the available evidence Despite a range of promising case studies and analyses of specific health system reforms showing the nature of UHC in benefitting poorer populations in LMICs, our comprehensive, global analysis suggests that although UHC can deliver infant health gains, these might be becoming more beneficial to wealthier populations as countries progress towards UHC. Potential explanations include persistent socioeconomic barriers to access, inequalities in structural health system factors, the reliance on contributory (rather than non-contributory) health insurance schemes, and a misalignment between publicly subsidised health services and the needs of target populations. This study examines the association between progress towards UHC and inequalities in infant mortality and tests the inverse equity hypothesis in this context. Multiple studies document inequalities that favour higher-income populations in child and maternal health interventions, such as antenatal care and skilled birth attendance coverage.35–39 Associations with health outcomes are poorly explored. Some evidence shows that expansion of universal antenatal care might contribute to reductions in inequalities in infant mortality.40,41 These studies often use aggregate-level analysis, using either concentration indices or slope indices of inequality, limiting the in-depth understanding of inequalities and not adjusting for individual-level and household-level factors. Inequalities in the effects of UHC at different stages of UHC expansion (ie, the inverse equity hypothesis) are scarcely explored. This study examines how country-level progress towards UHC is associated with inequalities in infant mortality across wealth quintiles. Infant mortality is a key population health outcome; it has been a major health challenge in LMICs, is sensitive to changes in health-care provision, and data are readily available. This study explores and tests WHO's UHC service coverage index as a measure for annual UHC.42,43 This index was published in 2018 and is based on 14 tracer indicators; however, the potential in using this index analytically is underexplored. Many of these tracer indicators, including antenatal care, family planning, immunisation, hospital beds, and the health workforce, are associated with improved infant health.44–53 This analysis explores how the association between UHC and inequalities in infant mortality varies across wealth quintiles, by baseline UHC in 2000 and by components of the UHC service coverage index. Methods Study design and data sources This is a retrospective analysis of data obtained from Demographic and Health Surveys (DHSs), available from the DHS programme. We included all DHSs where at least two surveys were carried out in a country between 2000 and 2019. This time period was chosen to align with the availability of the UHC service coverage index. For this analysis, birth recode datasets were obtained that include a complete birth history for the interviewed women, including information on the infant's date of birth, sex, and survival status. From the surveys, we included all births between 2000 and 2019. Data on UHC were obtained from WHO's UHC service coverage index,42,43 including the overall UHC index and its four subindices (reproductive, maternal, newborn, and child health [RMNCH] services; infectious diseases services; non-communicable diseases services; and service capacity and access). WHO's UHC service coverage index is calculated as the geometric mean of 14 tracer indicators (panel 2) scaled between 0 and 100. The tracer indicators are computed on the basis of compiled national health and household surveys, with imputation for missing data and linear interpolation of missing years. Despite concerns over the validity of WHO's UHC service coverage index,3 we used it as our proxy for UHC given its widespread adoption by multilateral institutions, comparability across countries,43 and additionally to test the validity of using this index analytically. The World Bank Development Indicators database was also consulted for country-level indicators on development, health, wellbeing, and economic factors, as described later. Panel 2 Components of WHO's Universal Health Coverage (UHC) service coverage index and sub-indices WHO's UHC service coverage index (Sustainable Development Goal 3.8.1) is computed as the geometric mean of 14 tracer indicators: Reproductive, maternal, newborn, and child health 1 Family planning: percentage of women of reproductive age (15–49 years) who are married or in-union who have their need for family planning satisfied with modern methods 2 Pregnancy and delivery care: percentage of women aged 15–49 years with a livebirth who received antenatal care four or more times 3 Child immunisation: percentage of infants receiving three doses of diphtheria, tetanus, and pertussis-containing vaccine 4 Child treatment: percentage of children younger than 5 years of age with suspected pneumonia in the 2 weeks preceding the survey taken to an appropriate health facility or provider Infectious diseases 5 Tuberculosis: percentage of incident tuberculosis cases that are detected and successfully treated 6 HIV and AIDS: percentage of people living with HIV currently receiving antiretroviral therapy 7 Malaria: percentage of population in malaria-endemic areas who slept under an insecticide-treated net the previous night (only for countries with high malaria burden) 8 Water and sanitation: percentage of households using at least basic sanitation facilities Non-communicable diseases 9 Hypertension: age-standardised prevalence of non-raised blood pressure (systolic blood pressure &lt;140 mm Hg and diastolic blood pressure &lt;90 mm Hg) among adults aged 18 years and older 10 Diabetes: age-standardised mean fasting plasma glucose (mmol/L) for adults aged 18 years and older 11 Tobacco: age-standardised prevalence of adults aged 15 years and older not smoking tobacco in the past 30 days Service capacity and access 12 Hospital access: hospital beds per person 13 Health workforce: health professionals (physicians, psychiatrists, and surgeons) per person 14 Health security: International Health Regulations core capacity index, which is the average percentage of attributes of 13 core capacities that have been attained More information is available in the WHO statistical annexes. Study population and variables The primary outcome was infant mortality, defined as death within 1 year of birth. Infant mortality was chosen because it is available by wealth quintile from the DHS data, is widely used as a barometer of a country's health,54 and is particularly sensitive to changes in access to health care and health-care quality.55 A range of other variables was included in the analyses as confounders. At the infant level, these were year of birth; sex (male or female); and multiple birth (yes or no). Previous evidence indicates that male sex and multiple births are associated with an increased risk of infant mortality.56,57 At the mother level, the mother's age, place of residence (urban or rural), and household wealth index quintile in the year of the survey were included. Maternal age is included as a confounder given that low maternal age is associated with an increased risk of infant death.58 Urban or rural location is an important proxy for socioeconomic status, with rurality associated with lower living standards, poorer access to health services, and an increased risk of infant death.59 The wealth index is a composite measure of household wealth based on household ownership of goods, access to services, and living facilities. Quintiles of the wealth index are estimated from the wealth index distribution of each survey's sample, thus representing a country-specific and year-specific estimate of relative wealth. We assumed that household-level characteristics at the time of the survey represented household-level characteristics at the year of birth. A range of country-level variables were included to adjust for society-wide changes in wellbeing and development that were potentially associated with both infant mortality and UHC. The set of country-level variables were chosen on the basis of cross-country evidence about their potential association with both the infant mortality rate and UHC and data availability. We chose confounders on the basis of their potential association both with the treatment or exposure (UHC coverage) and the outcome (infant mortality), and ensure these do not lie on the causal pathway between UHC and infant mortality (ie, they are not potential mediators of how UHC could affect health outcomes, such as service provision variables).60 Country-level variables were matched to birth data on the basis of year and country of birth using data from the World Bank. Specifically, these variables were: access to electricity (% of population); age dependency ratio (the proportion of dependents [people aged younger than 15 years or older than 64 years] per 100 people in the working-age population [those aged 15–64 years]); crude birth rate (per 1000 people); contraceptive prevalence by any method (% of married women aged 15–49 years); total fertility rate (births per woman); gross domestic product per person (constant 2015 US$ [ie, adjusted for changes in power purchasing parity to ensure comparability to 2015 USD values]); female labour force participation rate (% of female population aged 15 years or older); people practising open defecation (% of population); pupil–teacher ratio at primary schools; people using at least basic drinking water services (% of population); people using at least basic sanitation services (% of population); unemployment rate (% of total labour force); and suicide mortality rate (per 100 000 population). Many of these confounders aim to capture general country-level factors that might be associated with UHC and are known to be associated with infant mortality, for example development factors (eg, infrastructure, electricity, improved sanitation, and education),61 economic factors (eg, employment and gross domestic product per person),62 and factors related to female empowerment (eg, birth rate, fertility rate, and female employment).63,64 Statistical analyses The data were first presented descriptively. Infant, maternal, and household characteristics were presented as frequencies and percentages or means, unweighted and weighted using individual DHS weights. Infant mortality rates by country and wealth quintiles were described and their associations with the country-level UHC index were shown graphically. Separate trend lines, by wealth quintile, were plotted on the basis of locally weighted smoothed regression lines (between UHC and infant mortality). Logistic regression models were used in all analyses as appropriate for binary outcomes (infant death or not; appendix 1 p 13). Models accounted for the clustered nature of the data (ie, individuals clustered within countries) with country-level dummy variables (ie, country fixed effects) and clustered SEs. Huber–White cluster robust SEs were used in all models (clustered at the country level). Models were weighted using individual DHS weights, which were calculated using two-stage unequal probability samples, informed by the most recent census in most surveys,65 considering both sampling design and non-response. These models were used to test the association between country UHC index and risk of infant death, adjusted for all infant-level, mother-level, and country-level variables noted earlier. The models were expanded to examine inequalities across wealth quintiles by including an interaction term between the UHC index (at year of birth) and wealth quintiles, generating an association between country UHC and the risk of infant death for each wealth quintile. Adjusted odds ratios (AORs) were reported and interpreted relative to a one unit increase in the UHC index. Where possible, we classified identified associations as disproportionately benefitting higher-income or lower-income households (ie, having larger reductions in infant mortality associated with UHC). To test the inverse equity hypothesis, we explored associations between infant mortality and UHC across different levels of UHC coverage. Observations were grouped into four quartiles on the basis of country UHC at birth (very low &lt;30, low 30–36, low–middle 36–46, and middle–high &gt;46). An interaction term between UHC group and UHC at birth was added to the model, which tested whether the relationship between UHC and infant mortality varied depending on the level of UHC by the country level at the year of birth. This method differed from the previous models where a one-unit increase in the UHC was modelled the same regardless of the level of UHC index obtained by a country. A three-way interaction between UHC at time of birth, the four groups of UHC level, and wealth quintiles were also added to the model. This method allowed the UHC at birth–infant mortality relationship to vary across both the UHC group and wealth quintile, and indicated whether the UHC at birth–infant mortality relationship became more or less unequal (ie, disproportionately benefitting either higher or lower income households) as overall UHC increased. In the final analysis, separate models were estimated for each of the four UHC subindices, with and without wealth–quintile interactions. These models explored the extent to which subcomponents of the UHC index might be driving the findings. The rdhs package in R version 4.3.1 was used to identify, download, and compile surveys.66 Stata version 15 was used for statistical analyses. Absolute measures of association The regression models provided relative measures of association (ie, the AORs). To translate these AORs into absolute measures of association, we predicted the marginal associations between UHC and infant mortality using the estimated AORs. All other variables were held at their observed values. These absolute measures of association were expressed as the absolute change in the infant mortality rate given a one unit increase in the UHC index. To calculate averted deaths associated with UHC expansion, we compared estimated infant deaths under a counterfactual no-UHC expansion scenario with actual infant deaths. Annual birth and infant death data for the 60 LMICs were obtained from the UN Department of Economic and Social Affairs website. Assuming the estimated absolute point estimates for UHC (ie, change in infant mortality rate per one unit increase in UHC index) obtained from the regression analysis were constant over countries and time, a counterfactual infant mortality rate was calculated. This rate represented infant mortality in the absence of any change in UHC relative to the year before for each country and year. Counterfactual infant deaths were then estimated by multiplying this counterfactual mortality rate with the number of births in the corresponding country and year. The total number of infant deaths under the counterfactual no-UHC expansion scenario over the period 2000–19 were totalled up for each country, and the actual number of infant deaths over the period 2000–19 were subtracted to estimate the averted deaths by country. Robustness checks Alternative specifications were used to check the robustness of the findings and included unadjusted models, unweighted models, and models with different time trends (ie, linear, quadratic, and linear country-specific trends). We also repeated the main analyses, restricting the sample to only first births per mother (n=1 833 011), to test for biases related to multiple births per mother. Role of the funding source The funder of the study had no role in study design, data collection, data analysis, data interpretation, or writing of the report. Results </w:t>
      </w:r>
      <w:r w:rsidRPr="00DD2D90">
        <w:rPr>
          <w:rStyle w:val="StyleUnderline"/>
        </w:rPr>
        <w:t xml:space="preserve">We identified 268 surveys from </w:t>
      </w:r>
      <w:r w:rsidRPr="00DD2D90">
        <w:rPr>
          <w:rStyle w:val="Emphasis"/>
        </w:rPr>
        <w:t>84 countries</w:t>
      </w:r>
      <w:r w:rsidRPr="00DD2D90">
        <w:rPr>
          <w:rStyle w:val="StyleUnderline"/>
        </w:rPr>
        <w:t xml:space="preserve"> between 1986 and 2021</w:t>
      </w:r>
      <w:r w:rsidRPr="009278EB">
        <w:rPr>
          <w:sz w:val="16"/>
        </w:rPr>
        <w:t xml:space="preserve">. After excluding countries with only one survey (n=22) and surveys conducted before 2000 (n=93), our final sample included 177 surveys from 60 LMICs. The majority (32) of the countries were in sub-Saharan Africa, followed by Latin America and the Caribbean (8), Europe (6), south Asia (5), east Asia and the Pacific (5), and northern Africa and the Middle East (4). A total of 4 073 227 reported births from 2000 to 2019 were obtained for the analysis, of which 7359 (0·18%) were excluded because of missing survey weight data. </w:t>
      </w:r>
      <w:r w:rsidRPr="00DD2D90">
        <w:rPr>
          <w:rStyle w:val="StyleUnderline"/>
        </w:rPr>
        <w:t>A total of 4 065 868 births to 1 833 011 mothers were analysed</w:t>
      </w:r>
      <w:r w:rsidRPr="009278EB">
        <w:rPr>
          <w:sz w:val="16"/>
        </w:rPr>
        <w:t>. 5·0% of infants died before their first birthday (n=203 709). The mean UHC index of the 60 LMICs increased by 75·2%, from 30·87 in 2000 to 53·87 in 2019 (appendix 1 pp 3–4). The UHC index increased in all countries over the 20-year period, with a mean increase of 23·12 points. There was no clear association between initial country UHC index in 2000 and the change over the period (appendix 1 pp 5–6). The mean infant mortality rate of the 60 LMICs decreased by 52%, from 64·1 infant deaths per 1000 livebirths in 2000 to 30·5 in 2019 (appendix 1 pp 7–8).</w:t>
      </w:r>
      <w:r w:rsidRPr="00DD2D90">
        <w:rPr>
          <w:rStyle w:val="StyleUnderline"/>
        </w:rPr>
        <w:t xml:space="preserve"> As UHC coverage increased, there was a decreasing trend in infant mortality</w:t>
      </w:r>
      <w:r w:rsidRPr="009278EB">
        <w:rPr>
          <w:sz w:val="16"/>
        </w:rPr>
        <w:t xml:space="preserve"> and narrowing wealth inequalities (figure 1), although this relationship was not adjusted for confounders and differences by wealth quintiles were not tested statistically. In adjusted regression models, infants in the fifth wealth quintile (ie, the richest quintile) were 44% less likely to die (AOR 0·56, 95% CI 0·48–0·65) than the first quintile (ie, the poorest quintile; table; appendix 1 pp 14–15). On average, </w:t>
      </w:r>
      <w:r w:rsidRPr="00DD2D90">
        <w:rPr>
          <w:rStyle w:val="StyleUnderline"/>
        </w:rPr>
        <w:t xml:space="preserve">a one unit increase in the country-level UHC index was associated with a </w:t>
      </w:r>
      <w:r w:rsidRPr="00DD2D90">
        <w:rPr>
          <w:rStyle w:val="Emphasis"/>
        </w:rPr>
        <w:t>1·2%</w:t>
      </w:r>
      <w:r w:rsidRPr="00DD2D90">
        <w:rPr>
          <w:rStyle w:val="StyleUnderline"/>
        </w:rPr>
        <w:t xml:space="preserve"> reduction in the risk of infant death</w:t>
      </w:r>
      <w:r w:rsidRPr="009278EB">
        <w:rPr>
          <w:sz w:val="16"/>
        </w:rPr>
        <w:t xml:space="preserve"> (AOR 0·988, 95% CI 0·981–0·995). </w:t>
      </w:r>
      <w:r w:rsidRPr="00DD2D90">
        <w:rPr>
          <w:rStyle w:val="StyleUnderline"/>
        </w:rPr>
        <w:t>This</w:t>
      </w:r>
      <w:r w:rsidRPr="009278EB">
        <w:rPr>
          <w:sz w:val="16"/>
        </w:rPr>
        <w:t xml:space="preserve"> finding </w:t>
      </w:r>
      <w:r w:rsidRPr="00DD2D90">
        <w:rPr>
          <w:rStyle w:val="StyleUnderline"/>
        </w:rPr>
        <w:t>translates into</w:t>
      </w:r>
      <w:r w:rsidRPr="009278EB">
        <w:rPr>
          <w:sz w:val="16"/>
        </w:rPr>
        <w:t xml:space="preserve"> an absolute measure of association of </w:t>
      </w:r>
      <w:r w:rsidRPr="00DD2D90">
        <w:rPr>
          <w:rStyle w:val="StyleUnderline"/>
        </w:rPr>
        <w:t>0·57 infant deaths per 1000 livebirths</w:t>
      </w:r>
      <w:r w:rsidRPr="009278EB">
        <w:rPr>
          <w:sz w:val="16"/>
        </w:rPr>
        <w:t xml:space="preserve">. Given that the mean increase in the UHC index over the period was 23·12, </w:t>
      </w:r>
      <w:r w:rsidRPr="00DD2D90">
        <w:rPr>
          <w:rStyle w:val="StyleUnderline"/>
          <w:highlight w:val="green"/>
        </w:rPr>
        <w:t>reductions in infant mortality</w:t>
      </w:r>
      <w:r w:rsidRPr="00DD2D90">
        <w:rPr>
          <w:rStyle w:val="StyleUnderline"/>
        </w:rPr>
        <w:t xml:space="preserve"> for the average country associated with the mean increase in UHC </w:t>
      </w:r>
      <w:r w:rsidRPr="00DD2D90">
        <w:rPr>
          <w:rStyle w:val="StyleUnderline"/>
          <w:highlight w:val="green"/>
        </w:rPr>
        <w:t xml:space="preserve">were estimated as </w:t>
      </w:r>
      <w:r w:rsidRPr="00DD2D90">
        <w:rPr>
          <w:rStyle w:val="Emphasis"/>
          <w:highlight w:val="green"/>
        </w:rPr>
        <w:t>13·2 deaths per 1000 livebirths</w:t>
      </w:r>
      <w:r w:rsidRPr="009278EB">
        <w:rPr>
          <w:sz w:val="16"/>
        </w:rPr>
        <w:t xml:space="preserve">. On the basis of UN estimates of 1·67 billion births and 86·2 million infant deaths in the 60 LMICs over the period 2000–19 (and assuming a constant absolute point estimate across countries and time), we estimated that </w:t>
      </w:r>
      <w:r w:rsidRPr="00DD2D90">
        <w:rPr>
          <w:rStyle w:val="StyleUnderline"/>
        </w:rPr>
        <w:t xml:space="preserve">increases in </w:t>
      </w:r>
      <w:r w:rsidRPr="00DD2D90">
        <w:rPr>
          <w:rStyle w:val="StyleUnderline"/>
          <w:highlight w:val="green"/>
        </w:rPr>
        <w:t xml:space="preserve">UHC were associated with </w:t>
      </w:r>
      <w:r w:rsidRPr="00DD2D90">
        <w:rPr>
          <w:rStyle w:val="Emphasis"/>
          <w:highlight w:val="green"/>
        </w:rPr>
        <w:t>15·5 million</w:t>
      </w:r>
      <w:r w:rsidRPr="00DD2D90">
        <w:rPr>
          <w:rStyle w:val="StyleUnderline"/>
          <w:highlight w:val="green"/>
        </w:rPr>
        <w:t xml:space="preserve"> averted infant deaths</w:t>
      </w:r>
      <w:r w:rsidRPr="00DD2D90">
        <w:rPr>
          <w:rStyle w:val="StyleUnderline"/>
        </w:rPr>
        <w:t xml:space="preserve"> between 2000–19 </w:t>
      </w:r>
      <w:r w:rsidRPr="009278EB">
        <w:rPr>
          <w:sz w:val="16"/>
        </w:rPr>
        <w:t xml:space="preserve">(appendix 1 p 16). Associations between infant mortality and the UHC index differed across wealth quintiles. Infants born in wealthier quintiles had larger reductions in the risk of infant mortality associated with increases in UHC than those from poorer quintiles (0·9% reduction for the poorest (quintile 1) compared with 1·7% reduction for the wealthiest quintile (quintile 5); statistically significant difference p=0·0260; table; appendix 1 pp 17–18). In absolute measures of association, the largest reductions in infant mortality were accrued by those in the middle wealth quintiles (Q1: 0·488 infant deaths per 1000 livebirths; Q2: 0·611; Q3: 0·607; Q4: 0·624; and Q5: 0·567). Overall, infants born in the poorest quintile had the smallest relative and absolute reductions in mortality associated with UHC. To test the inverse equity hypothesis, the association between UHC and infant mortality was varied by banding of increased UHC at birth. Generally, increases in UHC were consistently associated with reductions in infant mortality regardless of UHC level (appendix 1 p 19). There was some indication that at higher levels of UHC, increases in UHC were associated with smaller relative reductions in infant mortality (appendix 1 p 20); for example, 1·8% for very low UHC at birth (AOR 0·982, 95% CI 0·974–0·990) compared with 1·3% for middle–high UHC at birth (0·987, 0·980–0·994; overall interaction p=0·0111; and difference between very low UHC and middle–high UHC p=0·0086). Furthermore, the relative reductions in infant mortality were similar across wealth quintiles in the very low UHC category at birth (difference between quintile 1 and quintile 5 p=0·8986), but benefitted those in the wealthiest quintile (ie, larger relative reductions in quintile 5 compared with quintile 1) when UHC was higher. This finding was mainly caused by poorer quintiles accruing smaller reductions in infant mortality at higher levels of UHC, with a 1·8% reduction in infant mortality associated with a one unit increase in the UHC index for quintile 1 with very low UHC at birth (AOR 0·983, 95% CI 0·974–0·994) versus 1·0% for middle–high UHC at birth (0·990, 0·982–0·997; p=0·0112). These patterns were similar to the predicted absolute reductions in infant mortality associated with UHC. Where UHC at birth was very low, infants in wealth quintile 1 had an estimated reduction of 0·84 infant deaths per 1000 associated with a one unit increase in UHC coverage, which reduced to 0·64 where UHC coverage was middle–high. Infants in quintile 5 had similar absolute reductions in infant mortality associated with increases in UHC, regardless of country-level UHC (eg, 0·59 for low UHC and 0·57 for middle–high UHC). Exploring UHC subindices showed that expansions in the UHC service capacity and access (AOR 0·989, 95% CI 0·979–0·999) and the UHC RMNCH subindices (0·989, 0·983–0·994) were negatively associated with infant mortality (appendix 1 p 21). In interactions with wealth quintiles (figure 2), notably the capacity and access subindex were beneficial to the wealthiest quintile in the associations with infant mortality, whereby the richest wealth quintiles had reductions in infant mortality compared with no significant association in the poorest quintiles. The RMNCH subindex was consistently associated with reductions in infant mortality across wealth quintiles (ie, no significant difference across quintiles). The infectious disease UHC subindex was only associated with small reductions in infant mortality for the poorest wealth quintile (AOR 0·996, 95% CI 0·992–1·000), whereas there were no statistically significant associations between the non-communicable diseases subindex and infant mortality in any of the model specifications. The main findings were supported in alternative regression model specifications, including unweighted and unadjusted models (appendix 1 pp 14–15, 17–18). The point estimates were larger when country covariates and fixed effects were included. Alternative time and fixed-effects specifications yielded highly similar results (appendix 1 p 22). A quadratic UHC index variable was non-significant, suggesting that a linear specification was appropriate, and indicating no evidence of non-linear associations. Restricting the main analyses to only first-born children per mother yielded highly concordant findings (UHC overall 1·7%; AOR 0·983, 95% CI 0·972–0·994). Discussion In this study of 4·1 million births in 60 LMICs, </w:t>
      </w:r>
      <w:r w:rsidRPr="00DD2D90">
        <w:rPr>
          <w:rStyle w:val="StyleUnderline"/>
        </w:rPr>
        <w:t>the expansion of UHC was associated with reductions in infant mortality</w:t>
      </w:r>
      <w:r w:rsidRPr="009278EB">
        <w:rPr>
          <w:sz w:val="16"/>
        </w:rPr>
        <w:t xml:space="preserve">. However, on average this relationship benefitted wealthier quintiles, whereby babies born in wealthier households benefitted disproportionately more than those born in poorer households in terms of both relative and absolute reductions in infant mortality. Regarding UHC and the inverse equity hypothesis, the expansion of UHC from a low starting point was beneficial to poorer quintiles (in absolute terms), but as UHC increased, the relationship shifted to be more similar across wealth quintiles (and beneficial to wealthier quintiles in relative terms). RMNCH components of UHC appeared to deliver equitable reductions in infant mortality across wealth quintiles, whereas service capacity and access components benefitted wealthier populations. </w:t>
      </w:r>
      <w:r w:rsidRPr="00DD2D90">
        <w:rPr>
          <w:rStyle w:val="StyleUnderline"/>
        </w:rPr>
        <w:t xml:space="preserve">Reductions in infant mortality associated with UHC are </w:t>
      </w:r>
      <w:r w:rsidRPr="00DD2D90">
        <w:rPr>
          <w:rStyle w:val="Emphasis"/>
        </w:rPr>
        <w:t>unsurprising</w:t>
      </w:r>
      <w:r w:rsidRPr="009278EB">
        <w:rPr>
          <w:sz w:val="16"/>
        </w:rPr>
        <w:t xml:space="preserve">. Evidence shows that basic services (such as </w:t>
      </w:r>
      <w:r w:rsidRPr="00DD2D90">
        <w:rPr>
          <w:rStyle w:val="StyleUnderline"/>
          <w:highlight w:val="green"/>
        </w:rPr>
        <w:t>family planning, antenatal care, and immunisation</w:t>
      </w:r>
      <w:r w:rsidRPr="009278EB">
        <w:rPr>
          <w:sz w:val="16"/>
        </w:rPr>
        <w:t xml:space="preserve">, </w:t>
      </w:r>
      <w:r w:rsidRPr="00DD2D90">
        <w:rPr>
          <w:rStyle w:val="StyleUnderline"/>
          <w:highlight w:val="green"/>
        </w:rPr>
        <w:t xml:space="preserve">all key </w:t>
      </w:r>
      <w:r w:rsidRPr="00DD2D90">
        <w:rPr>
          <w:rStyle w:val="StyleUnderline"/>
        </w:rPr>
        <w:t xml:space="preserve">tracer indicators </w:t>
      </w:r>
      <w:r w:rsidRPr="00DD2D90">
        <w:rPr>
          <w:rStyle w:val="StyleUnderline"/>
          <w:highlight w:val="green"/>
        </w:rPr>
        <w:t>within</w:t>
      </w:r>
      <w:r w:rsidRPr="00DD2D90">
        <w:rPr>
          <w:rStyle w:val="StyleUnderline"/>
        </w:rPr>
        <w:t xml:space="preserve"> the </w:t>
      </w:r>
      <w:r w:rsidRPr="00DD2D90">
        <w:rPr>
          <w:rStyle w:val="StyleUnderline"/>
          <w:highlight w:val="green"/>
        </w:rPr>
        <w:t>UHC</w:t>
      </w:r>
      <w:r w:rsidRPr="00DD2D90">
        <w:rPr>
          <w:rStyle w:val="StyleUnderline"/>
        </w:rPr>
        <w:t xml:space="preserve"> index</w:t>
      </w:r>
      <w:r w:rsidRPr="009278EB">
        <w:rPr>
          <w:sz w:val="16"/>
        </w:rPr>
        <w:t xml:space="preserve">) </w:t>
      </w:r>
      <w:r w:rsidRPr="00DD2D90">
        <w:rPr>
          <w:rStyle w:val="StyleUnderline"/>
          <w:highlight w:val="green"/>
        </w:rPr>
        <w:t>are</w:t>
      </w:r>
      <w:r w:rsidRPr="00DD2D90">
        <w:rPr>
          <w:rStyle w:val="StyleUnderline"/>
        </w:rPr>
        <w:t xml:space="preserve"> </w:t>
      </w:r>
      <w:r w:rsidRPr="00DD2D90">
        <w:rPr>
          <w:rStyle w:val="Emphasis"/>
          <w:highlight w:val="green"/>
        </w:rPr>
        <w:t>consistently</w:t>
      </w:r>
      <w:r w:rsidRPr="00DD2D90">
        <w:rPr>
          <w:rStyle w:val="StyleUnderline"/>
          <w:highlight w:val="green"/>
        </w:rPr>
        <w:t xml:space="preserve"> associated with reduced infant mortality</w:t>
      </w:r>
      <w:r w:rsidRPr="009278EB">
        <w:rPr>
          <w:sz w:val="16"/>
        </w:rPr>
        <w:t xml:space="preserve">.44–47,50 </w:t>
      </w:r>
      <w:r w:rsidRPr="00DD2D90">
        <w:rPr>
          <w:rStyle w:val="StyleUnderline"/>
          <w:highlight w:val="green"/>
        </w:rPr>
        <w:t>Health system investments</w:t>
      </w:r>
      <w:r w:rsidRPr="009278EB">
        <w:rPr>
          <w:sz w:val="16"/>
        </w:rPr>
        <w:t xml:space="preserve">, </w:t>
      </w:r>
      <w:r w:rsidRPr="00DD2D90">
        <w:rPr>
          <w:rStyle w:val="StyleUnderline"/>
        </w:rPr>
        <w:t>such as hospital beds and health workforce availability</w:t>
      </w:r>
      <w:r w:rsidRPr="009278EB">
        <w:rPr>
          <w:sz w:val="16"/>
        </w:rPr>
        <w:t xml:space="preserve">, </w:t>
      </w:r>
      <w:r w:rsidRPr="00DD2D90">
        <w:rPr>
          <w:rStyle w:val="StyleUnderline"/>
          <w:highlight w:val="green"/>
        </w:rPr>
        <w:t>are included in the UHC index</w:t>
      </w:r>
      <w:r w:rsidRPr="009278EB">
        <w:rPr>
          <w:sz w:val="16"/>
        </w:rPr>
        <w:t xml:space="preserve">, with evidence from multiple settings demonstrating their importance in reducing infant deaths.51–53 The finding that UHC expansion is associated with inequalities skewed towards wealthier populations in reductions in infant mortality is contrary to the underlying spirit of UHC, which is based on fairness and equality.6 Yet, there is some concordance with evidence on inequalities in service coverage. Inequalities in access, coverage, and quality of child and maternal health interventions that benefit wealthier populations are widely documented.23,35–39,67 Lower-income individuals face financial barriers, little health insurance coverage, and geographical disparities impeding access to health care.68,69 These individuals also have a lower quality of care, such as lower access to essential medications, diagnostic services, skilled health-care providers, and timely treatments.70–72 This finding also aligns with the inverse care law, whereby high-quality health care is inversely available in relation to population needs.31 However, the use of quintiles in this analysis obscures the depth of the inequality in many LMICs, where higher wealth quintiles might still be poor in absolute terms, both globally and within countries. For the 60 LMICs studied, the country-mean absolute poverty rate (at &lt;USD$6·85 a day) was more than 60% of the population. </w:t>
      </w:r>
    </w:p>
    <w:p w14:paraId="0E7606AF" w14:textId="5D0A1857" w:rsidR="009C702C" w:rsidRPr="009278EB" w:rsidRDefault="009C702C" w:rsidP="009C702C">
      <w:pPr>
        <w:pStyle w:val="Heading4"/>
        <w:rPr>
          <w:szCs w:val="26"/>
        </w:rPr>
      </w:pPr>
      <w:r w:rsidRPr="009278EB">
        <w:rPr>
          <w:szCs w:val="26"/>
        </w:rPr>
        <w:t>Better healthcare save</w:t>
      </w:r>
      <w:r w:rsidR="006F7C06" w:rsidRPr="009278EB">
        <w:rPr>
          <w:szCs w:val="26"/>
        </w:rPr>
        <w:t>s the</w:t>
      </w:r>
      <w:r w:rsidRPr="009278EB">
        <w:rPr>
          <w:szCs w:val="26"/>
        </w:rPr>
        <w:t xml:space="preserve"> economy </w:t>
      </w:r>
      <w:r w:rsidR="006F7C06" w:rsidRPr="009278EB">
        <w:rPr>
          <w:szCs w:val="26"/>
        </w:rPr>
        <w:t>and the</w:t>
      </w:r>
      <w:r w:rsidRPr="009278EB">
        <w:rPr>
          <w:szCs w:val="26"/>
        </w:rPr>
        <w:t xml:space="preserve"> demographic pyramid</w:t>
      </w:r>
    </w:p>
    <w:p w14:paraId="60EB0D43" w14:textId="77777777" w:rsidR="009C702C" w:rsidRPr="00DD2D90" w:rsidRDefault="009C702C" w:rsidP="009C702C">
      <w:r w:rsidRPr="009278EB">
        <w:rPr>
          <w:b/>
          <w:bCs/>
          <w:sz w:val="26"/>
          <w:szCs w:val="26"/>
        </w:rPr>
        <w:t>Lantz 21</w:t>
      </w:r>
      <w:r w:rsidRPr="00DD2D90">
        <w:t xml:space="preserve"> [Paula Lantz, Professor of Public Policy and Health Management &amp; Policy at Ford School, 11-10-2021, "The Social Determinants of Declining Birth Rates in the United States: Implications for Population Health and Public Policy", Milbank Memorial Fund, https://www.milbank.org/quarterly/opinions/the-social-determinants-of-declining-birth-rates-in-the-united-states-implications-for-population-health-and-public-policy/]/Kankee</w:t>
      </w:r>
    </w:p>
    <w:p w14:paraId="3468AB31" w14:textId="77777777" w:rsidR="009C702C" w:rsidRPr="009278EB" w:rsidRDefault="009C702C" w:rsidP="009C702C">
      <w:pPr>
        <w:rPr>
          <w:sz w:val="16"/>
        </w:rPr>
      </w:pPr>
      <w:r w:rsidRPr="009278EB">
        <w:rPr>
          <w:sz w:val="16"/>
        </w:rPr>
        <w:t xml:space="preserve">Of the three primary demographic forces in population dynamics—birth, death, and migration—mortality receives by far the most attention in population health. For example, significant attention is rightly being given to social inequality in mortality and trends in life expectancy in the United States, including the declines observed from 2015 to 2017 and the significant decline fueled by COVID-19 in 2020. Receiving less attention is another demographic trend that also is an important indicator of population health: the recent sharp decline in birth rates in the United States. Many of the social determinants of morbidity and mortality in populations are also the social determinants of fertility and birth. As such, this significant decline in births is a warning sign regarding the social and economic factors that are the fundamental drivers of all population dynamics, including population health. </w:t>
      </w:r>
      <w:r w:rsidRPr="00DD2D90">
        <w:rPr>
          <w:rStyle w:val="StyleUnderline"/>
          <w:highlight w:val="green"/>
        </w:rPr>
        <w:t xml:space="preserve">The </w:t>
      </w:r>
      <w:r w:rsidRPr="00DD2D90">
        <w:rPr>
          <w:rStyle w:val="StyleUnderline"/>
        </w:rPr>
        <w:t xml:space="preserve">US </w:t>
      </w:r>
      <w:r w:rsidRPr="00DD2D90">
        <w:rPr>
          <w:rStyle w:val="StyleUnderline"/>
          <w:highlight w:val="green"/>
        </w:rPr>
        <w:t>birth rate</w:t>
      </w:r>
      <w:r w:rsidRPr="00DD2D90">
        <w:rPr>
          <w:rStyle w:val="StyleUnderline"/>
        </w:rPr>
        <w:t xml:space="preserve"> dropped 4% in 2020 and </w:t>
      </w:r>
      <w:r w:rsidRPr="00DD2D90">
        <w:rPr>
          <w:rStyle w:val="StyleUnderline"/>
          <w:highlight w:val="green"/>
        </w:rPr>
        <w:t>was</w:t>
      </w:r>
      <w:r w:rsidRPr="009278EB">
        <w:rPr>
          <w:sz w:val="16"/>
        </w:rPr>
        <w:t xml:space="preserve"> already </w:t>
      </w:r>
      <w:r w:rsidRPr="00DD2D90">
        <w:rPr>
          <w:rStyle w:val="StyleUnderline"/>
        </w:rPr>
        <w:t xml:space="preserve">at </w:t>
      </w:r>
      <w:r w:rsidRPr="00DD2D90">
        <w:rPr>
          <w:rStyle w:val="StyleUnderline"/>
          <w:highlight w:val="green"/>
        </w:rPr>
        <w:t xml:space="preserve">a </w:t>
      </w:r>
      <w:r w:rsidRPr="00DD2D90">
        <w:rPr>
          <w:rStyle w:val="Emphasis"/>
          <w:highlight w:val="green"/>
        </w:rPr>
        <w:t>record low</w:t>
      </w:r>
      <w:r w:rsidRPr="00DD2D90">
        <w:rPr>
          <w:rStyle w:val="StyleUnderline"/>
          <w:highlight w:val="green"/>
        </w:rPr>
        <w:t xml:space="preserve"> </w:t>
      </w:r>
      <w:r w:rsidRPr="00DD2D90">
        <w:rPr>
          <w:rStyle w:val="StyleUnderline"/>
        </w:rPr>
        <w:t>before</w:t>
      </w:r>
      <w:r w:rsidRPr="009278EB">
        <w:rPr>
          <w:sz w:val="16"/>
        </w:rPr>
        <w:t xml:space="preserve"> the </w:t>
      </w:r>
      <w:r w:rsidRPr="00DD2D90">
        <w:rPr>
          <w:rStyle w:val="StyleUnderline"/>
        </w:rPr>
        <w:t>COVID</w:t>
      </w:r>
      <w:r w:rsidRPr="009278EB">
        <w:rPr>
          <w:sz w:val="16"/>
        </w:rPr>
        <w:t xml:space="preserve">-19 pandemic. The 2020 birth rate was 55.8 live births for every 1,000 females ages 15-44, </w:t>
      </w:r>
      <w:r w:rsidRPr="00DD2D90">
        <w:rPr>
          <w:rStyle w:val="StyleUnderline"/>
        </w:rPr>
        <w:t xml:space="preserve">trending downward for the </w:t>
      </w:r>
      <w:r w:rsidRPr="00DD2D90">
        <w:rPr>
          <w:rStyle w:val="Emphasis"/>
        </w:rPr>
        <w:t>sixth</w:t>
      </w:r>
      <w:r w:rsidRPr="00DD2D90">
        <w:rPr>
          <w:rStyle w:val="StyleUnderline"/>
        </w:rPr>
        <w:t xml:space="preserve"> </w:t>
      </w:r>
      <w:r w:rsidRPr="00DD2D90">
        <w:rPr>
          <w:rStyle w:val="Emphasis"/>
        </w:rPr>
        <w:t>consecutive</w:t>
      </w:r>
      <w:r w:rsidRPr="00DD2D90">
        <w:rPr>
          <w:rStyle w:val="StyleUnderline"/>
        </w:rPr>
        <w:t xml:space="preserve"> year</w:t>
      </w:r>
      <w:r w:rsidRPr="009278EB">
        <w:rPr>
          <w:sz w:val="16"/>
        </w:rPr>
        <w:t xml:space="preserve">. The total fertility rate (TFR), which is a population statistic that simulates the average number of children females in a birth cohort will have if they go through life with current age-specific birth rates, is also trending downward. The </w:t>
      </w:r>
      <w:r w:rsidRPr="00DD2D90">
        <w:rPr>
          <w:rStyle w:val="StyleUnderline"/>
        </w:rPr>
        <w:t>TFR</w:t>
      </w:r>
      <w:r w:rsidRPr="009278EB">
        <w:rPr>
          <w:sz w:val="16"/>
        </w:rPr>
        <w:t xml:space="preserve"> in the United States </w:t>
      </w:r>
      <w:r w:rsidRPr="00DD2D90">
        <w:rPr>
          <w:rStyle w:val="StyleUnderline"/>
        </w:rPr>
        <w:t>plummeted from 2.12 in 2007 to a record low of 1.64 in 2020</w:t>
      </w:r>
      <w:r w:rsidRPr="009278EB">
        <w:rPr>
          <w:sz w:val="16"/>
        </w:rPr>
        <w:t xml:space="preserve">, which is </w:t>
      </w:r>
      <w:r w:rsidRPr="00DD2D90">
        <w:rPr>
          <w:rStyle w:val="StyleUnderline"/>
        </w:rPr>
        <w:t>far below the level of 2.1 needed for population stability</w:t>
      </w:r>
      <w:r w:rsidRPr="009278EB">
        <w:rPr>
          <w:sz w:val="16"/>
        </w:rPr>
        <w:t xml:space="preserve">. This decline is primarily being driven by declines in births among those under 35 years of age (including teens) and immigrants. Forecasting birth rates is challenging, given that many social and economic factors influence fertility, and that the reported “fertility intentions” of younger people are typically inaccurate. However, demographers predict that </w:t>
      </w:r>
      <w:r w:rsidRPr="00DD2D90">
        <w:rPr>
          <w:rStyle w:val="StyleUnderline"/>
        </w:rPr>
        <w:t>the declining birth rate in the United States is going to persist. Most high- and middle-income countries are also experiencing declines and many already have lower TFRs than the United States, including South Korea</w:t>
      </w:r>
      <w:r w:rsidRPr="009278EB">
        <w:rPr>
          <w:sz w:val="16"/>
        </w:rPr>
        <w:t xml:space="preserve"> (1.11), </w:t>
      </w:r>
      <w:r w:rsidRPr="00DD2D90">
        <w:rPr>
          <w:rStyle w:val="StyleUnderline"/>
        </w:rPr>
        <w:t>Singapore</w:t>
      </w:r>
      <w:r w:rsidRPr="009278EB">
        <w:rPr>
          <w:sz w:val="16"/>
        </w:rPr>
        <w:t xml:space="preserve"> (1.21), </w:t>
      </w:r>
      <w:r w:rsidRPr="00DD2D90">
        <w:rPr>
          <w:rStyle w:val="StyleUnderline"/>
        </w:rPr>
        <w:t>Italy</w:t>
      </w:r>
      <w:r w:rsidRPr="009278EB">
        <w:rPr>
          <w:sz w:val="16"/>
        </w:rPr>
        <w:t xml:space="preserve"> (1.33), </w:t>
      </w:r>
      <w:r w:rsidRPr="00DD2D90">
        <w:rPr>
          <w:rStyle w:val="StyleUnderline"/>
        </w:rPr>
        <w:t>Greece</w:t>
      </w:r>
      <w:r w:rsidRPr="009278EB">
        <w:rPr>
          <w:sz w:val="16"/>
        </w:rPr>
        <w:t xml:space="preserve"> (1.30), </w:t>
      </w:r>
      <w:r w:rsidRPr="00DD2D90">
        <w:rPr>
          <w:rStyle w:val="StyleUnderline"/>
        </w:rPr>
        <w:t>Japan</w:t>
      </w:r>
      <w:r w:rsidRPr="009278EB">
        <w:rPr>
          <w:sz w:val="16"/>
        </w:rPr>
        <w:t xml:space="preserve"> (1.37), </w:t>
      </w:r>
      <w:r w:rsidRPr="00DD2D90">
        <w:rPr>
          <w:rStyle w:val="StyleUnderline"/>
        </w:rPr>
        <w:t>Poland</w:t>
      </w:r>
      <w:r w:rsidRPr="009278EB">
        <w:rPr>
          <w:sz w:val="16"/>
        </w:rPr>
        <w:t xml:space="preserve"> (1.39), </w:t>
      </w:r>
      <w:r w:rsidRPr="00DD2D90">
        <w:rPr>
          <w:rStyle w:val="StyleUnderline"/>
        </w:rPr>
        <w:t>and Canada</w:t>
      </w:r>
      <w:r w:rsidRPr="009278EB">
        <w:rPr>
          <w:sz w:val="16"/>
        </w:rPr>
        <w:t xml:space="preserve"> (1.53). </w:t>
      </w:r>
      <w:r w:rsidRPr="00DD2D90">
        <w:rPr>
          <w:rStyle w:val="StyleUnderline"/>
        </w:rPr>
        <w:t>Birth rates are an important indicator of overall population health</w:t>
      </w:r>
      <w:r w:rsidRPr="009278EB">
        <w:rPr>
          <w:sz w:val="16"/>
        </w:rPr>
        <w:t xml:space="preserve"> and well-being for many reasons. First, changes in a population’s </w:t>
      </w:r>
      <w:r w:rsidRPr="00DD2D90">
        <w:rPr>
          <w:rStyle w:val="StyleUnderline"/>
          <w:highlight w:val="green"/>
        </w:rPr>
        <w:t>TFR</w:t>
      </w:r>
      <w:r w:rsidRPr="009278EB">
        <w:rPr>
          <w:sz w:val="16"/>
          <w:highlight w:val="green"/>
        </w:rPr>
        <w:t xml:space="preserve"> </w:t>
      </w:r>
      <w:r w:rsidRPr="00DD2D90">
        <w:rPr>
          <w:rStyle w:val="StyleUnderline"/>
          <w:highlight w:val="green"/>
        </w:rPr>
        <w:t>are a reflection of</w:t>
      </w:r>
      <w:r w:rsidRPr="00DD2D90">
        <w:rPr>
          <w:rStyle w:val="StyleUnderline"/>
        </w:rPr>
        <w:t xml:space="preserve"> </w:t>
      </w:r>
      <w:r w:rsidRPr="009278EB">
        <w:rPr>
          <w:sz w:val="16"/>
        </w:rPr>
        <w:t xml:space="preserve">myriad social factors, including the range of opportunities and </w:t>
      </w:r>
      <w:r w:rsidRPr="00DD2D90">
        <w:rPr>
          <w:rStyle w:val="StyleUnderline"/>
          <w:highlight w:val="green"/>
        </w:rPr>
        <w:t>resources</w:t>
      </w:r>
      <w:r w:rsidRPr="009278EB">
        <w:rPr>
          <w:sz w:val="16"/>
          <w:highlight w:val="green"/>
        </w:rPr>
        <w:t xml:space="preserve"> </w:t>
      </w:r>
      <w:r w:rsidRPr="00DD2D90">
        <w:rPr>
          <w:rStyle w:val="StyleUnderline"/>
          <w:highlight w:val="green"/>
        </w:rPr>
        <w:t>afforded to women</w:t>
      </w:r>
      <w:r w:rsidRPr="009278EB">
        <w:rPr>
          <w:sz w:val="16"/>
        </w:rPr>
        <w:t xml:space="preserve">. It is well understood that, at the population level, increases in education and labor force participation among females lead to delays in or avoidance of marriage and childbearing, which in turn decreases birth rates. In addition, technology has both increased the ability to avoid pregnancy and assisted with infertility, including at older ages. However, </w:t>
      </w:r>
      <w:r w:rsidRPr="00DD2D90">
        <w:rPr>
          <w:rStyle w:val="StyleUnderline"/>
          <w:highlight w:val="green"/>
        </w:rPr>
        <w:t>declines</w:t>
      </w:r>
      <w:r w:rsidRPr="00DD2D90">
        <w:rPr>
          <w:rStyle w:val="StyleUnderline"/>
        </w:rPr>
        <w:t xml:space="preserve"> in birth rates </w:t>
      </w:r>
      <w:r w:rsidRPr="00DD2D90">
        <w:rPr>
          <w:rStyle w:val="StyleUnderline"/>
          <w:highlight w:val="green"/>
        </w:rPr>
        <w:t>are</w:t>
      </w:r>
      <w:r w:rsidRPr="00DD2D90">
        <w:rPr>
          <w:rStyle w:val="StyleUnderline"/>
        </w:rPr>
        <w:t xml:space="preserve"> </w:t>
      </w:r>
      <w:r w:rsidRPr="009278EB">
        <w:rPr>
          <w:sz w:val="16"/>
        </w:rPr>
        <w:t>also</w:t>
      </w:r>
      <w:r w:rsidRPr="00DD2D90">
        <w:rPr>
          <w:rStyle w:val="StyleUnderline"/>
        </w:rPr>
        <w:t xml:space="preserve"> </w:t>
      </w:r>
      <w:r w:rsidRPr="00DD2D90">
        <w:rPr>
          <w:rStyle w:val="StyleUnderline"/>
          <w:highlight w:val="green"/>
        </w:rPr>
        <w:t>driven</w:t>
      </w:r>
      <w:r w:rsidRPr="009278EB">
        <w:rPr>
          <w:sz w:val="16"/>
          <w:highlight w:val="green"/>
        </w:rPr>
        <w:t xml:space="preserve"> </w:t>
      </w:r>
      <w:r w:rsidRPr="00DD2D90">
        <w:rPr>
          <w:rStyle w:val="StyleUnderline"/>
          <w:highlight w:val="green"/>
        </w:rPr>
        <w:t>by</w:t>
      </w:r>
      <w:r w:rsidRPr="009278EB">
        <w:rPr>
          <w:sz w:val="16"/>
        </w:rPr>
        <w:t xml:space="preserve"> social and </w:t>
      </w:r>
      <w:r w:rsidRPr="00DD2D90">
        <w:rPr>
          <w:rStyle w:val="StyleUnderline"/>
          <w:highlight w:val="green"/>
        </w:rPr>
        <w:t>economic</w:t>
      </w:r>
      <w:r w:rsidRPr="00DD2D90">
        <w:rPr>
          <w:rStyle w:val="StyleUnderline"/>
        </w:rPr>
        <w:t xml:space="preserve"> </w:t>
      </w:r>
      <w:r w:rsidRPr="00DD2D90">
        <w:rPr>
          <w:rStyle w:val="StyleUnderline"/>
          <w:highlight w:val="green"/>
        </w:rPr>
        <w:t xml:space="preserve">factors that </w:t>
      </w:r>
      <w:r w:rsidRPr="00DD2D90">
        <w:rPr>
          <w:rStyle w:val="StyleUnderline"/>
        </w:rPr>
        <w:t xml:space="preserve">constrain and </w:t>
      </w:r>
      <w:r w:rsidRPr="00DD2D90">
        <w:rPr>
          <w:rStyle w:val="StyleUnderline"/>
          <w:highlight w:val="green"/>
        </w:rPr>
        <w:t>influence</w:t>
      </w:r>
      <w:r w:rsidRPr="00DD2D90">
        <w:rPr>
          <w:rStyle w:val="StyleUnderline"/>
        </w:rPr>
        <w:t xml:space="preserve"> </w:t>
      </w:r>
      <w:r w:rsidRPr="00DD2D90">
        <w:rPr>
          <w:rStyle w:val="StyleUnderline"/>
          <w:highlight w:val="green"/>
        </w:rPr>
        <w:t>people</w:t>
      </w:r>
      <w:r w:rsidRPr="00DD2D90">
        <w:rPr>
          <w:rStyle w:val="StyleUnderline"/>
        </w:rPr>
        <w:t xml:space="preserve"> </w:t>
      </w:r>
      <w:r w:rsidRPr="00DD2D90">
        <w:rPr>
          <w:rStyle w:val="StyleUnderline"/>
          <w:highlight w:val="green"/>
        </w:rPr>
        <w:t>against having</w:t>
      </w:r>
      <w:r w:rsidRPr="00DD2D90">
        <w:rPr>
          <w:rStyle w:val="StyleUnderline"/>
        </w:rPr>
        <w:t xml:space="preserve"> any or many </w:t>
      </w:r>
      <w:r w:rsidRPr="00DD2D90">
        <w:rPr>
          <w:rStyle w:val="StyleUnderline"/>
          <w:highlight w:val="green"/>
        </w:rPr>
        <w:t>children</w:t>
      </w:r>
      <w:r w:rsidRPr="009278EB">
        <w:rPr>
          <w:sz w:val="16"/>
        </w:rPr>
        <w:t xml:space="preserve">. </w:t>
      </w:r>
      <w:r w:rsidRPr="00DD2D90">
        <w:rPr>
          <w:rStyle w:val="StyleUnderline"/>
          <w:highlight w:val="green"/>
        </w:rPr>
        <w:t>Economic conditions</w:t>
      </w:r>
      <w:r w:rsidRPr="00DD2D90">
        <w:rPr>
          <w:rStyle w:val="StyleUnderline"/>
        </w:rPr>
        <w:t xml:space="preserve"> that influence birth rates </w:t>
      </w:r>
      <w:r w:rsidRPr="00DD2D90">
        <w:rPr>
          <w:rStyle w:val="StyleUnderline"/>
          <w:highlight w:val="green"/>
        </w:rPr>
        <w:t>include</w:t>
      </w:r>
      <w:r w:rsidRPr="009278EB">
        <w:rPr>
          <w:sz w:val="16"/>
        </w:rPr>
        <w:t xml:space="preserve"> recessions, wage levels, tax levels, the costs of child care, and other economic and opportunity costs of being in versus out of the labor force. The pressures facing young adults, including student debt, the rising costs of housing and </w:t>
      </w:r>
      <w:r w:rsidRPr="00DD2D90">
        <w:rPr>
          <w:rStyle w:val="Emphasis"/>
          <w:highlight w:val="green"/>
        </w:rPr>
        <w:t>health insurance</w:t>
      </w:r>
      <w:r w:rsidRPr="009278EB">
        <w:rPr>
          <w:sz w:val="16"/>
        </w:rPr>
        <w:t>, and ongoing gender and racial wage inequality also appear to influence decisions about family formation and procreation. In addition, while the relationship between the division of domestic labor within a household and fertility is complex and varies across countries, there is evidence of a negative correlation between a gendered, unequal sharing of household work and fertility. Second</w:t>
      </w:r>
      <w:r w:rsidRPr="009278EB">
        <w:rPr>
          <w:sz w:val="16"/>
          <w:highlight w:val="green"/>
        </w:rPr>
        <w:t>,</w:t>
      </w:r>
      <w:r w:rsidRPr="009278EB">
        <w:rPr>
          <w:sz w:val="16"/>
        </w:rPr>
        <w:t xml:space="preserve"> </w:t>
      </w:r>
      <w:r w:rsidRPr="00DD2D90">
        <w:rPr>
          <w:rStyle w:val="StyleUnderline"/>
          <w:highlight w:val="green"/>
        </w:rPr>
        <w:t>when</w:t>
      </w:r>
      <w:r w:rsidRPr="00DD2D90">
        <w:rPr>
          <w:rStyle w:val="StyleUnderline"/>
        </w:rPr>
        <w:t xml:space="preserve"> the </w:t>
      </w:r>
      <w:r w:rsidRPr="00DD2D90">
        <w:rPr>
          <w:rStyle w:val="StyleUnderline"/>
          <w:highlight w:val="green"/>
        </w:rPr>
        <w:t>TFR drops</w:t>
      </w:r>
      <w:r w:rsidRPr="00DD2D90">
        <w:rPr>
          <w:rStyle w:val="StyleUnderline"/>
        </w:rPr>
        <w:t xml:space="preserve"> below 2.1</w:t>
      </w:r>
      <w:r w:rsidRPr="009278EB">
        <w:rPr>
          <w:sz w:val="16"/>
        </w:rPr>
        <w:t xml:space="preserve"> (the break-even replacement level), </w:t>
      </w:r>
      <w:r w:rsidRPr="00DD2D90">
        <w:rPr>
          <w:rStyle w:val="StyleUnderline"/>
        </w:rPr>
        <w:t xml:space="preserve">a population will age </w:t>
      </w:r>
      <w:r w:rsidRPr="00DD2D90">
        <w:rPr>
          <w:rStyle w:val="Emphasis"/>
        </w:rPr>
        <w:t>dramatically</w:t>
      </w:r>
      <w:r w:rsidRPr="00DD2D90">
        <w:rPr>
          <w:rStyle w:val="StyleUnderline"/>
        </w:rPr>
        <w:t xml:space="preserve"> in the absence of immigration</w:t>
      </w:r>
      <w:r w:rsidRPr="009278EB">
        <w:rPr>
          <w:sz w:val="16"/>
        </w:rPr>
        <w:t xml:space="preserve">. </w:t>
      </w:r>
      <w:r w:rsidRPr="00DD2D90">
        <w:rPr>
          <w:rStyle w:val="StyleUnderline"/>
        </w:rPr>
        <w:t>This</w:t>
      </w:r>
      <w:r w:rsidRPr="009278EB">
        <w:rPr>
          <w:sz w:val="16"/>
        </w:rPr>
        <w:t xml:space="preserve">, in turn, </w:t>
      </w:r>
      <w:r w:rsidRPr="00DD2D90">
        <w:rPr>
          <w:rStyle w:val="StyleUnderline"/>
          <w:highlight w:val="green"/>
        </w:rPr>
        <w:t xml:space="preserve">contributes to </w:t>
      </w:r>
      <w:r w:rsidRPr="00DD2D90">
        <w:rPr>
          <w:rStyle w:val="Emphasis"/>
          <w:highlight w:val="green"/>
        </w:rPr>
        <w:t>labor shortages</w:t>
      </w:r>
      <w:r w:rsidRPr="00DD2D90">
        <w:rPr>
          <w:rStyle w:val="StyleUnderline"/>
        </w:rPr>
        <w:t xml:space="preserve"> </w:t>
      </w:r>
      <w:r w:rsidRPr="00DD2D90">
        <w:rPr>
          <w:rStyle w:val="StyleUnderline"/>
          <w:highlight w:val="green"/>
        </w:rPr>
        <w:t>and</w:t>
      </w:r>
      <w:r w:rsidRPr="00DD2D90">
        <w:rPr>
          <w:rStyle w:val="StyleUnderline"/>
        </w:rPr>
        <w:t xml:space="preserve"> will also </w:t>
      </w:r>
      <w:r w:rsidRPr="00DD2D90">
        <w:rPr>
          <w:rStyle w:val="StyleUnderline"/>
          <w:highlight w:val="green"/>
        </w:rPr>
        <w:t>increase the</w:t>
      </w:r>
      <w:r w:rsidRPr="00DD2D90">
        <w:rPr>
          <w:rStyle w:val="StyleUnderline"/>
        </w:rPr>
        <w:t xml:space="preserve"> population “total </w:t>
      </w:r>
      <w:r w:rsidRPr="00DD2D90">
        <w:rPr>
          <w:rStyle w:val="StyleUnderline"/>
          <w:highlight w:val="green"/>
        </w:rPr>
        <w:t>dependency ratio</w:t>
      </w:r>
      <w:r w:rsidRPr="009278EB">
        <w:rPr>
          <w:sz w:val="16"/>
        </w:rPr>
        <w:t xml:space="preserve">,” which is the ratio of the number of people in age groups not typically in the labor market (0-14 and 65+ years) to the number in all other age groups, multiplied by 100. </w:t>
      </w:r>
      <w:r w:rsidRPr="00DD2D90">
        <w:rPr>
          <w:rStyle w:val="StyleUnderline"/>
        </w:rPr>
        <w:t>The US dependency ratio was 59 in 2010, 64 in 2019, and is projected to be 73 by 2050 primarily due to population aging from the 1946-1964 Baby Boom</w:t>
      </w:r>
      <w:r w:rsidRPr="009278EB">
        <w:rPr>
          <w:sz w:val="16"/>
        </w:rPr>
        <w:t xml:space="preserve">. Additional </w:t>
      </w:r>
      <w:r w:rsidRPr="00DD2D90">
        <w:rPr>
          <w:rStyle w:val="StyleUnderline"/>
        </w:rPr>
        <w:t xml:space="preserve">declines in birth rates without offsets from immigration will further increase the dependency ratio, </w:t>
      </w:r>
      <w:r w:rsidRPr="00DD2D90">
        <w:rPr>
          <w:rStyle w:val="StyleUnderline"/>
          <w:highlight w:val="green"/>
        </w:rPr>
        <w:t>which raises</w:t>
      </w:r>
      <w:r w:rsidRPr="009278EB">
        <w:rPr>
          <w:sz w:val="16"/>
          <w:highlight w:val="green"/>
        </w:rPr>
        <w:t xml:space="preserve"> </w:t>
      </w:r>
      <w:r w:rsidRPr="00DD2D90">
        <w:rPr>
          <w:rStyle w:val="Emphasis"/>
          <w:highlight w:val="green"/>
        </w:rPr>
        <w:t>serious concerns</w:t>
      </w:r>
      <w:r w:rsidRPr="009278EB">
        <w:rPr>
          <w:sz w:val="16"/>
          <w:highlight w:val="green"/>
        </w:rPr>
        <w:t xml:space="preserve"> </w:t>
      </w:r>
      <w:r w:rsidRPr="00DD2D90">
        <w:rPr>
          <w:rStyle w:val="StyleUnderline"/>
          <w:highlight w:val="green"/>
        </w:rPr>
        <w:t>about</w:t>
      </w:r>
      <w:r w:rsidRPr="00DD2D90">
        <w:rPr>
          <w:rStyle w:val="StyleUnderline"/>
        </w:rPr>
        <w:t xml:space="preserve"> economic </w:t>
      </w:r>
      <w:r w:rsidRPr="009278EB">
        <w:rPr>
          <w:sz w:val="16"/>
        </w:rPr>
        <w:t>stability/</w:t>
      </w:r>
      <w:r w:rsidRPr="00DD2D90">
        <w:rPr>
          <w:rStyle w:val="StyleUnderline"/>
          <w:highlight w:val="green"/>
        </w:rPr>
        <w:t>growth</w:t>
      </w:r>
      <w:r w:rsidRPr="009278EB">
        <w:rPr>
          <w:sz w:val="16"/>
        </w:rPr>
        <w:t xml:space="preserve"> and the ability of the working population to support the social, financial, and health care needs of the dependent population. Loud and serious alarms have been sounding about the aging of the US population and the solvency of our major social insurance programs for quite some time. These concerns are further exacerbated by steeper than expected birth rate declines and the </w:t>
      </w:r>
      <w:r w:rsidRPr="00DD2D90">
        <w:rPr>
          <w:rStyle w:val="StyleUnderline"/>
        </w:rPr>
        <w:t>COVID</w:t>
      </w:r>
      <w:r w:rsidRPr="009278EB">
        <w:rPr>
          <w:sz w:val="16"/>
        </w:rPr>
        <w:t xml:space="preserve">-19 pandemic, which has </w:t>
      </w:r>
      <w:r w:rsidRPr="00DD2D90">
        <w:rPr>
          <w:rStyle w:val="StyleUnderline"/>
        </w:rPr>
        <w:t xml:space="preserve">fueled </w:t>
      </w:r>
      <w:r w:rsidRPr="00DD2D90">
        <w:rPr>
          <w:rStyle w:val="Emphasis"/>
        </w:rPr>
        <w:t>dramatic</w:t>
      </w:r>
      <w:r w:rsidRPr="00DD2D90">
        <w:rPr>
          <w:rStyle w:val="StyleUnderline"/>
        </w:rPr>
        <w:t xml:space="preserve"> changes </w:t>
      </w:r>
      <w:r w:rsidRPr="009278EB">
        <w:rPr>
          <w:sz w:val="16"/>
        </w:rPr>
        <w:t xml:space="preserve">in employment rates, labor force participation (especially </w:t>
      </w:r>
      <w:r w:rsidRPr="00DD2D90">
        <w:rPr>
          <w:rStyle w:val="StyleUnderline"/>
        </w:rPr>
        <w:t>among women</w:t>
      </w:r>
      <w:r w:rsidRPr="009278EB">
        <w:rPr>
          <w:sz w:val="16"/>
        </w:rPr>
        <w:t xml:space="preserve">), and short- and possibly long-term disability rates. Whether or not to have children is an extremely personal matter and a decision that should be mostly free from government intrusion and regulation. Even so, public policymakers need to be concerned about birth trends in the United States and understand that </w:t>
      </w:r>
      <w:r w:rsidRPr="00DD2D90">
        <w:rPr>
          <w:rStyle w:val="StyleUnderline"/>
        </w:rPr>
        <w:t xml:space="preserve">even the most intense </w:t>
      </w:r>
      <w:r w:rsidRPr="00DD2D90">
        <w:rPr>
          <w:rStyle w:val="StyleUnderline"/>
          <w:highlight w:val="green"/>
        </w:rPr>
        <w:t>personal decisions are influenced by macro-level systems</w:t>
      </w:r>
      <w:r w:rsidRPr="009278EB">
        <w:rPr>
          <w:sz w:val="16"/>
        </w:rPr>
        <w:t xml:space="preserve">, social structures, and policy contexts </w:t>
      </w:r>
      <w:r w:rsidRPr="00DD2D90">
        <w:rPr>
          <w:rStyle w:val="StyleUnderline"/>
        </w:rPr>
        <w:t xml:space="preserve">that add up to population-level phenomena with </w:t>
      </w:r>
      <w:r w:rsidRPr="00DD2D90">
        <w:rPr>
          <w:rStyle w:val="Emphasis"/>
        </w:rPr>
        <w:t>important ramifications</w:t>
      </w:r>
      <w:r w:rsidRPr="009278EB">
        <w:rPr>
          <w:sz w:val="16"/>
        </w:rPr>
        <w:t xml:space="preserve"> for society. Concerns about declining birth rates should not be about resulting changes in population composition in terms of race/ethnicity or that people with a uterus are not fulfilling some sort of biological calling. The concern here is that the social determinants of health are also the social determinants of birth, and that changes in birth rates—like changes in mortality rates and life expectancy—are additional sentinel indicators of the social determinants of overall population well-being. </w:t>
      </w:r>
      <w:r w:rsidRPr="00DD2D90">
        <w:rPr>
          <w:rStyle w:val="StyleUnderline"/>
          <w:highlight w:val="green"/>
        </w:rPr>
        <w:t>Addressing</w:t>
      </w:r>
      <w:r w:rsidRPr="00DD2D90">
        <w:rPr>
          <w:rStyle w:val="StyleUnderline"/>
        </w:rPr>
        <w:t xml:space="preserve"> the major upstream drivers of </w:t>
      </w:r>
      <w:r w:rsidRPr="00DD2D90">
        <w:rPr>
          <w:rStyle w:val="StyleUnderline"/>
          <w:highlight w:val="green"/>
        </w:rPr>
        <w:t>health</w:t>
      </w:r>
      <w:r w:rsidRPr="009278EB">
        <w:rPr>
          <w:sz w:val="16"/>
        </w:rPr>
        <w:t xml:space="preserve"> and health inequities </w:t>
      </w:r>
      <w:r w:rsidRPr="00DD2D90">
        <w:rPr>
          <w:rStyle w:val="StyleUnderline"/>
          <w:highlight w:val="green"/>
        </w:rPr>
        <w:t>will</w:t>
      </w:r>
      <w:r w:rsidRPr="009278EB">
        <w:rPr>
          <w:sz w:val="16"/>
        </w:rPr>
        <w:t xml:space="preserve"> simultaneously </w:t>
      </w:r>
      <w:r w:rsidRPr="00DD2D90">
        <w:rPr>
          <w:rStyle w:val="StyleUnderline"/>
          <w:highlight w:val="green"/>
        </w:rPr>
        <w:t>address the</w:t>
      </w:r>
      <w:r w:rsidRPr="00DD2D90">
        <w:rPr>
          <w:rStyle w:val="StyleUnderline"/>
        </w:rPr>
        <w:t xml:space="preserve"> upstream </w:t>
      </w:r>
      <w:r w:rsidRPr="00DD2D90">
        <w:rPr>
          <w:rStyle w:val="StyleUnderline"/>
          <w:highlight w:val="green"/>
        </w:rPr>
        <w:t>drivers of declining birth rates</w:t>
      </w:r>
      <w:r w:rsidRPr="00DD2D90">
        <w:rPr>
          <w:rStyle w:val="StyleUnderline"/>
        </w:rPr>
        <w:t xml:space="preserve">. </w:t>
      </w:r>
      <w:r w:rsidRPr="009278EB">
        <w:rPr>
          <w:sz w:val="16"/>
        </w:rPr>
        <w:t xml:space="preserve">Social science evidence suggests that </w:t>
      </w:r>
      <w:r w:rsidRPr="00DD2D90">
        <w:rPr>
          <w:rStyle w:val="StyleUnderline"/>
        </w:rPr>
        <w:t>birth rates would likely increase with</w:t>
      </w:r>
      <w:r w:rsidRPr="009278EB">
        <w:rPr>
          <w:sz w:val="16"/>
        </w:rPr>
        <w:t xml:space="preserve"> public policy</w:t>
      </w:r>
      <w:r w:rsidRPr="00DD2D90">
        <w:rPr>
          <w:rStyle w:val="StyleUnderline"/>
        </w:rPr>
        <w:t xml:space="preserve"> reforms </w:t>
      </w:r>
      <w:r w:rsidRPr="009278EB">
        <w:rPr>
          <w:sz w:val="16"/>
        </w:rPr>
        <w:t xml:space="preserve">and investments </w:t>
      </w:r>
      <w:r w:rsidRPr="00DD2D90">
        <w:rPr>
          <w:rStyle w:val="StyleUnderline"/>
        </w:rPr>
        <w:t>related to</w:t>
      </w:r>
      <w:r w:rsidRPr="009278EB">
        <w:rPr>
          <w:sz w:val="16"/>
        </w:rPr>
        <w:t xml:space="preserve"> child care subsidies, child tax credits, paid family leave, and subsidies for </w:t>
      </w:r>
      <w:r w:rsidRPr="00DD2D90">
        <w:rPr>
          <w:rStyle w:val="Emphasis"/>
        </w:rPr>
        <w:t>health care</w:t>
      </w:r>
      <w:r w:rsidRPr="009278EB">
        <w:rPr>
          <w:sz w:val="16"/>
        </w:rPr>
        <w:t xml:space="preserve"> (including care related to fertility). In addition, birth rates would likely increase with public investments that assist with long-term economic security, including student debt reduction, housing affordability, home ownership, wealth accumulation, and income security across the life course. The Biden Administration’s “Build Back Better” framework and policy agenda is a phenomenal start with its proposed investments in universal preschool, child tax credits, child care subsidies, health insurance reform, clean energy and sustainability, affordable housing, education beyond high school, general infrastructure, and tax reform. All of these investments address the fundamental social drivers of mortality, morbidity, and fertility. However, the root cause structural drivers of racial inequality in many of these social and economic issues, such as systemic racism in education systems, housing/home ownership, and labor markets, must be addressed for the bold policy reforms being proposed to have a deep and lasting positive impact on the well-being of all. Furthermore, addressing population aging and the impact of declining birth rates must include the complexities of optimal public policy related to family planning, abortion, and immigration. In summary, declines in birth rates, like declines in life expectancy, should be alarming to population health advocates and public policy leaders. The social determinants of health are, in fact, the social determinants of birth, death, and overall well-being in between, and require unified and bold policy agendas in response.</w:t>
      </w:r>
    </w:p>
    <w:p w14:paraId="3BB3CD05" w14:textId="6A1E8152" w:rsidR="00F63522" w:rsidRPr="00D05211" w:rsidRDefault="00F63522" w:rsidP="00F63522">
      <w:pPr>
        <w:pStyle w:val="Heading3"/>
        <w:rPr>
          <w:rFonts w:ascii="Arial Black" w:hAnsi="Arial Black"/>
          <w:color w:val="B43E1F"/>
          <w:szCs w:val="32"/>
        </w:rPr>
      </w:pPr>
      <w:r w:rsidRPr="00D05211">
        <w:rPr>
          <w:rFonts w:ascii="Arial Black" w:hAnsi="Arial Black"/>
          <w:color w:val="B43E1F"/>
          <w:szCs w:val="32"/>
        </w:rPr>
        <w:t xml:space="preserve">Contention 2: </w:t>
      </w:r>
      <w:r w:rsidR="00515688" w:rsidRPr="00D05211">
        <w:rPr>
          <w:rFonts w:ascii="Arial Black" w:hAnsi="Arial Black"/>
          <w:color w:val="B43E1F"/>
          <w:szCs w:val="32"/>
        </w:rPr>
        <w:t xml:space="preserve">Public </w:t>
      </w:r>
      <w:r w:rsidR="00914260" w:rsidRPr="00D05211">
        <w:rPr>
          <w:rFonts w:ascii="Arial Black" w:hAnsi="Arial Black"/>
          <w:color w:val="B43E1F"/>
          <w:szCs w:val="32"/>
        </w:rPr>
        <w:t>Debt</w:t>
      </w:r>
    </w:p>
    <w:p w14:paraId="6D8A176D" w14:textId="7B807B57" w:rsidR="0021370C" w:rsidRPr="009278EB" w:rsidRDefault="0021370C" w:rsidP="0021370C">
      <w:pPr>
        <w:pStyle w:val="Heading4"/>
        <w:rPr>
          <w:szCs w:val="26"/>
        </w:rPr>
      </w:pPr>
      <w:r w:rsidRPr="009278EB">
        <w:rPr>
          <w:szCs w:val="26"/>
        </w:rPr>
        <w:t xml:space="preserve">Single-payer solves high healthcare spending </w:t>
      </w:r>
      <w:r w:rsidR="00D45416" w:rsidRPr="009278EB">
        <w:rPr>
          <w:szCs w:val="26"/>
        </w:rPr>
        <w:t xml:space="preserve">and inequality </w:t>
      </w:r>
      <w:r w:rsidRPr="009278EB">
        <w:rPr>
          <w:szCs w:val="26"/>
        </w:rPr>
        <w:t xml:space="preserve">– drug prices, </w:t>
      </w:r>
      <w:r w:rsidR="00D45416" w:rsidRPr="009278EB">
        <w:rPr>
          <w:szCs w:val="26"/>
        </w:rPr>
        <w:t xml:space="preserve">equal access, decreased administrative costs, </w:t>
      </w:r>
      <w:r w:rsidRPr="009278EB">
        <w:rPr>
          <w:szCs w:val="26"/>
        </w:rPr>
        <w:t xml:space="preserve">preventive care, </w:t>
      </w:r>
      <w:r w:rsidR="004C1C71" w:rsidRPr="009278EB">
        <w:rPr>
          <w:szCs w:val="26"/>
        </w:rPr>
        <w:t>focus</w:t>
      </w:r>
      <w:r w:rsidR="004421AA" w:rsidRPr="009278EB">
        <w:rPr>
          <w:szCs w:val="26"/>
        </w:rPr>
        <w:t xml:space="preserve"> </w:t>
      </w:r>
      <w:r w:rsidR="004C1C71" w:rsidRPr="009278EB">
        <w:rPr>
          <w:szCs w:val="26"/>
        </w:rPr>
        <w:t>on better care</w:t>
      </w:r>
    </w:p>
    <w:p w14:paraId="65B1A675" w14:textId="77777777" w:rsidR="0021370C" w:rsidRPr="00DD2D90" w:rsidRDefault="0021370C" w:rsidP="0021370C">
      <w:r w:rsidRPr="009278EB">
        <w:rPr>
          <w:b/>
          <w:bCs/>
          <w:sz w:val="26"/>
          <w:szCs w:val="26"/>
        </w:rPr>
        <w:t>APHA 21</w:t>
      </w:r>
      <w:r w:rsidRPr="00DD2D90">
        <w:rPr>
          <w:b/>
          <w:bCs/>
        </w:rPr>
        <w:t xml:space="preserve"> </w:t>
      </w:r>
      <w:r w:rsidRPr="00DD2D90">
        <w:t>[American Public Health Association, 01-25-2021, “Adopting a Single-Payer Health System,” APHA, https://www.apha.org/policy-and-advocacy/public-health-policy-briefs/policy-database/2022/01/07/adopting-a-single-payer-health-system]/Kankee</w:t>
      </w:r>
    </w:p>
    <w:p w14:paraId="6B4BCC10" w14:textId="77777777" w:rsidR="0021370C" w:rsidRPr="009278EB" w:rsidRDefault="0021370C" w:rsidP="0021370C">
      <w:pPr>
        <w:rPr>
          <w:sz w:val="16"/>
        </w:rPr>
      </w:pPr>
      <w:r w:rsidRPr="00DD2D90">
        <w:rPr>
          <w:u w:val="single"/>
        </w:rPr>
        <w:t xml:space="preserve">Health care is a </w:t>
      </w:r>
      <w:r w:rsidRPr="00DD2D90">
        <w:rPr>
          <w:rStyle w:val="Emphasis"/>
        </w:rPr>
        <w:t>human right</w:t>
      </w:r>
      <w:r w:rsidRPr="00DD2D90">
        <w:rPr>
          <w:u w:val="single"/>
        </w:rPr>
        <w:t>.</w:t>
      </w:r>
      <w:r w:rsidRPr="009278EB">
        <w:rPr>
          <w:sz w:val="16"/>
        </w:rPr>
        <w:t xml:space="preserve"> Achieving universal health coverage for all U.S. residents requires significant system-wide changes in financing of health care. </w:t>
      </w:r>
      <w:r w:rsidRPr="00DD2D90">
        <w:rPr>
          <w:highlight w:val="green"/>
          <w:u w:val="single"/>
        </w:rPr>
        <w:t>The</w:t>
      </w:r>
      <w:r w:rsidRPr="00DD2D90">
        <w:rPr>
          <w:u w:val="single"/>
        </w:rPr>
        <w:t xml:space="preserve"> best, </w:t>
      </w:r>
      <w:r w:rsidRPr="00DD2D90">
        <w:rPr>
          <w:highlight w:val="green"/>
          <w:u w:val="single"/>
        </w:rPr>
        <w:t>most efficient</w:t>
      </w:r>
      <w:r w:rsidRPr="00DD2D90">
        <w:rPr>
          <w:u w:val="single"/>
        </w:rPr>
        <w:t xml:space="preserve">, equitable health </w:t>
      </w:r>
      <w:r w:rsidRPr="00DD2D90">
        <w:rPr>
          <w:highlight w:val="green"/>
          <w:u w:val="single"/>
        </w:rPr>
        <w:t>system is</w:t>
      </w:r>
      <w:r w:rsidRPr="00DD2D90">
        <w:rPr>
          <w:u w:val="single"/>
        </w:rPr>
        <w:t xml:space="preserve"> a public, </w:t>
      </w:r>
      <w:r w:rsidRPr="00DD2D90">
        <w:rPr>
          <w:highlight w:val="green"/>
          <w:u w:val="single"/>
        </w:rPr>
        <w:t>single-payer</w:t>
      </w:r>
      <w:r w:rsidRPr="00DD2D90">
        <w:rPr>
          <w:u w:val="single"/>
        </w:rPr>
        <w:t xml:space="preserve"> (SP) system</w:t>
      </w:r>
      <w:r w:rsidRPr="009278EB">
        <w:rPr>
          <w:sz w:val="16"/>
        </w:rPr>
        <w:t xml:space="preserve">. The </w:t>
      </w:r>
      <w:r w:rsidRPr="00DD2D90">
        <w:rPr>
          <w:rStyle w:val="Emphasis"/>
          <w:highlight w:val="green"/>
        </w:rPr>
        <w:t>rapid</w:t>
      </w:r>
      <w:r w:rsidRPr="00DD2D90">
        <w:rPr>
          <w:highlight w:val="green"/>
          <w:u w:val="single"/>
        </w:rPr>
        <w:t xml:space="preserve"> growth in</w:t>
      </w:r>
      <w:r w:rsidRPr="009278EB">
        <w:rPr>
          <w:sz w:val="16"/>
        </w:rPr>
        <w:t xml:space="preserve"> national </w:t>
      </w:r>
      <w:r w:rsidRPr="00DD2D90">
        <w:rPr>
          <w:highlight w:val="green"/>
          <w:u w:val="single"/>
        </w:rPr>
        <w:t xml:space="preserve">health expenditures can be addressed </w:t>
      </w:r>
      <w:r w:rsidRPr="00DD2D90">
        <w:rPr>
          <w:u w:val="single"/>
        </w:rPr>
        <w:t>through a system that yields</w:t>
      </w:r>
      <w:r w:rsidRPr="009278EB">
        <w:rPr>
          <w:sz w:val="16"/>
        </w:rPr>
        <w:t xml:space="preserve"> net </w:t>
      </w:r>
      <w:r w:rsidRPr="00DD2D90">
        <w:rPr>
          <w:u w:val="single"/>
        </w:rPr>
        <w:t>savings</w:t>
      </w:r>
      <w:r w:rsidRPr="009278EB">
        <w:rPr>
          <w:sz w:val="16"/>
        </w:rPr>
        <w:t xml:space="preserve"> over projected trends </w:t>
      </w:r>
      <w:r w:rsidRPr="00DD2D90">
        <w:rPr>
          <w:highlight w:val="green"/>
          <w:u w:val="single"/>
        </w:rPr>
        <w:t>by eliminating profit</w:t>
      </w:r>
      <w:r w:rsidRPr="009278EB">
        <w:rPr>
          <w:sz w:val="16"/>
        </w:rPr>
        <w:t xml:space="preserve"> </w:t>
      </w:r>
      <w:r w:rsidRPr="00DD2D90">
        <w:rPr>
          <w:rStyle w:val="StyleUnderline"/>
          <w:highlight w:val="green"/>
        </w:rPr>
        <w:t>and</w:t>
      </w:r>
      <w:r w:rsidRPr="009278EB">
        <w:rPr>
          <w:sz w:val="16"/>
        </w:rPr>
        <w:t xml:space="preserve"> </w:t>
      </w:r>
      <w:r w:rsidRPr="00DD2D90">
        <w:rPr>
          <w:highlight w:val="green"/>
          <w:u w:val="single"/>
        </w:rPr>
        <w:t>waste</w:t>
      </w:r>
      <w:r w:rsidRPr="009278EB">
        <w:rPr>
          <w:sz w:val="16"/>
        </w:rPr>
        <w:t xml:space="preserve">. </w:t>
      </w:r>
      <w:r w:rsidRPr="00DD2D90">
        <w:rPr>
          <w:rStyle w:val="StyleUnderline"/>
        </w:rPr>
        <w:t xml:space="preserve">With universal coverage, </w:t>
      </w:r>
      <w:r w:rsidRPr="00DD2D90">
        <w:rPr>
          <w:rStyle w:val="StyleUnderline"/>
          <w:highlight w:val="green"/>
        </w:rPr>
        <w:t xml:space="preserve">providers can focus on </w:t>
      </w:r>
      <w:r w:rsidRPr="00DD2D90">
        <w:rPr>
          <w:rStyle w:val="Emphasis"/>
          <w:highlight w:val="green"/>
        </w:rPr>
        <w:t>optimizing</w:t>
      </w:r>
      <w:r w:rsidRPr="009278EB">
        <w:rPr>
          <w:sz w:val="16"/>
        </w:rPr>
        <w:t xml:space="preserve"> triage of </w:t>
      </w:r>
      <w:r w:rsidRPr="00DD2D90">
        <w:rPr>
          <w:rStyle w:val="StyleUnderline"/>
          <w:highlight w:val="green"/>
        </w:rPr>
        <w:t>services</w:t>
      </w:r>
      <w:r w:rsidRPr="00DD2D90">
        <w:rPr>
          <w:rStyle w:val="StyleUnderline"/>
        </w:rPr>
        <w:t xml:space="preserve"> rather than</w:t>
      </w:r>
      <w:r w:rsidRPr="009278EB">
        <w:rPr>
          <w:sz w:val="16"/>
        </w:rPr>
        <w:t xml:space="preserve"> working within a system covered by </w:t>
      </w:r>
      <w:r w:rsidRPr="00DD2D90">
        <w:rPr>
          <w:rStyle w:val="StyleUnderline"/>
        </w:rPr>
        <w:t>payers who have incentives to limit costs regardless of benefit</w:t>
      </w:r>
      <w:r w:rsidRPr="009278EB">
        <w:rPr>
          <w:sz w:val="16"/>
        </w:rPr>
        <w:t xml:space="preserve">. With SP systems, people act as their own insurers through partnerships with provider organizations wherein tax dollars work for everyone. Consumer choice is then based on best care to meet needs with no out-of-pocket payments. SP is the best option to ensure equity, fairness, and priorities aligned with medical needs. This approach benefits public health, as everyone will have universal access to needed care, with treatment plans based on what works best for the patient. Clinics and hospitals will be free to provide appropriate treatments based on need. Hospitals will accept all patients, with care reimbursed equally for all. Resolving the great discrepancy in coverage for mental health and substance use disorders relative to medical and surgical services is more likely in an SP model. Patients will partner in their care, receiving diagnosis, treatment, and prevention services without facing cost barriers. We will build a healthier nation, saving lives and reducing financial burdens while addressing inequities rooted in social, demographic, mental health, economic, and political conditions. Relationship to Existing APHA Policy Statements The proposed policy is an update and extension of the following APHA policy statements: APHA Policy Statement 20007: Support for a New Campaign for Universal Health Care APHA Policy Statement 200911: Public Health’s Critical Role in Health Reform in the United States APHA Policy Statement LB20-06: The Importance of Universal Health Care in Improving Our Nation’s Response to Pandemics and Health Disparities The proposed policy is supported by the following previous policy statements: APHA Policy Statement 6922: A Medical Care Program for the Nation (archived) APHA Policy Statement 7018: A National Program for Personal Health Services (archived) APHA Policy Statement 7107: National Health Insurance - A Choice Between Imperfect Alternatives (archived) APHA Policy Statement 7124(PP): Health Maintenance Organizations (archived) APHA Policy Statement 7405: Long Term Care Under National Health Insurance (archived) APHA Policy Statement 7601: Committee for a National Health Service (archived) APHA Policy Statement 7602: Health Insurance for Preventive Services (archived) APHA Policy Statement 7605: Establishment of a National Health Service (archived) APHA Policy Statement 7609: A Sound Basis for a National Health Program APHA Policy Statement 7628(PP): Improving the Organization and Financing of Ambulatory Preventive and Primary Health Services in Today’s Economy (archived) APHA Policy Statement 7734(PP): Criteria for Assessing National Health Service Proposals (archived) APHA Policy Statement 7809: National Health Insurance (archived) APHA Policy Statement 7901: Vision Care in a National Health Program (archived) APHA Policy Statement 8804: State Health Care Initiatives for the Medically Uninsured (archived) APHA Policy Statement 9418: Children with Special Health Care Needs under Health Care Reform (archived) APHA Policy Statement 9502: Toward a Comprehensive Universal National Health Program (archived) APHA Policy Statement 9702: Protecting Health Care Accessibility and Quality in a Profit-Oriented Marketplace (archived) APHA Policy Statement 9716(PP): The Issue of Profit in Health Care (archived) APHA Policy Statement 9934(PP): Protecting and Strengthening Medicare: Financing and Prescription Drug Issues (Position Paper) APHA Policy Statement 20006: Making Medicines Affordable: The Price Factor (Position Paper) APHA Policy Statement 201013: American Public Health Association Child Health Policy for the United States APHA Policy Statement 20111: Improving Access to Over the Counter Contraception by Expanding Insurance Coverage APHA Policy Statement 20153: Universal Access to Contraception APHA Policy Statement 20189: Achieving Health Equity in the United States Problem Statement Rising per capita costs of health care in the United States: </w:t>
      </w:r>
      <w:r w:rsidRPr="00DD2D90">
        <w:rPr>
          <w:highlight w:val="green"/>
          <w:u w:val="single"/>
        </w:rPr>
        <w:t>National health expenditure</w:t>
      </w:r>
      <w:r w:rsidRPr="009278EB">
        <w:rPr>
          <w:sz w:val="16"/>
        </w:rPr>
        <w:t xml:space="preserve"> (</w:t>
      </w:r>
      <w:r w:rsidRPr="00DD2D90">
        <w:rPr>
          <w:u w:val="single"/>
        </w:rPr>
        <w:t>NHE</w:t>
      </w:r>
      <w:r w:rsidRPr="009278EB">
        <w:rPr>
          <w:sz w:val="16"/>
        </w:rPr>
        <w:t xml:space="preserve">) in the United States </w:t>
      </w:r>
      <w:r w:rsidRPr="00DD2D90">
        <w:rPr>
          <w:highlight w:val="green"/>
          <w:u w:val="single"/>
        </w:rPr>
        <w:t xml:space="preserve">grew by </w:t>
      </w:r>
      <w:r w:rsidRPr="00DD2D90">
        <w:rPr>
          <w:rStyle w:val="Emphasis"/>
          <w:highlight w:val="green"/>
        </w:rPr>
        <w:t>4.6%</w:t>
      </w:r>
      <w:r w:rsidRPr="009278EB">
        <w:rPr>
          <w:sz w:val="16"/>
        </w:rPr>
        <w:t xml:space="preserve"> in 2018, to $3.65 trillion ($11,172 per capita).[1] </w:t>
      </w:r>
      <w:r w:rsidRPr="00DD2D90">
        <w:rPr>
          <w:highlight w:val="green"/>
          <w:u w:val="single"/>
        </w:rPr>
        <w:t xml:space="preserve">This accounted for </w:t>
      </w:r>
      <w:r w:rsidRPr="00DD2D90">
        <w:rPr>
          <w:rStyle w:val="Emphasis"/>
          <w:highlight w:val="green"/>
        </w:rPr>
        <w:t>17.7%</w:t>
      </w:r>
      <w:r w:rsidRPr="00DD2D90">
        <w:rPr>
          <w:highlight w:val="green"/>
          <w:u w:val="single"/>
        </w:rPr>
        <w:t xml:space="preserve"> of </w:t>
      </w:r>
      <w:r w:rsidRPr="00DD2D90">
        <w:rPr>
          <w:u w:val="single"/>
        </w:rPr>
        <w:t>the</w:t>
      </w:r>
      <w:r w:rsidRPr="009278EB">
        <w:rPr>
          <w:sz w:val="16"/>
        </w:rPr>
        <w:t xml:space="preserve"> gross domestic product (</w:t>
      </w:r>
      <w:r w:rsidRPr="00DD2D90">
        <w:rPr>
          <w:highlight w:val="green"/>
          <w:u w:val="single"/>
        </w:rPr>
        <w:t>GDP</w:t>
      </w:r>
      <w:r w:rsidRPr="009278EB">
        <w:rPr>
          <w:sz w:val="16"/>
        </w:rPr>
        <w:t xml:space="preserve">) at the time.[1,2] </w:t>
      </w:r>
      <w:r w:rsidRPr="00DD2D90">
        <w:rPr>
          <w:highlight w:val="green"/>
          <w:u w:val="single"/>
        </w:rPr>
        <w:t>The</w:t>
      </w:r>
      <w:r w:rsidRPr="00DD2D90">
        <w:rPr>
          <w:u w:val="single"/>
        </w:rPr>
        <w:t xml:space="preserve"> </w:t>
      </w:r>
      <w:r w:rsidRPr="00DD2D90">
        <w:rPr>
          <w:highlight w:val="green"/>
          <w:u w:val="single"/>
        </w:rPr>
        <w:t>U</w:t>
      </w:r>
      <w:r w:rsidRPr="00DD2D90">
        <w:rPr>
          <w:u w:val="single"/>
        </w:rPr>
        <w:t xml:space="preserve">nited </w:t>
      </w:r>
      <w:r w:rsidRPr="00DD2D90">
        <w:rPr>
          <w:highlight w:val="green"/>
          <w:u w:val="single"/>
        </w:rPr>
        <w:t>S</w:t>
      </w:r>
      <w:r w:rsidRPr="00DD2D90">
        <w:rPr>
          <w:u w:val="single"/>
        </w:rPr>
        <w:t xml:space="preserve">tates </w:t>
      </w:r>
      <w:r w:rsidRPr="00DD2D90">
        <w:rPr>
          <w:highlight w:val="green"/>
          <w:u w:val="single"/>
        </w:rPr>
        <w:t>spends the most</w:t>
      </w:r>
      <w:r w:rsidRPr="00DD2D90">
        <w:rPr>
          <w:u w:val="single"/>
        </w:rPr>
        <w:t xml:space="preserve"> by far on health care among all 36 countries in the</w:t>
      </w:r>
      <w:r w:rsidRPr="009278EB">
        <w:rPr>
          <w:sz w:val="16"/>
        </w:rPr>
        <w:t xml:space="preserve"> Organisation for Economic Co-operation and Development (</w:t>
      </w:r>
      <w:r w:rsidRPr="00DD2D90">
        <w:rPr>
          <w:u w:val="single"/>
        </w:rPr>
        <w:t>OECD</w:t>
      </w:r>
      <w:r w:rsidRPr="009278EB">
        <w:rPr>
          <w:sz w:val="16"/>
        </w:rPr>
        <w:t xml:space="preserve">), </w:t>
      </w:r>
      <w:r w:rsidRPr="00DD2D90">
        <w:rPr>
          <w:rStyle w:val="StyleUnderline"/>
        </w:rPr>
        <w:t>both as a proportion of GDP and per capita</w:t>
      </w:r>
      <w:r w:rsidRPr="009278EB">
        <w:rPr>
          <w:sz w:val="16"/>
        </w:rPr>
        <w:t xml:space="preserve">.[3,4] </w:t>
      </w:r>
      <w:r w:rsidRPr="00DD2D90">
        <w:rPr>
          <w:rStyle w:val="StyleUnderline"/>
        </w:rPr>
        <w:t xml:space="preserve">Despite using fewer health care resources, the country spends </w:t>
      </w:r>
      <w:r w:rsidRPr="00DD2D90">
        <w:rPr>
          <w:rStyle w:val="Emphasis"/>
        </w:rPr>
        <w:t>$2,000</w:t>
      </w:r>
      <w:r w:rsidRPr="00DD2D90">
        <w:rPr>
          <w:rStyle w:val="StyleUnderline"/>
        </w:rPr>
        <w:t xml:space="preserve"> more per person</w:t>
      </w:r>
      <w:r w:rsidRPr="009278EB">
        <w:rPr>
          <w:sz w:val="16"/>
        </w:rPr>
        <w:t xml:space="preserve"> than the next-highest-spending country, Switzerland, and nearly twice as much per capita on health care as the median for OECD countries.[3,5] The </w:t>
      </w:r>
      <w:r w:rsidRPr="00DD2D90">
        <w:rPr>
          <w:highlight w:val="green"/>
          <w:u w:val="single"/>
        </w:rPr>
        <w:t>pricing system is</w:t>
      </w:r>
      <w:r w:rsidRPr="009278EB">
        <w:rPr>
          <w:sz w:val="16"/>
        </w:rPr>
        <w:t xml:space="preserve"> </w:t>
      </w:r>
      <w:r w:rsidRPr="00DD2D90">
        <w:rPr>
          <w:u w:val="single"/>
        </w:rPr>
        <w:t>inherently</w:t>
      </w:r>
      <w:r w:rsidRPr="009278EB">
        <w:rPr>
          <w:sz w:val="16"/>
        </w:rPr>
        <w:t xml:space="preserve"> </w:t>
      </w:r>
      <w:r w:rsidRPr="00DD2D90">
        <w:rPr>
          <w:highlight w:val="green"/>
          <w:u w:val="single"/>
        </w:rPr>
        <w:t>the</w:t>
      </w:r>
      <w:r w:rsidRPr="009278EB">
        <w:rPr>
          <w:sz w:val="16"/>
        </w:rPr>
        <w:t xml:space="preserve"> single </w:t>
      </w:r>
      <w:r w:rsidRPr="00DD2D90">
        <w:rPr>
          <w:rStyle w:val="Emphasis"/>
          <w:highlight w:val="green"/>
        </w:rPr>
        <w:t>greatest driver</w:t>
      </w:r>
      <w:r w:rsidRPr="00DD2D90">
        <w:rPr>
          <w:highlight w:val="green"/>
          <w:u w:val="single"/>
        </w:rPr>
        <w:t xml:space="preserve"> of </w:t>
      </w:r>
      <w:r w:rsidRPr="00DD2D90">
        <w:rPr>
          <w:u w:val="single"/>
        </w:rPr>
        <w:t xml:space="preserve">health care </w:t>
      </w:r>
      <w:r w:rsidRPr="00DD2D90">
        <w:rPr>
          <w:highlight w:val="green"/>
          <w:u w:val="single"/>
        </w:rPr>
        <w:t>costs</w:t>
      </w:r>
      <w:r w:rsidRPr="009278EB">
        <w:rPr>
          <w:sz w:val="16"/>
        </w:rPr>
        <w:t xml:space="preserve"> while providing fewer key health resources.[3] There is also a large and widening gap in the prices that public and private payers are charged for identical services, which indicates that </w:t>
      </w:r>
      <w:r w:rsidRPr="00DD2D90">
        <w:rPr>
          <w:rStyle w:val="StyleUnderline"/>
        </w:rPr>
        <w:t>the rising total NHE is primarily driven by private health care insurers</w:t>
      </w:r>
      <w:r w:rsidRPr="009278EB">
        <w:rPr>
          <w:sz w:val="16"/>
        </w:rPr>
        <w:t xml:space="preserve">[3] </w:t>
      </w:r>
      <w:r w:rsidRPr="00DD2D90">
        <w:rPr>
          <w:rStyle w:val="StyleUnderline"/>
        </w:rPr>
        <w:t>and pharma</w:t>
      </w:r>
      <w:r w:rsidRPr="009278EB">
        <w:rPr>
          <w:sz w:val="16"/>
        </w:rPr>
        <w:t xml:space="preserve">ceutical expenditures in particular.[6] U.S. pharmaceutical expenditures: U.S. prescription </w:t>
      </w:r>
      <w:r w:rsidRPr="00DD2D90">
        <w:rPr>
          <w:rStyle w:val="StyleUnderline"/>
        </w:rPr>
        <w:t xml:space="preserve">drug expenditures reached $335 billion in 2018, a </w:t>
      </w:r>
      <w:r w:rsidRPr="00DD2D90">
        <w:rPr>
          <w:rStyle w:val="Emphasis"/>
        </w:rPr>
        <w:t>28%</w:t>
      </w:r>
      <w:r w:rsidRPr="00DD2D90">
        <w:rPr>
          <w:rStyle w:val="StyleUnderline"/>
        </w:rPr>
        <w:t xml:space="preserve"> increase</w:t>
      </w:r>
      <w:r w:rsidRPr="009278EB">
        <w:rPr>
          <w:sz w:val="16"/>
        </w:rPr>
        <w:t xml:space="preserve"> in a decade.[6] The </w:t>
      </w:r>
      <w:r w:rsidRPr="00DD2D90">
        <w:rPr>
          <w:rStyle w:val="StyleUnderline"/>
        </w:rPr>
        <w:t>growth is expected</w:t>
      </w:r>
      <w:r w:rsidRPr="009278EB">
        <w:rPr>
          <w:sz w:val="16"/>
        </w:rPr>
        <w:t xml:space="preserve"> to continue and is projected </w:t>
      </w:r>
      <w:r w:rsidRPr="00DD2D90">
        <w:rPr>
          <w:rStyle w:val="StyleUnderline"/>
        </w:rPr>
        <w:t xml:space="preserve">to increase </w:t>
      </w:r>
      <w:r w:rsidRPr="00DD2D90">
        <w:rPr>
          <w:rStyle w:val="Emphasis"/>
        </w:rPr>
        <w:t>67.3%</w:t>
      </w:r>
      <w:r w:rsidRPr="00DD2D90">
        <w:rPr>
          <w:rStyle w:val="StyleUnderline"/>
        </w:rPr>
        <w:t xml:space="preserve"> to $560 billion by 2028</w:t>
      </w:r>
      <w:r w:rsidRPr="009278EB">
        <w:rPr>
          <w:sz w:val="16"/>
        </w:rPr>
        <w:t xml:space="preserve">.[6] In 2018, </w:t>
      </w:r>
      <w:r w:rsidRPr="00DD2D90">
        <w:rPr>
          <w:rStyle w:val="StyleUnderline"/>
        </w:rPr>
        <w:t>annual per capita U.S. prescription drug spending was $1,221, well above that of the United Kingdom ($526), Sweden ($534), and Germany ($884)</w:t>
      </w:r>
      <w:r w:rsidRPr="009278EB">
        <w:rPr>
          <w:sz w:val="16"/>
        </w:rPr>
        <w:t xml:space="preserve">.[7] Prescription </w:t>
      </w:r>
      <w:r w:rsidRPr="00DD2D90">
        <w:rPr>
          <w:rStyle w:val="StyleUnderline"/>
          <w:highlight w:val="green"/>
        </w:rPr>
        <w:t>drug expenditures</w:t>
      </w:r>
      <w:r w:rsidRPr="009278EB">
        <w:rPr>
          <w:sz w:val="16"/>
        </w:rPr>
        <w:t xml:space="preserve"> alone </w:t>
      </w:r>
      <w:r w:rsidRPr="00DD2D90">
        <w:rPr>
          <w:rStyle w:val="StyleUnderline"/>
          <w:highlight w:val="green"/>
        </w:rPr>
        <w:t xml:space="preserve">will represent </w:t>
      </w:r>
      <w:r w:rsidRPr="00DD2D90">
        <w:rPr>
          <w:rStyle w:val="Emphasis"/>
          <w:highlight w:val="green"/>
        </w:rPr>
        <w:t>19.7%</w:t>
      </w:r>
      <w:r w:rsidRPr="00DD2D90">
        <w:rPr>
          <w:rStyle w:val="StyleUnderline"/>
        </w:rPr>
        <w:t xml:space="preserve"> </w:t>
      </w:r>
      <w:r w:rsidRPr="00DD2D90">
        <w:rPr>
          <w:rStyle w:val="StyleUnderline"/>
          <w:highlight w:val="green"/>
        </w:rPr>
        <w:t>of</w:t>
      </w:r>
      <w:r w:rsidRPr="00DD2D90">
        <w:rPr>
          <w:rStyle w:val="StyleUnderline"/>
        </w:rPr>
        <w:t xml:space="preserve"> the U.S. </w:t>
      </w:r>
      <w:r w:rsidRPr="00DD2D90">
        <w:rPr>
          <w:rStyle w:val="StyleUnderline"/>
          <w:highlight w:val="green"/>
        </w:rPr>
        <w:t>GDP by 2028</w:t>
      </w:r>
      <w:r w:rsidRPr="009278EB">
        <w:rPr>
          <w:sz w:val="16"/>
        </w:rPr>
        <w:t xml:space="preserve">.[6] Increased prescription drug expenditures will be largely </w:t>
      </w:r>
      <w:r w:rsidRPr="00DD2D90">
        <w:rPr>
          <w:rStyle w:val="StyleUnderline"/>
        </w:rPr>
        <w:t>driven by manufacturers’ increases in drug prices</w:t>
      </w:r>
      <w:r w:rsidRPr="009278EB">
        <w:rPr>
          <w:sz w:val="16"/>
        </w:rPr>
        <w:t xml:space="preserve">.[8] One of the distinctions in U.S. prescription policy is the burden of drug costs borne by patients as out-of-pocket costs. For instance, the Medicare Part D prescription drug benefit has no cap on out-of-pocket costs for beneficiaries.[9] Drug prices are significantly higher in the United States than in any other OECD country. By contrast, </w:t>
      </w:r>
      <w:r w:rsidRPr="00DD2D90">
        <w:rPr>
          <w:rStyle w:val="StyleUnderline"/>
        </w:rPr>
        <w:t>the United Kingdom requires little or no cost sharing by patients</w:t>
      </w:r>
      <w:r w:rsidRPr="009278EB">
        <w:rPr>
          <w:sz w:val="16"/>
        </w:rPr>
        <w:t xml:space="preserve">. Countries that have implemented </w:t>
      </w:r>
      <w:r w:rsidRPr="00DD2D90">
        <w:rPr>
          <w:rStyle w:val="StyleUnderline"/>
          <w:highlight w:val="green"/>
        </w:rPr>
        <w:t>single</w:t>
      </w:r>
      <w:r w:rsidRPr="009278EB">
        <w:rPr>
          <w:sz w:val="16"/>
          <w:highlight w:val="green"/>
        </w:rPr>
        <w:t>-</w:t>
      </w:r>
      <w:r w:rsidRPr="00DD2D90">
        <w:rPr>
          <w:rStyle w:val="StyleUnderline"/>
          <w:highlight w:val="green"/>
        </w:rPr>
        <w:t>payer</w:t>
      </w:r>
      <w:r w:rsidRPr="009278EB">
        <w:rPr>
          <w:sz w:val="16"/>
        </w:rPr>
        <w:t xml:space="preserve"> (SP) financing systems offer multiple examples of ways to </w:t>
      </w:r>
      <w:r w:rsidRPr="00DD2D90">
        <w:rPr>
          <w:rStyle w:val="StyleUnderline"/>
          <w:highlight w:val="green"/>
        </w:rPr>
        <w:t>reduce drug prices</w:t>
      </w:r>
      <w:r w:rsidRPr="009278EB">
        <w:rPr>
          <w:sz w:val="16"/>
        </w:rPr>
        <w:t xml:space="preserve">, </w:t>
      </w:r>
      <w:r w:rsidRPr="00DD2D90">
        <w:rPr>
          <w:rStyle w:val="StyleUnderline"/>
          <w:highlight w:val="green"/>
        </w:rPr>
        <w:t>including</w:t>
      </w:r>
      <w:r w:rsidRPr="009278EB">
        <w:rPr>
          <w:sz w:val="16"/>
          <w:highlight w:val="green"/>
        </w:rPr>
        <w:t xml:space="preserve"> </w:t>
      </w:r>
      <w:r w:rsidRPr="00DD2D90">
        <w:rPr>
          <w:rStyle w:val="Emphasis"/>
          <w:highlight w:val="green"/>
        </w:rPr>
        <w:t>harmonization</w:t>
      </w:r>
      <w:r w:rsidRPr="009278EB">
        <w:rPr>
          <w:sz w:val="16"/>
          <w:highlight w:val="green"/>
        </w:rPr>
        <w:t xml:space="preserve"> </w:t>
      </w:r>
      <w:r w:rsidRPr="00DD2D90">
        <w:rPr>
          <w:rStyle w:val="StyleUnderline"/>
          <w:highlight w:val="green"/>
        </w:rPr>
        <w:t>of</w:t>
      </w:r>
      <w:r w:rsidRPr="00DD2D90">
        <w:rPr>
          <w:rStyle w:val="StyleUnderline"/>
        </w:rPr>
        <w:t xml:space="preserve"> pharmaceutical </w:t>
      </w:r>
      <w:r w:rsidRPr="00DD2D90">
        <w:rPr>
          <w:rStyle w:val="StyleUnderline"/>
          <w:highlight w:val="green"/>
        </w:rPr>
        <w:t>coverage</w:t>
      </w:r>
      <w:r w:rsidRPr="009278EB">
        <w:rPr>
          <w:sz w:val="16"/>
        </w:rPr>
        <w:t xml:space="preserve">, </w:t>
      </w:r>
      <w:r w:rsidRPr="00DD2D90">
        <w:rPr>
          <w:rStyle w:val="StyleUnderline"/>
        </w:rPr>
        <w:t xml:space="preserve">pricing over </w:t>
      </w:r>
      <w:r w:rsidRPr="00DD2D90">
        <w:rPr>
          <w:rStyle w:val="StyleUnderline"/>
          <w:highlight w:val="green"/>
        </w:rPr>
        <w:t xml:space="preserve">a </w:t>
      </w:r>
      <w:r w:rsidRPr="00DD2D90">
        <w:rPr>
          <w:rStyle w:val="Emphasis"/>
          <w:highlight w:val="green"/>
        </w:rPr>
        <w:t>single formulary</w:t>
      </w:r>
      <w:r w:rsidRPr="009278EB">
        <w:rPr>
          <w:sz w:val="16"/>
        </w:rPr>
        <w:t xml:space="preserve"> or across formularies, </w:t>
      </w:r>
      <w:r w:rsidRPr="00DD2D90">
        <w:rPr>
          <w:rStyle w:val="StyleUnderline"/>
          <w:highlight w:val="green"/>
        </w:rPr>
        <w:t>exclusion of</w:t>
      </w:r>
      <w:r w:rsidRPr="00DD2D90">
        <w:rPr>
          <w:rStyle w:val="StyleUnderline"/>
        </w:rPr>
        <w:t xml:space="preserve"> added </w:t>
      </w:r>
      <w:r w:rsidRPr="00DD2D90">
        <w:rPr>
          <w:rStyle w:val="StyleUnderline"/>
          <w:highlight w:val="green"/>
        </w:rPr>
        <w:t>administrative costs from</w:t>
      </w:r>
      <w:r w:rsidRPr="00DD2D90">
        <w:rPr>
          <w:rStyle w:val="StyleUnderline"/>
        </w:rPr>
        <w:t xml:space="preserve"> </w:t>
      </w:r>
      <w:r w:rsidRPr="00DD2D90">
        <w:rPr>
          <w:rStyle w:val="Emphasis"/>
          <w:highlight w:val="green"/>
        </w:rPr>
        <w:t>p</w:t>
      </w:r>
      <w:r w:rsidRPr="00DD2D90">
        <w:rPr>
          <w:rStyle w:val="StyleUnderline"/>
        </w:rPr>
        <w:t xml:space="preserve">harmacy </w:t>
      </w:r>
      <w:r w:rsidRPr="00DD2D90">
        <w:rPr>
          <w:rStyle w:val="Emphasis"/>
          <w:highlight w:val="green"/>
        </w:rPr>
        <w:t>b</w:t>
      </w:r>
      <w:r w:rsidRPr="00DD2D90">
        <w:rPr>
          <w:rStyle w:val="StyleUnderline"/>
        </w:rPr>
        <w:t xml:space="preserve">enefit </w:t>
      </w:r>
      <w:r w:rsidRPr="00DD2D90">
        <w:rPr>
          <w:rStyle w:val="Emphasis"/>
          <w:highlight w:val="green"/>
        </w:rPr>
        <w:t>m</w:t>
      </w:r>
      <w:r w:rsidRPr="00DD2D90">
        <w:rPr>
          <w:rStyle w:val="StyleUnderline"/>
        </w:rPr>
        <w:t>anagers</w:t>
      </w:r>
      <w:r w:rsidRPr="009278EB">
        <w:rPr>
          <w:sz w:val="16"/>
        </w:rPr>
        <w:t xml:space="preserve">, </w:t>
      </w:r>
      <w:r w:rsidRPr="00DD2D90">
        <w:rPr>
          <w:rStyle w:val="StyleUnderline"/>
          <w:highlight w:val="green"/>
        </w:rPr>
        <w:t xml:space="preserve">and leveraging of </w:t>
      </w:r>
      <w:r w:rsidRPr="00DD2D90">
        <w:rPr>
          <w:rStyle w:val="Emphasis"/>
          <w:highlight w:val="green"/>
        </w:rPr>
        <w:t>scale</w:t>
      </w:r>
      <w:r w:rsidRPr="009278EB">
        <w:rPr>
          <w:sz w:val="16"/>
          <w:highlight w:val="green"/>
        </w:rPr>
        <w:t xml:space="preserve"> </w:t>
      </w:r>
      <w:r w:rsidRPr="00DD2D90">
        <w:rPr>
          <w:rStyle w:val="StyleUnderline"/>
          <w:highlight w:val="green"/>
        </w:rPr>
        <w:t>to negotiate</w:t>
      </w:r>
      <w:r w:rsidRPr="00DD2D90">
        <w:rPr>
          <w:rStyle w:val="StyleUnderline"/>
        </w:rPr>
        <w:t xml:space="preserve"> prices </w:t>
      </w:r>
      <w:r w:rsidRPr="00DD2D90">
        <w:rPr>
          <w:rStyle w:val="StyleUnderline"/>
          <w:highlight w:val="green"/>
        </w:rPr>
        <w:t>with suppliers</w:t>
      </w:r>
      <w:r w:rsidRPr="009278EB">
        <w:rPr>
          <w:sz w:val="16"/>
        </w:rPr>
        <w:t xml:space="preserve">. Efficiency in the United States relative to single-payer countries: While </w:t>
      </w:r>
      <w:r w:rsidRPr="00DD2D90">
        <w:rPr>
          <w:u w:val="single"/>
        </w:rPr>
        <w:t>the U</w:t>
      </w:r>
      <w:r w:rsidRPr="009278EB">
        <w:rPr>
          <w:sz w:val="16"/>
        </w:rPr>
        <w:t xml:space="preserve">nited </w:t>
      </w:r>
      <w:r w:rsidRPr="00DD2D90">
        <w:rPr>
          <w:u w:val="single"/>
        </w:rPr>
        <w:t>S</w:t>
      </w:r>
      <w:r w:rsidRPr="009278EB">
        <w:rPr>
          <w:sz w:val="16"/>
        </w:rPr>
        <w:t xml:space="preserve">tates </w:t>
      </w:r>
      <w:r w:rsidRPr="00DD2D90">
        <w:rPr>
          <w:u w:val="single"/>
        </w:rPr>
        <w:t>spends more</w:t>
      </w:r>
      <w:r w:rsidRPr="009278EB">
        <w:rPr>
          <w:sz w:val="16"/>
        </w:rPr>
        <w:t xml:space="preserve"> per capita </w:t>
      </w:r>
      <w:r w:rsidRPr="00DD2D90">
        <w:rPr>
          <w:u w:val="single"/>
        </w:rPr>
        <w:t>on health care</w:t>
      </w:r>
      <w:r w:rsidRPr="009278EB">
        <w:rPr>
          <w:sz w:val="16"/>
        </w:rPr>
        <w:t xml:space="preserve"> than any other OECD country, the </w:t>
      </w:r>
      <w:r w:rsidRPr="00DD2D90">
        <w:rPr>
          <w:u w:val="single"/>
        </w:rPr>
        <w:t>additional spending contributes little value from either an economic or a health outcomes perspective</w:t>
      </w:r>
      <w:r w:rsidRPr="009278EB">
        <w:rPr>
          <w:sz w:val="16"/>
        </w:rPr>
        <w:t xml:space="preserve">.[3,5,10] </w:t>
      </w:r>
      <w:r w:rsidRPr="00DD2D90">
        <w:rPr>
          <w:rStyle w:val="StyleUnderline"/>
        </w:rPr>
        <w:t>Countries with SP spend less while their populations live longer, healthier lives</w:t>
      </w:r>
      <w:r w:rsidRPr="009278EB">
        <w:rPr>
          <w:sz w:val="16"/>
        </w:rPr>
        <w:t xml:space="preserve">.[11] The </w:t>
      </w:r>
      <w:r w:rsidRPr="00DD2D90">
        <w:rPr>
          <w:rStyle w:val="StyleUnderline"/>
        </w:rPr>
        <w:t>average life expectancy and the burden of adverse health outcomes for almost all major chronic illnesses</w:t>
      </w:r>
      <w:r w:rsidRPr="009278EB">
        <w:rPr>
          <w:sz w:val="16"/>
        </w:rPr>
        <w:t xml:space="preserve"> (apart from cancer treatments) </w:t>
      </w:r>
      <w:r w:rsidRPr="00DD2D90">
        <w:rPr>
          <w:rStyle w:val="StyleUnderline"/>
        </w:rPr>
        <w:t>in the United States</w:t>
      </w:r>
      <w:r w:rsidRPr="009278EB">
        <w:rPr>
          <w:sz w:val="16"/>
        </w:rPr>
        <w:t xml:space="preserve"> also </w:t>
      </w:r>
      <w:r w:rsidRPr="00DD2D90">
        <w:rPr>
          <w:rStyle w:val="StyleUnderline"/>
        </w:rPr>
        <w:t>fall short</w:t>
      </w:r>
      <w:r w:rsidRPr="009278EB">
        <w:rPr>
          <w:sz w:val="16"/>
        </w:rPr>
        <w:t xml:space="preserve"> of the OECD median.[7,10,11] As far back as 2003, </w:t>
      </w:r>
      <w:r w:rsidRPr="00DD2D90">
        <w:rPr>
          <w:rStyle w:val="StyleUnderline"/>
        </w:rPr>
        <w:t xml:space="preserve">administrative costs </w:t>
      </w:r>
      <w:r w:rsidRPr="009278EB">
        <w:rPr>
          <w:sz w:val="16"/>
        </w:rPr>
        <w:t xml:space="preserve">of health care (including insurance, reimbursement, and other administrative tasks) </w:t>
      </w:r>
      <w:r w:rsidRPr="00DD2D90">
        <w:rPr>
          <w:rStyle w:val="StyleUnderline"/>
        </w:rPr>
        <w:t>accounted for</w:t>
      </w:r>
      <w:r w:rsidRPr="009278EB">
        <w:rPr>
          <w:sz w:val="16"/>
        </w:rPr>
        <w:t xml:space="preserve"> nearly </w:t>
      </w:r>
      <w:r w:rsidRPr="00DD2D90">
        <w:rPr>
          <w:rStyle w:val="StyleUnderline"/>
        </w:rPr>
        <w:t xml:space="preserve">a </w:t>
      </w:r>
      <w:r w:rsidRPr="00DD2D90">
        <w:rPr>
          <w:rStyle w:val="Emphasis"/>
        </w:rPr>
        <w:t>third</w:t>
      </w:r>
      <w:r w:rsidRPr="009278EB">
        <w:rPr>
          <w:sz w:val="16"/>
        </w:rPr>
        <w:t xml:space="preserve"> (31%) of the U.S. NHE.[12,13] By 2011, </w:t>
      </w:r>
      <w:r w:rsidRPr="00DD2D90">
        <w:rPr>
          <w:rStyle w:val="StyleUnderline"/>
        </w:rPr>
        <w:t>the country</w:t>
      </w:r>
      <w:r w:rsidRPr="009278EB">
        <w:rPr>
          <w:sz w:val="16"/>
        </w:rPr>
        <w:t xml:space="preserve"> still </w:t>
      </w:r>
      <w:r w:rsidRPr="00DD2D90">
        <w:rPr>
          <w:rStyle w:val="StyleUnderline"/>
        </w:rPr>
        <w:t>spent more of its NHE on the administrative costs</w:t>
      </w:r>
      <w:r w:rsidRPr="009278EB">
        <w:rPr>
          <w:sz w:val="16"/>
        </w:rPr>
        <w:t xml:space="preserve"> of the reimbursement system </w:t>
      </w:r>
      <w:r w:rsidRPr="00DD2D90">
        <w:rPr>
          <w:rStyle w:val="StyleUnderline"/>
        </w:rPr>
        <w:t>than any other country</w:t>
      </w:r>
      <w:r w:rsidRPr="009278EB">
        <w:rPr>
          <w:sz w:val="16"/>
        </w:rPr>
        <w:t xml:space="preserve"> (8%–18% of health care spending).[4,5,14] Analyses between countries with a variety of health insurance systems showed that both SP (most optimal) and “two-tiered” systems, such as those in France and Japan, operated with lower administrative costs than the insurance-mandated systems of the United States and Switzerland.[5] A two-tiered system involves a public insurance-and-delivery system and another based on private health insurance. Notably, the Swiss system (with the second highest NHE per capita of OECD countries) demonstrated significantly lower administrative costs than the United States, indicating that there is room for correction even within public-private systems.[5] According to one analysis updating the 2003 analysis through 2017, excess administrative costs in the United States relative to Canada (SP) have persisted and still account for 17% of the NHE.[15] Excess U.S. spending is driven by the availability (not utilization) of medical technology and broad service pricing as opposed to a higher rate of health care consumption.[3] Health care services are provided at a less efficient cost for equivalent levels of care.[3] Neither the quantity nor quality of care is improved by the increase in U.S. spending, whether per capita or as a percentage of the GDP.[3] The United States funded 50.9% of its NHE through private payers in 2016, as compared with the OECD median of 25.0%. While public spending on health care is also higher than in most OECD countries that have a majority (above 80%) public payer system in place, private insurers drive the largest segment of excess cost in the U.S. health care system. Furthermore, the gap between publicly and privately funded health care prices in the United States widened from 2000 to 2016, with the Medicare Payment Advisory Commission estimating that private insurers pay prices 50% higher than Medicare payments for identical services.[16] Reducing fractionalization through consolidation of private insurers into fewer, larger, private payer organizations does not necessarily lower plan costs for individuals (premiums, copayments, deductibles) or the overall system.[17] Instead, these mergers tend to shift profits away from the delivery system, providing cost savings to insurers without generating cost savings to society.[17] Access and equity issues: </w:t>
      </w:r>
      <w:r w:rsidRPr="00DD2D90">
        <w:rPr>
          <w:u w:val="single"/>
        </w:rPr>
        <w:t>Lack of insurance is the primary</w:t>
      </w:r>
      <w:r w:rsidRPr="009278EB">
        <w:rPr>
          <w:sz w:val="16"/>
        </w:rPr>
        <w:t xml:space="preserve"> </w:t>
      </w:r>
      <w:r w:rsidRPr="00DD2D90">
        <w:rPr>
          <w:u w:val="single"/>
        </w:rPr>
        <w:t>systemic</w:t>
      </w:r>
      <w:r w:rsidRPr="009278EB">
        <w:rPr>
          <w:sz w:val="16"/>
        </w:rPr>
        <w:t xml:space="preserve"> </w:t>
      </w:r>
      <w:r w:rsidRPr="00DD2D90">
        <w:rPr>
          <w:rStyle w:val="Emphasis"/>
        </w:rPr>
        <w:t>barrier</w:t>
      </w:r>
      <w:r w:rsidRPr="00DD2D90">
        <w:rPr>
          <w:u w:val="single"/>
        </w:rPr>
        <w:t xml:space="preserve"> to health</w:t>
      </w:r>
      <w:r w:rsidRPr="009278EB">
        <w:rPr>
          <w:sz w:val="16"/>
        </w:rPr>
        <w:t xml:space="preserve"> care </w:t>
      </w:r>
      <w:r w:rsidRPr="00DD2D90">
        <w:rPr>
          <w:u w:val="single"/>
        </w:rPr>
        <w:t>access</w:t>
      </w:r>
      <w:r w:rsidRPr="009278EB">
        <w:rPr>
          <w:sz w:val="16"/>
        </w:rPr>
        <w:t xml:space="preserve"> in the United States, demonstrating that multiple financing systems fall short of universal coverage. </w:t>
      </w:r>
      <w:r w:rsidRPr="00DD2D90">
        <w:rPr>
          <w:highlight w:val="green"/>
          <w:u w:val="single"/>
        </w:rPr>
        <w:t>Universal</w:t>
      </w:r>
      <w:r w:rsidRPr="009278EB">
        <w:rPr>
          <w:sz w:val="16"/>
        </w:rPr>
        <w:t xml:space="preserve"> health </w:t>
      </w:r>
      <w:r w:rsidRPr="00DD2D90">
        <w:rPr>
          <w:highlight w:val="green"/>
          <w:u w:val="single"/>
        </w:rPr>
        <w:t>coverage means</w:t>
      </w:r>
      <w:r w:rsidRPr="009278EB">
        <w:rPr>
          <w:sz w:val="16"/>
        </w:rPr>
        <w:t xml:space="preserve"> that all</w:t>
      </w:r>
      <w:r w:rsidRPr="00DD2D90">
        <w:rPr>
          <w:u w:val="single"/>
        </w:rPr>
        <w:t xml:space="preserve"> </w:t>
      </w:r>
      <w:r w:rsidRPr="00DD2D90">
        <w:rPr>
          <w:highlight w:val="green"/>
          <w:u w:val="single"/>
        </w:rPr>
        <w:t>people have access to</w:t>
      </w:r>
      <w:r w:rsidRPr="009278EB">
        <w:rPr>
          <w:sz w:val="16"/>
        </w:rPr>
        <w:t xml:space="preserve"> the health </w:t>
      </w:r>
      <w:r w:rsidRPr="00DD2D90">
        <w:rPr>
          <w:highlight w:val="green"/>
          <w:u w:val="single"/>
        </w:rPr>
        <w:t>services they need, when and where</w:t>
      </w:r>
      <w:r w:rsidRPr="009278EB">
        <w:rPr>
          <w:sz w:val="16"/>
        </w:rPr>
        <w:t xml:space="preserve"> </w:t>
      </w:r>
      <w:r w:rsidRPr="00DD2D90">
        <w:rPr>
          <w:highlight w:val="green"/>
          <w:u w:val="single"/>
        </w:rPr>
        <w:t>they need them, without financial hardship</w:t>
      </w:r>
      <w:r w:rsidRPr="009278EB">
        <w:rPr>
          <w:sz w:val="16"/>
        </w:rPr>
        <w:t>.[18]</w:t>
      </w:r>
      <w:r w:rsidRPr="00DD2D90">
        <w:rPr>
          <w:u w:val="single"/>
        </w:rPr>
        <w:t xml:space="preserve"> </w:t>
      </w:r>
      <w:r w:rsidRPr="00DD2D90">
        <w:rPr>
          <w:highlight w:val="green"/>
          <w:u w:val="single"/>
        </w:rPr>
        <w:t>It includes</w:t>
      </w:r>
      <w:r w:rsidRPr="00DD2D90">
        <w:rPr>
          <w:u w:val="single"/>
        </w:rPr>
        <w:t xml:space="preserve"> the full range of essential health services, from health </w:t>
      </w:r>
      <w:r w:rsidRPr="00DD2D90">
        <w:rPr>
          <w:highlight w:val="green"/>
          <w:u w:val="single"/>
        </w:rPr>
        <w:t xml:space="preserve">promotion to </w:t>
      </w:r>
      <w:r w:rsidRPr="00DD2D90">
        <w:rPr>
          <w:rStyle w:val="Emphasis"/>
          <w:highlight w:val="green"/>
        </w:rPr>
        <w:t>prevention</w:t>
      </w:r>
      <w:r w:rsidRPr="00DD2D90">
        <w:rPr>
          <w:u w:val="single"/>
        </w:rPr>
        <w:t xml:space="preserve">, treatment, rehabilitation, and palliative care. </w:t>
      </w:r>
      <w:r w:rsidRPr="009278EB">
        <w:rPr>
          <w:sz w:val="16"/>
        </w:rPr>
        <w:t xml:space="preserve">In addition, the </w:t>
      </w:r>
      <w:r w:rsidRPr="00DD2D90">
        <w:rPr>
          <w:rStyle w:val="StyleUnderline"/>
        </w:rPr>
        <w:t>high cost</w:t>
      </w:r>
      <w:r w:rsidRPr="009278EB">
        <w:rPr>
          <w:sz w:val="16"/>
        </w:rPr>
        <w:t xml:space="preserve"> of health care in the United States </w:t>
      </w:r>
      <w:r w:rsidRPr="00DD2D90">
        <w:rPr>
          <w:rStyle w:val="StyleUnderline"/>
        </w:rPr>
        <w:t>exacerbates existing health care disparities that result in premature morbidity and mortality</w:t>
      </w:r>
      <w:r w:rsidRPr="009278EB">
        <w:rPr>
          <w:sz w:val="16"/>
        </w:rPr>
        <w:t xml:space="preserve"> and intersects with race, social and socioeconomic status, age, and disability. One feature of the United States health care system is the prevalence of </w:t>
      </w:r>
      <w:r w:rsidRPr="00DD2D90">
        <w:rPr>
          <w:highlight w:val="green"/>
          <w:u w:val="single"/>
        </w:rPr>
        <w:t>high-deductible health care plans</w:t>
      </w:r>
      <w:r w:rsidRPr="009278EB">
        <w:rPr>
          <w:sz w:val="16"/>
        </w:rPr>
        <w:t xml:space="preserve">. These plans, </w:t>
      </w:r>
      <w:r w:rsidRPr="00DD2D90">
        <w:rPr>
          <w:u w:val="single"/>
        </w:rPr>
        <w:t xml:space="preserve">intended to incentivize patients to not overutilize health care, </w:t>
      </w:r>
      <w:r w:rsidRPr="00DD2D90">
        <w:rPr>
          <w:highlight w:val="green"/>
          <w:u w:val="single"/>
        </w:rPr>
        <w:t>disproportionately affect individuals with low incomes</w:t>
      </w:r>
      <w:r w:rsidRPr="009278EB">
        <w:rPr>
          <w:sz w:val="16"/>
        </w:rPr>
        <w:t xml:space="preserve">. In the period from 2003 to 2014, </w:t>
      </w:r>
      <w:r w:rsidRPr="00DD2D90">
        <w:rPr>
          <w:u w:val="single"/>
        </w:rPr>
        <w:t>when</w:t>
      </w:r>
      <w:r w:rsidRPr="009278EB">
        <w:rPr>
          <w:sz w:val="16"/>
        </w:rPr>
        <w:t xml:space="preserve"> </w:t>
      </w:r>
      <w:r w:rsidRPr="00DD2D90">
        <w:rPr>
          <w:u w:val="single"/>
        </w:rPr>
        <w:t>high-deductible health plans proliferated and overall increases in U.S. health care spending slowed down</w:t>
      </w:r>
      <w:r w:rsidRPr="009278EB">
        <w:rPr>
          <w:sz w:val="16"/>
        </w:rPr>
        <w:t xml:space="preserve">, health care expenditures for the wealthiest quintile grew by 20% while falling by 3.7% in the lowest quintile group, despite this group having the worst health outcomes.[19] In addition, since health care expenses are not proportional to personal income, individuals with low incomes pay a larger percentage of their household income toward health care costs. Thus, the </w:t>
      </w:r>
      <w:r w:rsidRPr="00DD2D90">
        <w:rPr>
          <w:highlight w:val="green"/>
          <w:u w:val="single"/>
        </w:rPr>
        <w:t>private</w:t>
      </w:r>
      <w:r w:rsidRPr="00DD2D90">
        <w:rPr>
          <w:u w:val="single"/>
        </w:rPr>
        <w:t xml:space="preserve"> health </w:t>
      </w:r>
      <w:r w:rsidRPr="00DD2D90">
        <w:rPr>
          <w:highlight w:val="green"/>
          <w:u w:val="single"/>
        </w:rPr>
        <w:t>insurance</w:t>
      </w:r>
      <w:r w:rsidRPr="009278EB">
        <w:rPr>
          <w:sz w:val="16"/>
        </w:rPr>
        <w:t xml:space="preserve"> market </w:t>
      </w:r>
      <w:r w:rsidRPr="00DD2D90">
        <w:rPr>
          <w:highlight w:val="green"/>
          <w:u w:val="single"/>
        </w:rPr>
        <w:t>exacerbates</w:t>
      </w:r>
      <w:r w:rsidRPr="009278EB">
        <w:rPr>
          <w:sz w:val="16"/>
        </w:rPr>
        <w:t xml:space="preserve"> wealth </w:t>
      </w:r>
      <w:r w:rsidRPr="00DD2D90">
        <w:rPr>
          <w:highlight w:val="green"/>
          <w:u w:val="single"/>
        </w:rPr>
        <w:t>inequality by</w:t>
      </w:r>
      <w:r w:rsidRPr="00DD2D90">
        <w:rPr>
          <w:u w:val="single"/>
        </w:rPr>
        <w:t xml:space="preserve"> </w:t>
      </w:r>
      <w:r w:rsidRPr="00DD2D90">
        <w:rPr>
          <w:highlight w:val="green"/>
          <w:u w:val="single"/>
        </w:rPr>
        <w:t>functioning</w:t>
      </w:r>
      <w:r w:rsidRPr="009278EB">
        <w:rPr>
          <w:sz w:val="16"/>
        </w:rPr>
        <w:t xml:space="preserve"> in a manner </w:t>
      </w:r>
      <w:r w:rsidRPr="00DD2D90">
        <w:rPr>
          <w:highlight w:val="green"/>
          <w:u w:val="single"/>
        </w:rPr>
        <w:t xml:space="preserve">similar to a </w:t>
      </w:r>
      <w:r w:rsidRPr="00DD2D90">
        <w:rPr>
          <w:rStyle w:val="Emphasis"/>
          <w:highlight w:val="green"/>
        </w:rPr>
        <w:t>regressive tax</w:t>
      </w:r>
      <w:r w:rsidRPr="009278EB">
        <w:rPr>
          <w:sz w:val="16"/>
        </w:rPr>
        <w:t xml:space="preserve">. A survey of health care expenditure data showed that </w:t>
      </w:r>
      <w:r w:rsidRPr="00DD2D90">
        <w:rPr>
          <w:rStyle w:val="StyleUnderline"/>
          <w:highlight w:val="green"/>
        </w:rPr>
        <w:t>this</w:t>
      </w:r>
      <w:r w:rsidRPr="009278EB">
        <w:rPr>
          <w:sz w:val="16"/>
        </w:rPr>
        <w:t xml:space="preserve"> system effectively </w:t>
      </w:r>
      <w:r w:rsidRPr="00DD2D90">
        <w:rPr>
          <w:rStyle w:val="Emphasis"/>
          <w:highlight w:val="green"/>
        </w:rPr>
        <w:t>redistributes</w:t>
      </w:r>
      <w:r w:rsidRPr="00DD2D90">
        <w:rPr>
          <w:rStyle w:val="StyleUnderline"/>
          <w:highlight w:val="green"/>
        </w:rPr>
        <w:t xml:space="preserve"> 1.7% of</w:t>
      </w:r>
      <w:r w:rsidRPr="00DD2D90">
        <w:rPr>
          <w:rStyle w:val="StyleUnderline"/>
        </w:rPr>
        <w:t xml:space="preserve"> total </w:t>
      </w:r>
      <w:r w:rsidRPr="00DD2D90">
        <w:rPr>
          <w:rStyle w:val="StyleUnderline"/>
          <w:highlight w:val="green"/>
        </w:rPr>
        <w:t>income from</w:t>
      </w:r>
      <w:r w:rsidRPr="00DD2D90">
        <w:rPr>
          <w:rStyle w:val="StyleUnderline"/>
        </w:rPr>
        <w:t xml:space="preserve"> </w:t>
      </w:r>
      <w:r w:rsidRPr="00DD2D90">
        <w:rPr>
          <w:rStyle w:val="StyleUnderline"/>
          <w:highlight w:val="green"/>
        </w:rPr>
        <w:t>individuals with</w:t>
      </w:r>
      <w:r w:rsidRPr="00DD2D90">
        <w:rPr>
          <w:rStyle w:val="StyleUnderline"/>
        </w:rPr>
        <w:t xml:space="preserve"> </w:t>
      </w:r>
      <w:r w:rsidRPr="00DD2D90">
        <w:rPr>
          <w:rStyle w:val="StyleUnderline"/>
          <w:highlight w:val="green"/>
        </w:rPr>
        <w:t>low</w:t>
      </w:r>
      <w:r w:rsidRPr="00DD2D90">
        <w:rPr>
          <w:rStyle w:val="StyleUnderline"/>
        </w:rPr>
        <w:t xml:space="preserve">er </w:t>
      </w:r>
      <w:r w:rsidRPr="00DD2D90">
        <w:rPr>
          <w:rStyle w:val="StyleUnderline"/>
          <w:highlight w:val="green"/>
        </w:rPr>
        <w:t>incomes</w:t>
      </w:r>
      <w:r w:rsidRPr="00DD2D90">
        <w:rPr>
          <w:rStyle w:val="StyleUnderline"/>
        </w:rPr>
        <w:t xml:space="preserve"> </w:t>
      </w:r>
      <w:r w:rsidRPr="00DD2D90">
        <w:rPr>
          <w:rStyle w:val="StyleUnderline"/>
          <w:highlight w:val="green"/>
        </w:rPr>
        <w:t>to</w:t>
      </w:r>
      <w:r w:rsidRPr="00DD2D90">
        <w:rPr>
          <w:rStyle w:val="StyleUnderline"/>
        </w:rPr>
        <w:t xml:space="preserve"> </w:t>
      </w:r>
      <w:r w:rsidRPr="00DD2D90">
        <w:rPr>
          <w:rStyle w:val="StyleUnderline"/>
          <w:highlight w:val="green"/>
        </w:rPr>
        <w:t>those</w:t>
      </w:r>
      <w:r w:rsidRPr="00DD2D90">
        <w:rPr>
          <w:rStyle w:val="StyleUnderline"/>
        </w:rPr>
        <w:t xml:space="preserve"> </w:t>
      </w:r>
      <w:r w:rsidRPr="00DD2D90">
        <w:rPr>
          <w:rStyle w:val="StyleUnderline"/>
          <w:highlight w:val="green"/>
        </w:rPr>
        <w:t>with</w:t>
      </w:r>
      <w:r w:rsidRPr="00DD2D90">
        <w:rPr>
          <w:rStyle w:val="StyleUnderline"/>
        </w:rPr>
        <w:t xml:space="preserve"> </w:t>
      </w:r>
      <w:r w:rsidRPr="00DD2D90">
        <w:rPr>
          <w:rStyle w:val="StyleUnderline"/>
          <w:highlight w:val="green"/>
        </w:rPr>
        <w:t>high</w:t>
      </w:r>
      <w:r w:rsidRPr="00DD2D90">
        <w:rPr>
          <w:rStyle w:val="StyleUnderline"/>
        </w:rPr>
        <w:t xml:space="preserve">er </w:t>
      </w:r>
      <w:r w:rsidRPr="00DD2D90">
        <w:rPr>
          <w:rStyle w:val="StyleUnderline"/>
          <w:highlight w:val="green"/>
        </w:rPr>
        <w:t>incomes</w:t>
      </w:r>
      <w:r w:rsidRPr="009278EB">
        <w:rPr>
          <w:sz w:val="16"/>
        </w:rPr>
        <w:t xml:space="preserve">.[20] </w:t>
      </w:r>
      <w:r w:rsidRPr="00DD2D90">
        <w:rPr>
          <w:u w:val="single"/>
        </w:rPr>
        <w:t>These plans produce devastating financial and health</w:t>
      </w:r>
      <w:r w:rsidRPr="009278EB">
        <w:rPr>
          <w:sz w:val="16"/>
        </w:rPr>
        <w:t xml:space="preserve"> </w:t>
      </w:r>
      <w:r w:rsidRPr="00DD2D90">
        <w:rPr>
          <w:u w:val="single"/>
        </w:rPr>
        <w:t>outcomes</w:t>
      </w:r>
      <w:r w:rsidRPr="009278EB">
        <w:rPr>
          <w:sz w:val="16"/>
        </w:rPr>
        <w:t xml:space="preserve"> for Americans with low incomes. One American study showed that, among patients with cardiovascular disease, almost </w:t>
      </w:r>
      <w:r w:rsidRPr="00DD2D90">
        <w:rPr>
          <w:rStyle w:val="Emphasis"/>
          <w:highlight w:val="green"/>
        </w:rPr>
        <w:t>60%</w:t>
      </w:r>
      <w:r w:rsidRPr="009278EB">
        <w:rPr>
          <w:sz w:val="16"/>
        </w:rPr>
        <w:t xml:space="preserve"> </w:t>
      </w:r>
      <w:r w:rsidRPr="00DD2D90">
        <w:rPr>
          <w:rStyle w:val="StyleUnderline"/>
        </w:rPr>
        <w:t>of those</w:t>
      </w:r>
      <w:r w:rsidRPr="009278EB">
        <w:rPr>
          <w:sz w:val="16"/>
        </w:rPr>
        <w:t xml:space="preserve"> </w:t>
      </w:r>
      <w:r w:rsidRPr="00DD2D90">
        <w:rPr>
          <w:highlight w:val="green"/>
          <w:u w:val="single"/>
        </w:rPr>
        <w:t>with low incomes</w:t>
      </w:r>
      <w:r w:rsidRPr="009278EB">
        <w:rPr>
          <w:sz w:val="16"/>
        </w:rPr>
        <w:t xml:space="preserve"> </w:t>
      </w:r>
      <w:r w:rsidRPr="00DD2D90">
        <w:rPr>
          <w:rStyle w:val="StyleUnderline"/>
        </w:rPr>
        <w:t>faced financial hardship or</w:t>
      </w:r>
      <w:r w:rsidRPr="009278EB">
        <w:rPr>
          <w:sz w:val="16"/>
        </w:rPr>
        <w:t xml:space="preserve"> </w:t>
      </w:r>
      <w:r w:rsidRPr="00DD2D90">
        <w:rPr>
          <w:highlight w:val="green"/>
          <w:u w:val="single"/>
        </w:rPr>
        <w:t>were unable to pay</w:t>
      </w:r>
      <w:r w:rsidRPr="009278EB">
        <w:rPr>
          <w:sz w:val="16"/>
        </w:rPr>
        <w:t xml:space="preserve"> their </w:t>
      </w:r>
      <w:r w:rsidRPr="00DD2D90">
        <w:rPr>
          <w:highlight w:val="green"/>
          <w:u w:val="single"/>
        </w:rPr>
        <w:t>medical bills</w:t>
      </w:r>
      <w:r w:rsidRPr="009278EB">
        <w:rPr>
          <w:sz w:val="16"/>
        </w:rPr>
        <w:t xml:space="preserve">, </w:t>
      </w:r>
      <w:r w:rsidRPr="00DD2D90">
        <w:rPr>
          <w:rStyle w:val="StyleUnderline"/>
        </w:rPr>
        <w:t>resulting in food insecurity and inability to take prescribed medications</w:t>
      </w:r>
      <w:r w:rsidRPr="009278EB">
        <w:rPr>
          <w:sz w:val="16"/>
        </w:rPr>
        <w:t xml:space="preserve">.[21] Even among the insured, </w:t>
      </w:r>
      <w:r w:rsidRPr="00DD2D90">
        <w:rPr>
          <w:rStyle w:val="StyleUnderline"/>
        </w:rPr>
        <w:t xml:space="preserve">close to </w:t>
      </w:r>
      <w:r w:rsidRPr="00DD2D90">
        <w:rPr>
          <w:rStyle w:val="Emphasis"/>
        </w:rPr>
        <w:t>40%</w:t>
      </w:r>
      <w:r w:rsidRPr="00DD2D90">
        <w:rPr>
          <w:rStyle w:val="StyleUnderline"/>
        </w:rPr>
        <w:t xml:space="preserve"> of patients with insurance still faced financial hardship due to the out-of-pocket expenses</w:t>
      </w:r>
      <w:r w:rsidRPr="009278EB">
        <w:rPr>
          <w:sz w:val="16"/>
        </w:rPr>
        <w:t xml:space="preserve"> associated with their plans.[21] One study revealed that high-deductible plans led to delays in diagnosis and treatment of breast cancer in women with both high and low incomes, although the effect was more pronounced among those with low incomes.[22] Another study showed that high-deductible plans reduce utilization of potentially high-value care such as preventive and outpatient medical visits.[23] </w:t>
      </w:r>
      <w:r w:rsidRPr="00DD2D90">
        <w:rPr>
          <w:u w:val="single"/>
        </w:rPr>
        <w:t>Despite</w:t>
      </w:r>
      <w:r w:rsidRPr="009278EB">
        <w:rPr>
          <w:sz w:val="16"/>
        </w:rPr>
        <w:t xml:space="preserve"> the passage of </w:t>
      </w:r>
      <w:r w:rsidRPr="00DD2D90">
        <w:rPr>
          <w:u w:val="single"/>
        </w:rPr>
        <w:t>the</w:t>
      </w:r>
      <w:r w:rsidRPr="009278EB">
        <w:rPr>
          <w:sz w:val="16"/>
        </w:rPr>
        <w:t xml:space="preserve"> Affordable Care Act (</w:t>
      </w:r>
      <w:r w:rsidRPr="00DD2D90">
        <w:rPr>
          <w:u w:val="single"/>
        </w:rPr>
        <w:t>ACA</w:t>
      </w:r>
      <w:r w:rsidRPr="009278EB">
        <w:rPr>
          <w:sz w:val="16"/>
        </w:rPr>
        <w:t xml:space="preserve">), </w:t>
      </w:r>
      <w:r w:rsidRPr="00DD2D90">
        <w:rPr>
          <w:u w:val="single"/>
        </w:rPr>
        <w:t>there are also persistent racial health disparities</w:t>
      </w:r>
      <w:r w:rsidRPr="009278EB">
        <w:rPr>
          <w:sz w:val="16"/>
        </w:rPr>
        <w:t xml:space="preserve"> in the U.S. uninsured population.[24,25] In 2019, the rates of uninsurance among adults not qualified for Medicare were 7.8% for White, 11.4% for Black, and 20.0% for Hispanic individuals.[24] This leads to racial and ethnic disparities in receiving recommended care; for example, one study showed that Black, Hispanic, and Asian individuals with diabetes were 23% to 53% less likely to receive annual hemoglobin A1c tests.[26] Lack of universal health care also exacerbates health inequities based on citizenship and immigration status. One study revealed that 40 states withhold coverage of dialysis for patients with end stage renal disease (ESRD) who are undocumented immigrants.[27] In these states, ESRD patients can access dialysis only on an emergency basis. The same study showed that, in states that did cover dialysis, there was a 14% absolute reduction in mortality and a $5,678 reduction per patient in total health care costs associated with providing this coverage to people with ESRD who are undocumented.[27] High out-of-pocket expenses and lack of universal coverage exacerbate health disparities among people with disabilities. According to one study, older adults with disabilities are more likely to delay seeing a doctor, despite having insurance, because of out-of-pocket expenses.[28] Multipayer insurance systems exacerbate segregation along economic, racial, immigration status, and disability lines by creating financial incentives to take care of particular patients based on their insurance status. For example, one study showed that academic medical centers, which are widely regarded as providing the highest quality of care, are much less likely to treat racial minority, Medicaid, and uninsured patients in New York City.[29] An examination of the current state of behavioral health care in the United States reveals even larger gaps.[30] This is an area that has suffered from lack of financial support historically and also from the compounded cumulative negative behavioral and primary health effects of COVID-19 since 2020. Making single-payer reform work for behavioral health is possible by revisiting the lessons learned from Canada and other countries that have adopted SP systems.[15,31] Evidence-Based Strategies to Address the Problem APHA has called for universal coverage of health care for all U.S. residents for decades.[32] This has included calls for a unified, nationally coordinated, and nationally funded approach (i.e., SP) to health care expenditure since the late 1970s. This goal for coverage, met by the majority of other developed countries in the world, is no longer in question, but the best approach is still being debated in policy and political spheres. In this debate, the evidence in support of SP has grown rapidly in the past decade. In addition, recent polls conducted with broad clinician samples have shown that a majority of doctors “strongly support” policy reform to implement SP.[33] The American College of Physicians (ACP), the second largest provider organization in the United States, has also recommended that U.S. policy initiate a transition to a system of universal coverage, through either an SP or a public payer choice capable of supporting universal coverage.[34] Single-payer health system: In 1993, the APHA leadership and executive board developed 14 Points on Health Reform in order to organize and guide the essential criteria for reform of public health.[35] These points continue to guide the principles of the public health field in developing proposals for national health reform.[36] Overall, the evidence clearly demonstrates that SP is the most optimal structure for health reform in order to support these principles. Designing, implementing, and transitioning to a single-payer system may entail significant changes in the sources and extent of coverage, provider payment mechanisms, and financing of health care services in the current U.S. health care system.[37] The federal government could administer some functions of the single-payer health plan at the national level and delegate other functions to state and local governments. Alternatively, state governments could administer the single-payer health plan with broad federal oversight.[37] Single-payer system implementation can be done in incremental stages starting with people who have health insurance coverage through various public sources (Medicare, Medicaid/ Children’s Health Insurance Program, Veterans Administration) who could continue to have such coverage under a single-payer system, although covered benefits and cost-sharing agreements might change.[38] People who have private insurance (primarily employer-based insurance) may enroll in the public plan and might retain private coverage that supplements the coverage under the public plan, preserving public financing and redistributing revenues among the pools to attenuate risk selection.[39] With regard to health insurance, several countries progressively transitioned from multiple large insurance pools to single-payer systems while building the financial and administrative capacity to establish a single insurance pool. An alternative approach would be to first standardize the health plans that can be offered in the market.[38] All of these approaches may be slowed by legal challenges from states or business interests, but they each reflect a lower risk as changes to taxation and federal program reimbursement do not involve the constitutional rights issues posed by individual mandates to purchase private plans. Overall, a single-payer system will significantly simplify revenue collection and benefit payouts to a single agency.[40] Countries with single-payer systems experience significant cost savings over their multipayer counterparts through streamlining of billing and insurance procedures, creation of a more equitable and predictable spread of risk throughout the entire populace, and leveraging of bargaining power to control costs.[40] International evidence of quality and cost with SP: In Taiwan, the national health insurance system was introduced in 1994; the system was modeled in part on the U.S. Medicare program, although it was created to cover all citizens and foreign residents of the country, boasting a 99.9% enrollment rate.[41] Benefits are uniform and comprehensive, covering hospital care, physician care, pharmaceuticals, and other services. Subsequent to 1994, the health system in Taiwan adopted both pay-for-performance measures and a global budget mechanism to improve quality while reducing cost of care.[41] Patients in Taiwan can choose their doctors or hospitals freely instead of being limited to a certain network of providers as in the United States.[42] This enhances access to care for disadvantaged populations but also encourages providers to improve the quality, and thereby the value, of care to attract patients. Also, the government sets rates; thus, collaborating with other providers increases every provider’s market share and simultaneously mitigates the consequences of fragmentation. Beneficiaries with low incomes under the single-payer health system in Taiwan can either receive exemptions from cost sharing or directly receive their medical care.[37] </w:t>
      </w:r>
      <w:r w:rsidRPr="00DD2D90">
        <w:rPr>
          <w:rStyle w:val="StyleUnderline"/>
          <w:highlight w:val="green"/>
        </w:rPr>
        <w:t>Enrolling individuals with low incomes</w:t>
      </w:r>
      <w:r w:rsidRPr="00DD2D90">
        <w:rPr>
          <w:rStyle w:val="StyleUnderline"/>
        </w:rPr>
        <w:t xml:space="preserve"> and providing them with public health services may </w:t>
      </w:r>
      <w:r w:rsidRPr="00DD2D90">
        <w:rPr>
          <w:rStyle w:val="StyleUnderline"/>
          <w:highlight w:val="green"/>
        </w:rPr>
        <w:t>prevent them from using costly</w:t>
      </w:r>
      <w:r w:rsidRPr="00DD2D90">
        <w:rPr>
          <w:rStyle w:val="StyleUnderline"/>
        </w:rPr>
        <w:t xml:space="preserve"> and unnecessary </w:t>
      </w:r>
      <w:r w:rsidRPr="00DD2D90">
        <w:rPr>
          <w:rStyle w:val="StyleUnderline"/>
          <w:highlight w:val="green"/>
        </w:rPr>
        <w:t>emergency care</w:t>
      </w:r>
      <w:r w:rsidRPr="009278EB">
        <w:rPr>
          <w:sz w:val="16"/>
        </w:rPr>
        <w:t xml:space="preserve">, </w:t>
      </w:r>
      <w:r w:rsidRPr="00DD2D90">
        <w:rPr>
          <w:rStyle w:val="StyleUnderline"/>
        </w:rPr>
        <w:t>which</w:t>
      </w:r>
      <w:r w:rsidRPr="009278EB">
        <w:rPr>
          <w:sz w:val="16"/>
        </w:rPr>
        <w:t xml:space="preserve"> </w:t>
      </w:r>
      <w:r w:rsidRPr="00DD2D90">
        <w:rPr>
          <w:rStyle w:val="StyleUnderline"/>
        </w:rPr>
        <w:t>affects both provider and patient more heavily</w:t>
      </w:r>
      <w:r w:rsidRPr="009278EB">
        <w:rPr>
          <w:sz w:val="16"/>
        </w:rPr>
        <w:t xml:space="preserve">. </w:t>
      </w:r>
      <w:r w:rsidRPr="00DD2D90">
        <w:rPr>
          <w:rStyle w:val="StyleUnderline"/>
        </w:rPr>
        <w:t>It may</w:t>
      </w:r>
      <w:r w:rsidRPr="009278EB">
        <w:rPr>
          <w:sz w:val="16"/>
        </w:rPr>
        <w:t xml:space="preserve"> also </w:t>
      </w:r>
      <w:r w:rsidRPr="00DD2D90">
        <w:rPr>
          <w:rStyle w:val="StyleUnderline"/>
        </w:rPr>
        <w:t>discourage private insurance companies</w:t>
      </w:r>
      <w:r w:rsidRPr="009278EB">
        <w:rPr>
          <w:sz w:val="16"/>
        </w:rPr>
        <w:t xml:space="preserve"> and providers </w:t>
      </w:r>
      <w:r w:rsidRPr="00DD2D90">
        <w:rPr>
          <w:rStyle w:val="StyleUnderline"/>
        </w:rPr>
        <w:t>from securing profits through reducing coverage or even rejecting beneficiaries with low incomes</w:t>
      </w:r>
      <w:r w:rsidRPr="009278EB">
        <w:rPr>
          <w:sz w:val="16"/>
        </w:rPr>
        <w:t xml:space="preserve">.[43] The Canadian health system, administered by the provinces, is a funding partnership between the provincial and federal governments (similar to the shared state and federal funding in the United States). Provider, diagnostic, and hospital costs are covered based on a federally negotiated fee schedule, and providers are not allowed to receive private payments at or above those costs for any covered services. Private insurance exists only to cover services not already covered by the national system. Provinces administer billing and reimbursement services, but these services must be comprehensive (defined by the province), universal (citizens and legal residents), portable across provinces, and accessible (which means no co-pays or other user fees). Comparative analyses of physician utilization in Canada and the United States demonstrate higher utilization rates among populations that are sicker and have lower incomes in Canada, suggesting that more equitable allocation of resources in the United States could lead to improved public health.[44] Australia provides coverage through a hybrid SP universal health system (Medicare) available to all citizens and permanent residents. The costs of publicly funded primary and other basic health services (67% of all health spending) are shared by national, state, and local governments, with the remainder paid through individual and employer contributions. Australia and other countries using a hybrid approach mandate co-pays or deductibles for additional, private plans in order to manage use of specialist and other high-cost services and employ electronic medical record systems to track patient utilization patterns.[37,45,46] Financial feasibility: The </w:t>
      </w:r>
      <w:r w:rsidRPr="00DD2D90">
        <w:rPr>
          <w:rStyle w:val="StyleUnderline"/>
        </w:rPr>
        <w:t>economic benefits</w:t>
      </w:r>
      <w:r w:rsidRPr="009278EB">
        <w:rPr>
          <w:sz w:val="16"/>
        </w:rPr>
        <w:t xml:space="preserve"> of an SP system </w:t>
      </w:r>
      <w:r w:rsidRPr="00DD2D90">
        <w:rPr>
          <w:rStyle w:val="StyleUnderline"/>
        </w:rPr>
        <w:t xml:space="preserve">are rapidly realized by </w:t>
      </w:r>
      <w:r w:rsidRPr="00DD2D90">
        <w:rPr>
          <w:rStyle w:val="StyleUnderline"/>
          <w:highlight w:val="green"/>
        </w:rPr>
        <w:t>reducing</w:t>
      </w:r>
      <w:r w:rsidRPr="00DD2D90">
        <w:rPr>
          <w:rStyle w:val="StyleUnderline"/>
        </w:rPr>
        <w:t xml:space="preserve"> the high </w:t>
      </w:r>
      <w:r w:rsidRPr="00DD2D90">
        <w:rPr>
          <w:rStyle w:val="StyleUnderline"/>
          <w:highlight w:val="green"/>
        </w:rPr>
        <w:t>administrative costs</w:t>
      </w:r>
      <w:r w:rsidRPr="009278EB">
        <w:rPr>
          <w:sz w:val="16"/>
        </w:rPr>
        <w:t xml:space="preserve">, primarily billing- and insurance-related costs, in the current U.S. health delivery systems, even when accounting for expanded coverage among those currently uninsured and residing in the country.[5,47] These </w:t>
      </w:r>
      <w:r w:rsidRPr="00DD2D90">
        <w:rPr>
          <w:rStyle w:val="StyleUnderline"/>
        </w:rPr>
        <w:t xml:space="preserve">costs emanate </w:t>
      </w:r>
      <w:r w:rsidRPr="00DD2D90">
        <w:rPr>
          <w:rStyle w:val="StyleUnderline"/>
          <w:highlight w:val="green"/>
        </w:rPr>
        <w:t>from</w:t>
      </w:r>
      <w:r w:rsidRPr="009278EB">
        <w:rPr>
          <w:sz w:val="16"/>
        </w:rPr>
        <w:t xml:space="preserve"> the use </w:t>
      </w:r>
      <w:r w:rsidRPr="00DD2D90">
        <w:rPr>
          <w:rStyle w:val="StyleUnderline"/>
        </w:rPr>
        <w:t xml:space="preserve">of </w:t>
      </w:r>
      <w:r w:rsidRPr="00DD2D90">
        <w:rPr>
          <w:rStyle w:val="StyleUnderline"/>
          <w:highlight w:val="green"/>
        </w:rPr>
        <w:t>multiple</w:t>
      </w:r>
      <w:r w:rsidRPr="00DD2D90">
        <w:rPr>
          <w:rStyle w:val="StyleUnderline"/>
        </w:rPr>
        <w:t xml:space="preserve"> differing </w:t>
      </w:r>
      <w:r w:rsidRPr="00DD2D90">
        <w:rPr>
          <w:rStyle w:val="StyleUnderline"/>
          <w:highlight w:val="green"/>
        </w:rPr>
        <w:t>insurance companies</w:t>
      </w:r>
      <w:r w:rsidRPr="00DD2D90">
        <w:rPr>
          <w:rStyle w:val="StyleUnderline"/>
        </w:rPr>
        <w:t xml:space="preserve">, </w:t>
      </w:r>
      <w:r w:rsidRPr="00DD2D90">
        <w:rPr>
          <w:rStyle w:val="StyleUnderline"/>
          <w:highlight w:val="green"/>
        </w:rPr>
        <w:t>allowable charges</w:t>
      </w:r>
      <w:r w:rsidRPr="00DD2D90">
        <w:rPr>
          <w:rStyle w:val="StyleUnderline"/>
        </w:rPr>
        <w:t xml:space="preserve">, </w:t>
      </w:r>
      <w:r w:rsidRPr="00DD2D90">
        <w:rPr>
          <w:rStyle w:val="StyleUnderline"/>
          <w:highlight w:val="green"/>
        </w:rPr>
        <w:t>reasons to deny care</w:t>
      </w:r>
      <w:r w:rsidRPr="00DD2D90">
        <w:rPr>
          <w:rStyle w:val="StyleUnderline"/>
        </w:rPr>
        <w:t xml:space="preserve">, </w:t>
      </w:r>
      <w:r w:rsidRPr="00DD2D90">
        <w:rPr>
          <w:rStyle w:val="StyleUnderline"/>
          <w:highlight w:val="green"/>
        </w:rPr>
        <w:t>coding</w:t>
      </w:r>
      <w:r w:rsidRPr="00DD2D90">
        <w:rPr>
          <w:rStyle w:val="StyleUnderline"/>
        </w:rPr>
        <w:t xml:space="preserve">, provider network </w:t>
      </w:r>
      <w:r w:rsidRPr="00DD2D90">
        <w:rPr>
          <w:rStyle w:val="StyleUnderline"/>
          <w:highlight w:val="green"/>
        </w:rPr>
        <w:t>negotiations</w:t>
      </w:r>
      <w:r w:rsidRPr="00DD2D90">
        <w:rPr>
          <w:rStyle w:val="StyleUnderline"/>
        </w:rPr>
        <w:t xml:space="preserve"> </w:t>
      </w:r>
      <w:r w:rsidRPr="00DD2D90">
        <w:rPr>
          <w:rStyle w:val="StyleUnderline"/>
          <w:highlight w:val="green"/>
        </w:rPr>
        <w:t>and care restrictions</w:t>
      </w:r>
      <w:r w:rsidRPr="00DD2D90">
        <w:rPr>
          <w:rStyle w:val="StyleUnderline"/>
        </w:rPr>
        <w:t xml:space="preserve">, </w:t>
      </w:r>
      <w:r w:rsidRPr="00DD2D90">
        <w:rPr>
          <w:rStyle w:val="StyleUnderline"/>
          <w:highlight w:val="green"/>
        </w:rPr>
        <w:t>deductibles</w:t>
      </w:r>
      <w:r w:rsidRPr="00DD2D90">
        <w:rPr>
          <w:rStyle w:val="StyleUnderline"/>
        </w:rPr>
        <w:t xml:space="preserve">, </w:t>
      </w:r>
      <w:r w:rsidRPr="00DD2D90">
        <w:rPr>
          <w:rStyle w:val="StyleUnderline"/>
          <w:highlight w:val="green"/>
        </w:rPr>
        <w:t>and co-pays</w:t>
      </w:r>
      <w:r w:rsidRPr="009278EB">
        <w:rPr>
          <w:sz w:val="16"/>
        </w:rPr>
        <w:t>.[37,47] Furthermore, system</w:t>
      </w:r>
      <w:r w:rsidRPr="00DD2D90">
        <w:rPr>
          <w:rStyle w:val="StyleUnderline"/>
        </w:rPr>
        <w:t>-wide cost savings are realized by eliminating the processes for collecting co-pays and out-of-pocket expenses from patients</w:t>
      </w:r>
      <w:r w:rsidRPr="009278EB">
        <w:rPr>
          <w:sz w:val="16"/>
        </w:rPr>
        <w:t xml:space="preserve">.[37,48] </w:t>
      </w:r>
      <w:r w:rsidRPr="00DD2D90">
        <w:rPr>
          <w:rStyle w:val="StyleUnderline"/>
        </w:rPr>
        <w:t xml:space="preserve">One review </w:t>
      </w:r>
      <w:r w:rsidRPr="00DD2D90">
        <w:rPr>
          <w:rStyle w:val="StyleUnderline"/>
          <w:highlight w:val="green"/>
        </w:rPr>
        <w:t>estimated</w:t>
      </w:r>
      <w:r w:rsidRPr="00DD2D90">
        <w:rPr>
          <w:rStyle w:val="StyleUnderline"/>
        </w:rPr>
        <w:t xml:space="preserve"> a mean </w:t>
      </w:r>
      <w:r w:rsidRPr="00DD2D90">
        <w:rPr>
          <w:rStyle w:val="StyleUnderline"/>
          <w:highlight w:val="green"/>
        </w:rPr>
        <w:t xml:space="preserve">of </w:t>
      </w:r>
      <w:r w:rsidRPr="00DD2D90">
        <w:rPr>
          <w:rStyle w:val="Emphasis"/>
          <w:highlight w:val="green"/>
        </w:rPr>
        <w:t>$556 billion</w:t>
      </w:r>
      <w:r w:rsidRPr="00DD2D90">
        <w:rPr>
          <w:rStyle w:val="StyleUnderline"/>
          <w:highlight w:val="green"/>
        </w:rPr>
        <w:t xml:space="preserve"> in</w:t>
      </w:r>
      <w:r w:rsidRPr="00DD2D90">
        <w:rPr>
          <w:rStyle w:val="StyleUnderline"/>
        </w:rPr>
        <w:t xml:space="preserve"> potential </w:t>
      </w:r>
      <w:r w:rsidRPr="00DD2D90">
        <w:rPr>
          <w:rStyle w:val="StyleUnderline"/>
          <w:highlight w:val="green"/>
        </w:rPr>
        <w:t>annual savings</w:t>
      </w:r>
      <w:r w:rsidRPr="009278EB">
        <w:rPr>
          <w:sz w:val="16"/>
        </w:rPr>
        <w:t xml:space="preserve">.[48] Within the estimated increased federal expenditures required to support universal coverage through a public SP is the offsetting cost transfer from fewer private sector charges and projections of further increases in costs under the status quo.[37] In a review published by the RAND Corporation, SP plans offering universal and comprehensive coverage models were projected to generate a total net savings of $121 billion annually to the NHE.[48] Certain models with supplemental insurance options have demonstrated reductions in annual NHE by $211 billion and federal expenditures by $40 billion, even without the theorized savings from administrative efficiency.[48] A more recent economic review showed that </w:t>
      </w:r>
      <w:r w:rsidRPr="00DD2D90">
        <w:rPr>
          <w:rStyle w:val="StyleUnderline"/>
        </w:rPr>
        <w:t>20 of 22 SP proposals</w:t>
      </w:r>
      <w:r w:rsidRPr="009278EB">
        <w:rPr>
          <w:sz w:val="16"/>
        </w:rPr>
        <w:t xml:space="preserve"> from the past 30 years </w:t>
      </w:r>
      <w:r w:rsidRPr="00DD2D90">
        <w:rPr>
          <w:rStyle w:val="StyleUnderline"/>
        </w:rPr>
        <w:t>would provide net savings</w:t>
      </w:r>
      <w:r w:rsidRPr="009278EB">
        <w:rPr>
          <w:sz w:val="16"/>
        </w:rPr>
        <w:t xml:space="preserve"> within the first several years if implemented in 2020.[47] Relative to the projected growth in health care costs under 2020 conditions and trends, all of these proposals would offer longer-term net savings.[47] As seen during the COVID-19 pandemic</w:t>
      </w:r>
      <w:r w:rsidRPr="00DD2D90">
        <w:rPr>
          <w:rStyle w:val="StyleUnderline"/>
        </w:rPr>
        <w:t>, the health of the nation relies on creating a universal, efficiently coordinated system that improves access, eliminates disincentives to preventive care, and fosters access with a streamlined approach to universal coverage</w:t>
      </w:r>
      <w:r w:rsidRPr="009278EB">
        <w:rPr>
          <w:sz w:val="16"/>
        </w:rPr>
        <w:t xml:space="preserve">. Indeed, a single-payer health system is not only financially feasible but also the most fiscally viable approach for all. Reducing national pharmaceutical expenditures: A national drug formulary is an important tool of universal single-payer health care systems (e.g., the 2013 Medicare for All Act,[49,50] intended to rein in ever-increasing U.S. drug expenditures).[49] A national formulary can achieve reduced drug expenditures in two ways. First, it restricts duplicative and unnecessary medications within a class of drugs while allowing waivers to provide access for the occasional exception.[49,51] Second, by supporting price negotiation at the national level, manufacturers will have substantial incentives to be included in the formulary drug category.[51] The Veterans Administration health system exemplifies a national formulary system with a public health perspective that has been shown to change physician behavior favorably while providing substantial cost savings through price reductions from manufacturers.[49–51] Access and equity strategies: An SP system creates new opportunities to improve racial health disparities beyond the impact of eliminating differences in rates of insurance. An </w:t>
      </w:r>
      <w:r w:rsidRPr="00DD2D90">
        <w:rPr>
          <w:u w:val="single"/>
        </w:rPr>
        <w:t xml:space="preserve">SP that includes coverage for workplace injuries and illnesses could eliminate cost shifting within the workers’ compensation system </w:t>
      </w:r>
      <w:r w:rsidRPr="009278EB">
        <w:rPr>
          <w:sz w:val="16"/>
        </w:rPr>
        <w:t xml:space="preserve">that currently burdens workers with 50% of the costs, adding inequality to injury. SP would also address the socioeconomic disparities that have been described in our health care system. </w:t>
      </w:r>
      <w:r w:rsidRPr="00DD2D90">
        <w:rPr>
          <w:rStyle w:val="StyleUnderline"/>
        </w:rPr>
        <w:t>People who are uninsured and underinsured are more likely to have delays in medical care</w:t>
      </w:r>
      <w:r w:rsidRPr="009278EB">
        <w:rPr>
          <w:sz w:val="16"/>
        </w:rPr>
        <w:t xml:space="preserve">. </w:t>
      </w:r>
      <w:r w:rsidRPr="00DD2D90">
        <w:rPr>
          <w:highlight w:val="green"/>
          <w:u w:val="single"/>
        </w:rPr>
        <w:t>Medical debt</w:t>
      </w:r>
      <w:r w:rsidRPr="00DD2D90">
        <w:rPr>
          <w:u w:val="single"/>
        </w:rPr>
        <w:t xml:space="preserve"> </w:t>
      </w:r>
      <w:r w:rsidRPr="00DD2D90">
        <w:rPr>
          <w:highlight w:val="green"/>
          <w:u w:val="single"/>
        </w:rPr>
        <w:t>is</w:t>
      </w:r>
      <w:r w:rsidRPr="00DD2D90">
        <w:rPr>
          <w:u w:val="single"/>
        </w:rPr>
        <w:t xml:space="preserve"> also associated </w:t>
      </w:r>
      <w:r w:rsidRPr="00DD2D90">
        <w:rPr>
          <w:highlight w:val="green"/>
          <w:u w:val="single"/>
        </w:rPr>
        <w:t>with</w:t>
      </w:r>
      <w:r w:rsidRPr="00DD2D90">
        <w:rPr>
          <w:u w:val="single"/>
        </w:rPr>
        <w:t xml:space="preserve"> housing </w:t>
      </w:r>
      <w:r w:rsidRPr="00DD2D90">
        <w:rPr>
          <w:rStyle w:val="Emphasis"/>
        </w:rPr>
        <w:t>instability</w:t>
      </w:r>
      <w:r w:rsidRPr="00DD2D90">
        <w:rPr>
          <w:u w:val="single"/>
        </w:rPr>
        <w:t xml:space="preserve"> and </w:t>
      </w:r>
      <w:r w:rsidRPr="00DD2D90">
        <w:rPr>
          <w:highlight w:val="green"/>
          <w:u w:val="single"/>
        </w:rPr>
        <w:t>homelessness</w:t>
      </w:r>
      <w:r w:rsidRPr="00DD2D90">
        <w:rPr>
          <w:u w:val="single"/>
        </w:rPr>
        <w:t>.</w:t>
      </w:r>
      <w:r w:rsidRPr="009278EB">
        <w:rPr>
          <w:sz w:val="16"/>
        </w:rPr>
        <w:t xml:space="preserve">[52] Because a single-payer health system would create health care savings by creating a more efficient administrative system, as a matter of health equity, some of these savings can and should be used to address additional ways to tackle health disparities outside of insurance. A single-payer health care system would also address the socioeconomic disparities that have been described in the United States. An SP that breaks down financial barriers to care would help resolve rationing of medical care based on socioeconomic status. A study of health care expenditures and finance in </w:t>
      </w:r>
      <w:r w:rsidRPr="00DD2D90">
        <w:rPr>
          <w:rStyle w:val="StyleUnderline"/>
        </w:rPr>
        <w:t>Canada</w:t>
      </w:r>
      <w:r w:rsidRPr="009278EB">
        <w:rPr>
          <w:sz w:val="16"/>
        </w:rPr>
        <w:t xml:space="preserve"> showed that the country’s </w:t>
      </w:r>
      <w:r w:rsidRPr="00DD2D90">
        <w:rPr>
          <w:rStyle w:val="StyleUnderline"/>
          <w:highlight w:val="green"/>
        </w:rPr>
        <w:t>SP reduced income inequality</w:t>
      </w:r>
      <w:r w:rsidRPr="00DD2D90">
        <w:rPr>
          <w:rStyle w:val="StyleUnderline"/>
        </w:rPr>
        <w:t xml:space="preserve"> between income groups </w:t>
      </w:r>
      <w:r w:rsidRPr="00DD2D90">
        <w:rPr>
          <w:rStyle w:val="StyleUnderline"/>
          <w:highlight w:val="green"/>
        </w:rPr>
        <w:t xml:space="preserve">by </w:t>
      </w:r>
      <w:r w:rsidRPr="00DD2D90">
        <w:rPr>
          <w:rStyle w:val="Emphasis"/>
          <w:highlight w:val="green"/>
        </w:rPr>
        <w:t>16%</w:t>
      </w:r>
      <w:r w:rsidRPr="009278EB">
        <w:rPr>
          <w:sz w:val="16"/>
        </w:rPr>
        <w:t xml:space="preserve">, solely </w:t>
      </w:r>
      <w:r w:rsidRPr="00DD2D90">
        <w:rPr>
          <w:rStyle w:val="StyleUnderline"/>
        </w:rPr>
        <w:t>through more equitable health care utilization</w:t>
      </w:r>
      <w:r w:rsidRPr="009278EB">
        <w:rPr>
          <w:sz w:val="16"/>
        </w:rPr>
        <w:t xml:space="preserve">.[53] Clinical factors are also a source of inequities in health care services in insured populations. For example, coverage of mental health and behavioral services has not been on an equal footing with medical and surgical services in the U.S. for-profit health insurance environment. Since 2008, federal law (Mental Health Parity and Addition Equity Act) has mandated insurers to provide mental health coverage equivalent to medical surgical coverage. While substantial gains in parity have been made since the passage of the Affordable Care Act, the challenge of real mental health parity in regulating managed care for mental health remains. Publicly financed health care is far more likely to achieve real parity than a for-profit insurance industry.[4,54] While an </w:t>
      </w:r>
      <w:r w:rsidRPr="00DD2D90">
        <w:rPr>
          <w:rStyle w:val="StyleUnderline"/>
        </w:rPr>
        <w:t>SP</w:t>
      </w:r>
      <w:r w:rsidRPr="009278EB">
        <w:rPr>
          <w:sz w:val="16"/>
        </w:rPr>
        <w:t xml:space="preserve"> universal health care system </w:t>
      </w:r>
      <w:r w:rsidRPr="00DD2D90">
        <w:rPr>
          <w:rStyle w:val="StyleUnderline"/>
        </w:rPr>
        <w:t>would</w:t>
      </w:r>
      <w:r w:rsidRPr="009278EB">
        <w:rPr>
          <w:sz w:val="16"/>
        </w:rPr>
        <w:t xml:space="preserve"> not immediately eliminate all of the health disparities outlined above, it would </w:t>
      </w:r>
      <w:r w:rsidRPr="00DD2D90">
        <w:rPr>
          <w:rStyle w:val="StyleUnderline"/>
        </w:rPr>
        <w:t>address</w:t>
      </w:r>
      <w:r w:rsidRPr="009278EB">
        <w:rPr>
          <w:sz w:val="16"/>
        </w:rPr>
        <w:t xml:space="preserve"> many of the </w:t>
      </w:r>
      <w:r w:rsidRPr="00DD2D90">
        <w:rPr>
          <w:rStyle w:val="StyleUnderline"/>
        </w:rPr>
        <w:t>disparities caused by lack of insurance and out-of-pocket expenses, which</w:t>
      </w:r>
      <w:r w:rsidRPr="009278EB">
        <w:rPr>
          <w:sz w:val="16"/>
        </w:rPr>
        <w:t xml:space="preserve"> also </w:t>
      </w:r>
      <w:r w:rsidRPr="00DD2D90">
        <w:rPr>
          <w:rStyle w:val="StyleUnderline"/>
        </w:rPr>
        <w:t>lead to reduced utilization of high-value, lower-cost care</w:t>
      </w:r>
      <w:r w:rsidRPr="009278EB">
        <w:rPr>
          <w:sz w:val="16"/>
        </w:rPr>
        <w:t xml:space="preserve">.[3,27,55] In addition, </w:t>
      </w:r>
      <w:r w:rsidRPr="00DD2D90">
        <w:rPr>
          <w:rStyle w:val="StyleUnderline"/>
        </w:rPr>
        <w:t>it would incentivize a public health response focused on reducing</w:t>
      </w:r>
      <w:r w:rsidRPr="009278EB">
        <w:rPr>
          <w:sz w:val="16"/>
        </w:rPr>
        <w:t xml:space="preserve"> disparities in order to reduce the </w:t>
      </w:r>
      <w:r w:rsidRPr="00DD2D90">
        <w:rPr>
          <w:rStyle w:val="StyleUnderline"/>
        </w:rPr>
        <w:t>costly care that results from</w:t>
      </w:r>
      <w:r w:rsidRPr="009278EB">
        <w:rPr>
          <w:sz w:val="16"/>
        </w:rPr>
        <w:t xml:space="preserve"> the acute and chronic </w:t>
      </w:r>
      <w:r w:rsidRPr="00DD2D90">
        <w:rPr>
          <w:rStyle w:val="StyleUnderline"/>
        </w:rPr>
        <w:t>diseases related to health disparities</w:t>
      </w:r>
      <w:r w:rsidRPr="009278EB">
        <w:rPr>
          <w:sz w:val="16"/>
        </w:rPr>
        <w:t xml:space="preserve">.[3,4,27,55] Improving the value of care: SP health care systems have the ability to emphasize chronic and preventive care. As discussed above, </w:t>
      </w:r>
      <w:r w:rsidRPr="00DD2D90">
        <w:rPr>
          <w:rStyle w:val="StyleUnderline"/>
        </w:rPr>
        <w:t>enrolling individuals with low incomes in comprehensive health benefits in Taiwan decreases the need for costly emergency care</w:t>
      </w:r>
      <w:r w:rsidRPr="009278EB">
        <w:rPr>
          <w:sz w:val="16"/>
        </w:rPr>
        <w:t xml:space="preserve">.[32] Providing comprehensive </w:t>
      </w:r>
      <w:r w:rsidRPr="00DD2D90">
        <w:rPr>
          <w:rStyle w:val="StyleUnderline"/>
        </w:rPr>
        <w:t>health benefits</w:t>
      </w:r>
      <w:r w:rsidRPr="009278EB">
        <w:rPr>
          <w:sz w:val="16"/>
        </w:rPr>
        <w:t xml:space="preserve"> can </w:t>
      </w:r>
      <w:r w:rsidRPr="00DD2D90">
        <w:rPr>
          <w:rStyle w:val="StyleUnderline"/>
        </w:rPr>
        <w:t>direct patients toward less expensive scheduled care</w:t>
      </w:r>
      <w:r w:rsidRPr="009278EB">
        <w:rPr>
          <w:sz w:val="16"/>
        </w:rPr>
        <w:t xml:space="preserve">, as discussed earlier in the example of coverage of dialysis being associated with lower health care costs </w:t>
      </w:r>
      <w:r w:rsidRPr="00DD2D90">
        <w:rPr>
          <w:rStyle w:val="StyleUnderline"/>
        </w:rPr>
        <w:t>due to fewer emergency dialysis visits</w:t>
      </w:r>
      <w:r w:rsidRPr="009278EB">
        <w:rPr>
          <w:sz w:val="16"/>
        </w:rPr>
        <w:t xml:space="preserve">.[27] An SP system should include funding for strategies to improve access to primary care across the country in order to shift care to low-cost, higher-value primary care. As discussed above, under the current system with high out-of-pocket expenses even among the insured, some patients are less likely to fill prescriptions or obtain needed preventive care, deferring costs.[20] An </w:t>
      </w:r>
      <w:r w:rsidRPr="00DD2D90">
        <w:rPr>
          <w:rStyle w:val="StyleUnderline"/>
          <w:highlight w:val="green"/>
        </w:rPr>
        <w:t>SP</w:t>
      </w:r>
      <w:r w:rsidRPr="009278EB">
        <w:rPr>
          <w:sz w:val="16"/>
        </w:rPr>
        <w:t xml:space="preserve"> system aligns the interests of the national insurer to </w:t>
      </w:r>
      <w:r w:rsidRPr="00DD2D90">
        <w:rPr>
          <w:rStyle w:val="StyleUnderline"/>
        </w:rPr>
        <w:t xml:space="preserve">cover preventive care upfront in order to avoid the need for costly care later. </w:t>
      </w:r>
      <w:r w:rsidRPr="009278EB">
        <w:rPr>
          <w:sz w:val="16"/>
        </w:rPr>
        <w:t xml:space="preserve">Along with improving access to higher-value care, </w:t>
      </w:r>
      <w:r w:rsidRPr="00DD2D90">
        <w:rPr>
          <w:rStyle w:val="StyleUnderline"/>
        </w:rPr>
        <w:t>SP</w:t>
      </w:r>
      <w:r w:rsidRPr="009278EB">
        <w:rPr>
          <w:sz w:val="16"/>
        </w:rPr>
        <w:t xml:space="preserve"> has the potential to reduce health care costs by </w:t>
      </w:r>
      <w:r w:rsidRPr="00DD2D90">
        <w:rPr>
          <w:rStyle w:val="StyleUnderline"/>
          <w:highlight w:val="green"/>
        </w:rPr>
        <w:t>alter</w:t>
      </w:r>
      <w:r w:rsidRPr="00DD2D90">
        <w:rPr>
          <w:rStyle w:val="StyleUnderline"/>
        </w:rPr>
        <w:t xml:space="preserve">ing </w:t>
      </w:r>
      <w:r w:rsidRPr="00DD2D90">
        <w:rPr>
          <w:rStyle w:val="StyleUnderline"/>
          <w:highlight w:val="green"/>
        </w:rPr>
        <w:t>payment structures to incentivize high-value</w:t>
      </w:r>
      <w:r w:rsidRPr="009278EB">
        <w:rPr>
          <w:sz w:val="16"/>
          <w:highlight w:val="green"/>
        </w:rPr>
        <w:t xml:space="preserve"> </w:t>
      </w:r>
      <w:r w:rsidRPr="00DD2D90">
        <w:rPr>
          <w:rStyle w:val="StyleUnderline"/>
          <w:highlight w:val="green"/>
        </w:rPr>
        <w:t>care</w:t>
      </w:r>
      <w:r w:rsidRPr="009278EB">
        <w:rPr>
          <w:sz w:val="16"/>
        </w:rPr>
        <w:t xml:space="preserve">. There have been many proposals regarding alternative payment structures for health care providers to improve the value of care delivery. Although the payment structure for hospitals and physicians is not synonymous with an insurance system, these issues are closely entwined. Single-payer health insurance systems in other countries have used both fee for service (FFS) and capitation models for health care provider reimbursement. As an example, Taiwan implemented an FFS reimbursement model when it first transitioned to a single-payer health insurance system but introduced capitation to reduce the volume of care being provided as problems arose.[56] Evidence for the ability of capitation alone to make health care more efficient is mixed. Some studies have revealed that providers in an FFS method tend to induce more demand, for example increasing elective hospital admissions,[57] whereas other studies have not shown that an effect.[58] Many capitation models attempt to adjust payments by baseline health characteristics of patients or populations to minimize physician “cherry picking” of healthier patients who need less health care and thus are less likely to reach their capitation rate. Within the current U.S. system, evidence for the benefit of capitation in some of the accountable care organizations that have adopted this payment model is mixed.[59] There has been some concern that despite efforts to avoid negative selection of unhealthier patients or of communities that traditionally suffer from health care disparities, accountable care organizations might still be less likely to profit from accepting such patients.[60] In the absence of strong alternative evidence, value-driven payment models can and should continue to be studied after the implementation of universal health care through an SP financing model, recognizing that any payment structure to physicians and hospitals might operate differently under a new insurance system. The competitive disincentives that undermine capitation models in the current U.S. system are expected to be alleviated when all providers are held to the same reimbursement schedules and risk pools. Education and advocacy: The scientific and economic (typically peer-reviewed) debate on SP reform is characterized by caveats[55,61] or political rationalizations[55,62] against the larger, generally overwhelming economic evidence. However, the public debate on SP reform is both more wide-ranging and more divisive in tone, taking on partisan political rhetoric.[63,64] Providing clear information from the economic debate to the public debate about the actual scientific evidence, including the caveats and political complexity of reform, is a vital step toward successful SP system transformation. Education and advocacy campaigns directed toward the public[65,66] and representatives of the legislative and executive branches of government,[67,68] via multiple communication media and forums, have successfully demonstrated that communicating facts about policy effectiveness from trusted sources can produce shifts in public and political opinion toward the evidence over time. This can anchor the public and political debate on the details of how best to implement SP reform and move the focus away from the unfounded arguments and rhetoric[61,63] that are used to manipulate public opinion away from the evidence. Opposing Arguments/Evidence Political barriers: Calls for universal health care in the United States have been made since the beginning of the 20th century, and the legislative beginnings of the SP movement have their origin in the Wagner-Murray-Dingall bills of the 1940s to create a national health insurance system.[55,69] The fact that decades later the United States still does not have SP is a testament to the significant political barriers to implementing such a system.[55] Lessons from history can be illustrative. The national health insurance bills of the 1940s and 1950s faced significant opposition from the American Medical Association (AMA), which launched widescale public opinion campaigns against nationalized health care using the language of the “Red Scare.”[55,69] However, opposition from medical provider groups such as the AMA and ACP has reversed course in recent years.[33,34,70] Despite this reversal, significant opposition to SP remains among some physician groups that are important stakeholders in health policy reform. Although polls show support for SP among the general population, that support might not withstand the scrutiny the policy would receive if it were to have a serious chance of passage. For instance, one survey showed that support for the ACA decreased across many different polls after it was initially passed but before many of the provisions took effect, suggesting that the increased scrutiny of the bill in that period increased opposition.[71] Market forces and barriers: It is a common justification for the higher spending in the U.S. health care system that the outsized costs paid to pharmaceutical and medical technology industries in the U.S. market incentivize the greatest innovation and highest quality of care for the country’s citizens. Vested interests will also propose that market forces between private payers and providers create the best source of innovation in care delivery models through competitive pressures.[55,61,63] However, those same </w:t>
      </w:r>
      <w:r w:rsidRPr="00DD2D90">
        <w:rPr>
          <w:rStyle w:val="StyleUnderline"/>
        </w:rPr>
        <w:t>innovations drive the annual rise in excessive spending rates year after year</w:t>
      </w:r>
      <w:r w:rsidRPr="009278EB">
        <w:rPr>
          <w:sz w:val="16"/>
        </w:rPr>
        <w:t xml:space="preserve">. High inputs, such as material costs, only widen the disparate impact of health care–related debts in low- and high-income strata. Furthermore, </w:t>
      </w:r>
      <w:r w:rsidRPr="00DD2D90">
        <w:rPr>
          <w:rStyle w:val="StyleUnderline"/>
        </w:rPr>
        <w:t>government</w:t>
      </w:r>
      <w:r w:rsidRPr="009278EB">
        <w:rPr>
          <w:sz w:val="16"/>
        </w:rPr>
        <w:t xml:space="preserve">-administered </w:t>
      </w:r>
      <w:r w:rsidRPr="00DD2D90">
        <w:rPr>
          <w:rStyle w:val="StyleUnderline"/>
        </w:rPr>
        <w:t>health care</w:t>
      </w:r>
      <w:r w:rsidRPr="009278EB">
        <w:rPr>
          <w:sz w:val="16"/>
        </w:rPr>
        <w:t xml:space="preserve"> financing </w:t>
      </w:r>
      <w:r w:rsidRPr="00DD2D90">
        <w:rPr>
          <w:rStyle w:val="StyleUnderline"/>
        </w:rPr>
        <w:t>can</w:t>
      </w:r>
      <w:r w:rsidRPr="009278EB">
        <w:rPr>
          <w:sz w:val="16"/>
        </w:rPr>
        <w:t xml:space="preserve"> still </w:t>
      </w:r>
      <w:r w:rsidRPr="00DD2D90">
        <w:rPr>
          <w:rStyle w:val="StyleUnderline"/>
        </w:rPr>
        <w:t>direct</w:t>
      </w:r>
      <w:r w:rsidRPr="009278EB">
        <w:rPr>
          <w:sz w:val="16"/>
        </w:rPr>
        <w:t xml:space="preserve"> the system through statutes and </w:t>
      </w:r>
      <w:r w:rsidRPr="00DD2D90">
        <w:rPr>
          <w:rStyle w:val="StyleUnderline"/>
        </w:rPr>
        <w:t>payment</w:t>
      </w:r>
      <w:r w:rsidRPr="009278EB">
        <w:rPr>
          <w:sz w:val="16"/>
        </w:rPr>
        <w:t xml:space="preserve"> models </w:t>
      </w:r>
      <w:r w:rsidRPr="00DD2D90">
        <w:rPr>
          <w:rStyle w:val="StyleUnderline"/>
        </w:rPr>
        <w:t>incentivizing innovation</w:t>
      </w:r>
      <w:r w:rsidRPr="009278EB">
        <w:rPr>
          <w:sz w:val="16"/>
        </w:rPr>
        <w:t xml:space="preserve">, based on value-based metrics to achieve the most cost-effective care. The competition between provider organizations is not diminished by a level playing field in terms of reimbursement and incentive models. In fact, </w:t>
      </w:r>
      <w:r w:rsidRPr="00DD2D90">
        <w:rPr>
          <w:rStyle w:val="StyleUnderline"/>
        </w:rPr>
        <w:t>SP financing will only improve the quality of competition</w:t>
      </w:r>
      <w:r w:rsidRPr="009278EB">
        <w:rPr>
          <w:sz w:val="16"/>
        </w:rPr>
        <w:t xml:space="preserve">. There are other driving forces that affect pharmaceutical prices, such as regulatory costs. In fact, </w:t>
      </w:r>
      <w:r w:rsidRPr="00DD2D90">
        <w:rPr>
          <w:rStyle w:val="StyleUnderline"/>
        </w:rPr>
        <w:t>the</w:t>
      </w:r>
      <w:r w:rsidRPr="009278EB">
        <w:rPr>
          <w:sz w:val="16"/>
        </w:rPr>
        <w:t xml:space="preserve"> general </w:t>
      </w:r>
      <w:r w:rsidRPr="00DD2D90">
        <w:rPr>
          <w:rStyle w:val="StyleUnderline"/>
        </w:rPr>
        <w:t>disadvantage of U.S. pharmaceutical pricing is that the prices are higher due to the lack of regulation surrounding the process</w:t>
      </w:r>
      <w:r w:rsidRPr="009278EB">
        <w:rPr>
          <w:sz w:val="16"/>
        </w:rPr>
        <w:t xml:space="preserve">.[15,47] SP provides the opportunity for pricing negotiation by federal regulators, which is currently not permitted, for both pharmaceuticals and other medical technologies. It also places the greatest possible leverage in the hands of the consolidated payment system, which will inherently improve market competition and pricing strategies and simultaneously shift the cost share of research and development operations to other large economies around the world. In addition, critics point to the threat of rationing of health care, long wait times, and a lack of choice of health care providers.[55,61,63] As evidence that health care providers will constrict program availability, these voices sometimes point to anticipated increases in health care demand from individuals newly insured and lower reimbursement rates from Centers for Medicare &amp; Medicaid Services (CMS) programs relative to private insurance providers.[61,64] However, </w:t>
      </w:r>
      <w:r w:rsidRPr="00DD2D90">
        <w:rPr>
          <w:rStyle w:val="StyleUnderline"/>
        </w:rPr>
        <w:t>in international comparisons</w:t>
      </w:r>
      <w:r w:rsidRPr="009278EB">
        <w:rPr>
          <w:sz w:val="16"/>
        </w:rPr>
        <w:t xml:space="preserve"> and economic model projections, </w:t>
      </w:r>
      <w:r w:rsidRPr="00DD2D90">
        <w:rPr>
          <w:rStyle w:val="StyleUnderline"/>
        </w:rPr>
        <w:t xml:space="preserve">there is </w:t>
      </w:r>
      <w:r w:rsidRPr="00DD2D90">
        <w:rPr>
          <w:rStyle w:val="Emphasis"/>
        </w:rPr>
        <w:t>no evidence</w:t>
      </w:r>
      <w:r w:rsidRPr="00DD2D90">
        <w:rPr>
          <w:rStyle w:val="StyleUnderline"/>
        </w:rPr>
        <w:t xml:space="preserve"> that adopting SP financing will lead to rationing or wait times for time-sensitive services</w:t>
      </w:r>
      <w:r w:rsidRPr="009278EB">
        <w:rPr>
          <w:sz w:val="16"/>
        </w:rPr>
        <w:t xml:space="preserve">.[3,4,15,55] </w:t>
      </w:r>
      <w:r w:rsidRPr="00DD2D90">
        <w:rPr>
          <w:rStyle w:val="StyleUnderline"/>
          <w:highlight w:val="green"/>
        </w:rPr>
        <w:t>Countries with SP</w:t>
      </w:r>
      <w:r w:rsidRPr="00DD2D90">
        <w:rPr>
          <w:rStyle w:val="StyleUnderline"/>
        </w:rPr>
        <w:t xml:space="preserve"> systems </w:t>
      </w:r>
      <w:r w:rsidRPr="00DD2D90">
        <w:rPr>
          <w:rStyle w:val="StyleUnderline"/>
          <w:highlight w:val="green"/>
        </w:rPr>
        <w:t>do not ration</w:t>
      </w:r>
      <w:r w:rsidRPr="00DD2D90">
        <w:rPr>
          <w:rStyle w:val="StyleUnderline"/>
        </w:rPr>
        <w:t xml:space="preserve"> primary care services </w:t>
      </w:r>
      <w:r w:rsidRPr="00DD2D90">
        <w:rPr>
          <w:rStyle w:val="StyleUnderline"/>
          <w:highlight w:val="green"/>
        </w:rPr>
        <w:t>or require wait times</w:t>
      </w:r>
      <w:r w:rsidRPr="00DD2D90">
        <w:rPr>
          <w:rStyle w:val="StyleUnderline"/>
        </w:rPr>
        <w:t xml:space="preserve"> outside of elective procedures</w:t>
      </w:r>
      <w:r w:rsidRPr="009278EB">
        <w:rPr>
          <w:sz w:val="16"/>
        </w:rPr>
        <w:t xml:space="preserve">.[3,15,41] These countries also have high-functioning economies that are not made less wealthy through their support of accessible, efficient health care.[4,7] </w:t>
      </w:r>
      <w:r w:rsidRPr="00DD2D90">
        <w:rPr>
          <w:rStyle w:val="StyleUnderline"/>
          <w:highlight w:val="green"/>
        </w:rPr>
        <w:t>Currently</w:t>
      </w:r>
      <w:r w:rsidRPr="00DD2D90">
        <w:rPr>
          <w:rStyle w:val="StyleUnderline"/>
        </w:rPr>
        <w:t xml:space="preserve">, </w:t>
      </w:r>
      <w:r w:rsidRPr="00DD2D90">
        <w:rPr>
          <w:rStyle w:val="StyleUnderline"/>
          <w:highlight w:val="green"/>
        </w:rPr>
        <w:t>the U.S</w:t>
      </w:r>
      <w:r w:rsidRPr="00DD2D90">
        <w:rPr>
          <w:rStyle w:val="StyleUnderline"/>
        </w:rPr>
        <w:t>.</w:t>
      </w:r>
      <w:r w:rsidRPr="009278EB">
        <w:rPr>
          <w:sz w:val="16"/>
        </w:rPr>
        <w:t xml:space="preserve"> system </w:t>
      </w:r>
      <w:r w:rsidRPr="00DD2D90">
        <w:rPr>
          <w:rStyle w:val="StyleUnderline"/>
          <w:highlight w:val="green"/>
        </w:rPr>
        <w:t>rations</w:t>
      </w:r>
      <w:r w:rsidRPr="009278EB">
        <w:rPr>
          <w:sz w:val="16"/>
        </w:rPr>
        <w:t xml:space="preserve"> </w:t>
      </w:r>
      <w:r w:rsidRPr="00DD2D90">
        <w:rPr>
          <w:rStyle w:val="StyleUnderline"/>
        </w:rPr>
        <w:t xml:space="preserve">health care </w:t>
      </w:r>
      <w:r w:rsidRPr="00DD2D90">
        <w:rPr>
          <w:rStyle w:val="StyleUnderline"/>
          <w:highlight w:val="green"/>
        </w:rPr>
        <w:t>by withholding care from those without</w:t>
      </w:r>
      <w:r w:rsidRPr="00DD2D90">
        <w:rPr>
          <w:rStyle w:val="StyleUnderline"/>
        </w:rPr>
        <w:t xml:space="preserve"> sufficient economic </w:t>
      </w:r>
      <w:r w:rsidRPr="00DD2D90">
        <w:rPr>
          <w:rStyle w:val="StyleUnderline"/>
          <w:highlight w:val="green"/>
        </w:rPr>
        <w:t>resources</w:t>
      </w:r>
      <w:r w:rsidRPr="00DD2D90">
        <w:rPr>
          <w:rStyle w:val="StyleUnderline"/>
        </w:rPr>
        <w:t xml:space="preserve"> to access the system</w:t>
      </w:r>
      <w:r w:rsidRPr="009278EB">
        <w:rPr>
          <w:sz w:val="16"/>
        </w:rPr>
        <w:t xml:space="preserve">. Ironically, provider choice is a hallmark of the current siloed system, with many risk pools and individualized contracts between payers and providers that would be remedied by an SP financing system.[3,14,55] Infeasibility of a single-payer health system due to cost: The primary argument in political circles is often that SP will cost the federal government more money, increasing the federal mandatory budget and leading to higher taxation or deficit spending (or both).[55,61,63] Estimates for expanding Medicare to provide universal coverage range widely, but a cumulative cost of $32.6 trillion in the first 10 years after implementation (2022–2031) is often estimated.[72] Although there are likely to be increased federal expenditures associated with the adoption of SP,[72] projections must also incorporate the significant reduction in costs generated by private sector payers and clients and the continued growth in health care spending trends under the status quo (see the Evidence-based strategies section). Adoption of an </w:t>
      </w:r>
      <w:r w:rsidRPr="00DD2D90">
        <w:rPr>
          <w:rStyle w:val="StyleUnderline"/>
        </w:rPr>
        <w:t>SP</w:t>
      </w:r>
      <w:r w:rsidRPr="009278EB">
        <w:rPr>
          <w:sz w:val="16"/>
        </w:rPr>
        <w:t xml:space="preserve"> system </w:t>
      </w:r>
      <w:r w:rsidRPr="00DD2D90">
        <w:rPr>
          <w:rStyle w:val="StyleUnderline"/>
        </w:rPr>
        <w:t>is</w:t>
      </w:r>
      <w:r w:rsidRPr="009278EB">
        <w:rPr>
          <w:sz w:val="16"/>
        </w:rPr>
        <w:t xml:space="preserve"> actually </w:t>
      </w:r>
      <w:r w:rsidRPr="00DD2D90">
        <w:rPr>
          <w:rStyle w:val="StyleUnderline"/>
        </w:rPr>
        <w:t>projected to both reduce annual net health care expenditure and improve the progression of the health care cost burden by income level</w:t>
      </w:r>
      <w:r w:rsidRPr="009278EB">
        <w:rPr>
          <w:sz w:val="16"/>
        </w:rPr>
        <w:t xml:space="preserve">,[48] improving inequities in access. This impact is reflected in the lower per capita costs of coverage in every country with SP.[7] There are those who may suggest that adoption of a universal SP health payment system would increase the number of undocumented immigrants entering the country and seeking coverage under the new system, thereby increasing the overall NHE as a result of coverage expansion. However, </w:t>
      </w:r>
      <w:r w:rsidRPr="00DD2D90">
        <w:rPr>
          <w:rStyle w:val="StyleUnderline"/>
        </w:rPr>
        <w:t>neither international economic comparisons nor health service research studies have revealed evidence of changes in immigration patterns</w:t>
      </w:r>
      <w:r w:rsidRPr="009278EB">
        <w:rPr>
          <w:sz w:val="16"/>
        </w:rPr>
        <w:t xml:space="preserve"> (documented and undocumented) in countries that transition to SP health delivery systems.[12,29,41,42,47] As unlikely as this shift might be, economic projections have shown that the cost savings from SP reform are significant enough to outweigh the cost of expanding coverage to currently uninsured populations, with a significant margin remaining.[4,5] It is also suggested that the transition to an SP system will have negative impacts on the medical insurance and pharmaceutical industries. While the transition may lead to reduced positions in medical insurance organizations in the short term, these organizations are already developing plans to redirect their business models toward supplemental insurance plans and roles that assist with tasks such as innovating care delivery models, care navigation, and managing care for high-risk patient pools, roles in which those organizations already excel. The pharmaceutical market will naturally balance the costs of innovation across more economies if the United States negotiates prices and implements regulatory reforms. Sufficiency of incrementalism: Historically, incremental expansion of existing coverage mechanisms has been the traditional approach to policy development in the United States. This approach has been advocated by some in the fields of medicine, health policy, and public health as a more feasible means of making asymptotic progress toward universal coverage.[32] In particular, the argument has been made that SP reform legislation has not succeeded so far because it is not a realistic or achievable goal and that smaller reforms with a greater likelihood of adoption are preferable.[32] However, evidence shows that other countries have had successful transitions to systems that provide universal coverage or have nationalized health care financing through single, large, coordinated legislative efforts.[36,73] Moreover, a recent U.S. survey showed that similar levels of debtors (a majority) before and after the implementation of the ACA had medical expenses contribute to or cause their debt, suggesting that incremental reforms have not fixed this problem of social and economic disparities in access.[74] Alternative Strategies Since the passage of the ACA in 2010, the landscape of health care reform has been fundamentally altered. The ACA was ambitious in its goal of increasing rates of insurance coverage, attempting to bend the curve of rising health care costs and improve the quality of health care. Under the ACA, the rate of uninsurance reached a historic low of 8.8% in 2016, largely due to expanding Medicaid to include an additional 12 million people who receive insurance through Medicaid.[75] After adjustment for inflation, annual NHE (all sources) grew at a rate of 2.7% from 2003 to 2010 and 2.8% from 2010 to 2018, indicating that the ACA has not made substantial inroads into improving health care spending.[76] We also know that the scope of coverage with regard to in-network behavioral health services became more comprehensive from 2013 to 2014. This reflects the positive change that occurred when the ACA and the parity requirements went into effect. Coverage appeared to improve when insurance companies reduced their exclusion lists for behavioral health conditions.[77] In addition, knowledge of benefits returned from enhanced coverage of behavioral health conditions remains a key piece of the puzzle for optimization of the existing ACA coverage mandate.[31] As far as improving quality of care, the ACA also launched the Hospital Readmission Reduction Program, which incentivizes higher-quality care in order to reduce readmission rates at hospitals.[76] However, some studies have questioned whether this program reduces readmissions at all, let alone improving quality of care.[78] It has been suggested that many of the successes of the ACA have come from increasing access to insurance. However, at the same time that Medicaid has expanded, </w:t>
      </w:r>
      <w:r w:rsidRPr="00DD2D90">
        <w:rPr>
          <w:rStyle w:val="StyleUnderline"/>
        </w:rPr>
        <w:t xml:space="preserve">the proliferation of high-cost insurance plans has grown as well. Health </w:t>
      </w:r>
      <w:r w:rsidRPr="00DD2D90">
        <w:rPr>
          <w:rStyle w:val="StyleUnderline"/>
          <w:highlight w:val="green"/>
        </w:rPr>
        <w:t xml:space="preserve">insurance premiums increased </w:t>
      </w:r>
      <w:r w:rsidRPr="00DD2D90">
        <w:rPr>
          <w:rStyle w:val="Emphasis"/>
          <w:highlight w:val="green"/>
        </w:rPr>
        <w:t>4.6%</w:t>
      </w:r>
      <w:r w:rsidRPr="00DD2D90">
        <w:rPr>
          <w:rStyle w:val="StyleUnderline"/>
        </w:rPr>
        <w:t xml:space="preserve"> in 2017 and 2018 relative to a 2.6% median increase among OECD countries</w:t>
      </w:r>
      <w:r w:rsidRPr="009278EB">
        <w:rPr>
          <w:sz w:val="16"/>
        </w:rPr>
        <w:t xml:space="preserve">.[1,2,75] According to a 2016 survey, </w:t>
      </w:r>
      <w:r w:rsidRPr="00DD2D90">
        <w:rPr>
          <w:rStyle w:val="StyleUnderline"/>
          <w:highlight w:val="green"/>
        </w:rPr>
        <w:t>45% of uninsured respondents identified cost of care as the reason they did not have coverage</w:t>
      </w:r>
      <w:r w:rsidRPr="009278EB">
        <w:rPr>
          <w:sz w:val="16"/>
        </w:rPr>
        <w:t xml:space="preserve">.[74] In addition, </w:t>
      </w:r>
      <w:r w:rsidRPr="00DD2D90">
        <w:rPr>
          <w:rStyle w:val="Emphasis"/>
          <w:highlight w:val="green"/>
        </w:rPr>
        <w:t>44%</w:t>
      </w:r>
      <w:r w:rsidRPr="00DD2D90">
        <w:rPr>
          <w:rStyle w:val="StyleUnderline"/>
        </w:rPr>
        <w:t xml:space="preserve"> </w:t>
      </w:r>
      <w:r w:rsidRPr="00DD2D90">
        <w:rPr>
          <w:rStyle w:val="StyleUnderline"/>
          <w:highlight w:val="green"/>
        </w:rPr>
        <w:t>of people</w:t>
      </w:r>
      <w:r w:rsidRPr="00DD2D90">
        <w:rPr>
          <w:rStyle w:val="StyleUnderline"/>
        </w:rPr>
        <w:t xml:space="preserve"> with marketplace plans </w:t>
      </w:r>
      <w:r w:rsidRPr="00DD2D90">
        <w:rPr>
          <w:rStyle w:val="StyleUnderline"/>
          <w:highlight w:val="green"/>
        </w:rPr>
        <w:t xml:space="preserve">are considered </w:t>
      </w:r>
      <w:r w:rsidRPr="00DD2D90">
        <w:rPr>
          <w:rStyle w:val="Emphasis"/>
          <w:highlight w:val="green"/>
        </w:rPr>
        <w:t>underinsured</w:t>
      </w:r>
      <w:r w:rsidRPr="00DD2D90">
        <w:rPr>
          <w:rStyle w:val="StyleUnderline"/>
        </w:rPr>
        <w:t xml:space="preserve"> due to the high cost of out-of-pocket expenses such as deductibles</w:t>
      </w:r>
      <w:r w:rsidRPr="009278EB">
        <w:rPr>
          <w:sz w:val="16"/>
        </w:rPr>
        <w:t xml:space="preserve">.[75] In fact, </w:t>
      </w:r>
      <w:r w:rsidRPr="00DD2D90">
        <w:rPr>
          <w:rStyle w:val="StyleUnderline"/>
        </w:rPr>
        <w:t>the average deductible</w:t>
      </w:r>
      <w:r w:rsidRPr="009278EB">
        <w:rPr>
          <w:sz w:val="16"/>
        </w:rPr>
        <w:t xml:space="preserve"> for a silver plan on HealthCare.gov </w:t>
      </w:r>
      <w:r w:rsidRPr="00DD2D90">
        <w:rPr>
          <w:rStyle w:val="StyleUnderline"/>
        </w:rPr>
        <w:t>increased from $2,425 in 2014 to $4,500 in 2020</w:t>
      </w:r>
      <w:r w:rsidRPr="009278EB">
        <w:rPr>
          <w:sz w:val="16"/>
        </w:rPr>
        <w:t xml:space="preserve">.[76] Waiting for future incremental gains based on the ACA provides an insufficient path toward universal health coverage. Prior to the ACA, studies estimated that almost 45,000 Americans died each year due to lack of insurance.[79] A more recent review of available evidence concluded that the odds of death among people with insurance were between 0.71 and 0.97 relative to those without insurance.[80] With the number of uninsured people expected to reach 31 million by 2020, any delay in achieving universal coverage will cause unnecessary and unacceptable mortality. Not only are incremental approaches to universal health care too slow, but they are also politically vulnerable, as exemplified by the ACA. There have been more than 50 attempts to repeal the ACA in the House of Representatives since the passage of the law.[81] In addition, many of the potential gains of the ACA have been undermined by states using work requirements to reduce Medicaid eligibility.[81] While unsuccessful, there have also been many legal challenges to the law that have gone to the Supreme Court, which could potentially overturn the ACA. Action Steps </w:t>
      </w:r>
    </w:p>
    <w:p w14:paraId="7458D24F" w14:textId="77777777" w:rsidR="00EA6776" w:rsidRPr="009278EB" w:rsidRDefault="00EA6776">
      <w:pPr>
        <w:rPr>
          <w:rFonts w:eastAsiaTheme="majorEastAsia" w:cstheme="majorBidi"/>
          <w:b/>
          <w:iCs/>
          <w:sz w:val="16"/>
        </w:rPr>
      </w:pPr>
      <w:r w:rsidRPr="009278EB">
        <w:rPr>
          <w:sz w:val="16"/>
        </w:rPr>
        <w:br w:type="page"/>
      </w:r>
    </w:p>
    <w:p w14:paraId="0631B817" w14:textId="4749C6B4" w:rsidR="00893021" w:rsidRPr="009278EB" w:rsidRDefault="004C1C71" w:rsidP="00893021">
      <w:pPr>
        <w:pStyle w:val="Heading4"/>
        <w:rPr>
          <w:szCs w:val="26"/>
        </w:rPr>
      </w:pPr>
      <w:r w:rsidRPr="009278EB">
        <w:rPr>
          <w:szCs w:val="26"/>
        </w:rPr>
        <w:t>Stats prove single-payer is less expensive – administrative costs</w:t>
      </w:r>
    </w:p>
    <w:p w14:paraId="3C6FF211" w14:textId="77777777" w:rsidR="00893021" w:rsidRPr="00DD2D90" w:rsidRDefault="00893021" w:rsidP="00893021">
      <w:r w:rsidRPr="009278EB">
        <w:rPr>
          <w:b/>
          <w:bCs/>
          <w:sz w:val="26"/>
          <w:szCs w:val="26"/>
        </w:rPr>
        <w:t>Bruenig 24</w:t>
      </w:r>
      <w:r w:rsidRPr="00DD2D90">
        <w:t xml:space="preserve"> [Matt Bruenig, policy analysist with a BA from the University of Oklahoma and a JD from Boston University, 11-10-2024, "Health Care Administration Wastes Half a Trillion Dollars Every Year", People's Policy Project, https://www.peoplespolicyproject.org/2024/12/10/health-care-administration-wastes-half-a-trillion-dollars-every-year/]/Kankee</w:t>
      </w:r>
    </w:p>
    <w:p w14:paraId="2DA65A5B" w14:textId="77777777" w:rsidR="00893021" w:rsidRPr="009278EB" w:rsidRDefault="00893021" w:rsidP="00893021">
      <w:pPr>
        <w:rPr>
          <w:sz w:val="16"/>
        </w:rPr>
      </w:pPr>
      <w:r w:rsidRPr="009278EB">
        <w:rPr>
          <w:sz w:val="16"/>
        </w:rPr>
        <w:t xml:space="preserve">Last week, an individual gunned down UnitedHealthcare CEO Bryan Thompson in the streets of Manhattan. The gunman wrote “deny,” “defend,” “depose” on the bullets he shot, suggesting that this killing was motivated by a dislike of UnitedHealthcare’s business practices, which are also the business practices of the private health insurance industry as a whole. At the same time as that was going on, the American Society of Anesthesiologists, a lobbyist organization, criticized Blue Cross Blue Shield for declaring that it would curtail reimbursements for anesthesia care that goes beyond a certain level. This criticism generated a backlash that resulted in BCBS backing down from the policy. The combination of these two events has jolted the US health care system back into the discourse in a way not seen since 2020, including many tweets and articles from prominent pundits like Matt Yglesias, Dylan Matthews, Noah Smith, and Eric Levitz. The quick consensus among these pundits is that dislike of the private insurers is overblown and that the main problem lies with providers and their overcharging ways. This conclusion relies upon several factual misunderstandings and very questionable analysis that I aim to correct below. The Scourge of Administrative Costs From a system design perspective, the main problem with our </w:t>
      </w:r>
      <w:r w:rsidRPr="00DD2D90">
        <w:rPr>
          <w:rStyle w:val="StyleUnderline"/>
          <w:highlight w:val="green"/>
        </w:rPr>
        <w:t>private</w:t>
      </w:r>
      <w:r w:rsidRPr="00DD2D90">
        <w:rPr>
          <w:rStyle w:val="StyleUnderline"/>
        </w:rPr>
        <w:t xml:space="preserve"> health </w:t>
      </w:r>
      <w:r w:rsidRPr="00DD2D90">
        <w:rPr>
          <w:rStyle w:val="StyleUnderline"/>
          <w:highlight w:val="green"/>
        </w:rPr>
        <w:t>insurance</w:t>
      </w:r>
      <w:r w:rsidRPr="009278EB">
        <w:rPr>
          <w:sz w:val="16"/>
        </w:rPr>
        <w:t xml:space="preserve"> system is that it </w:t>
      </w:r>
      <w:r w:rsidRPr="00DD2D90">
        <w:rPr>
          <w:rStyle w:val="StyleUnderline"/>
          <w:highlight w:val="green"/>
        </w:rPr>
        <w:t xml:space="preserve">is </w:t>
      </w:r>
      <w:r w:rsidRPr="00DD2D90">
        <w:rPr>
          <w:rStyle w:val="Emphasis"/>
          <w:highlight w:val="green"/>
        </w:rPr>
        <w:t>extremely wasteful</w:t>
      </w:r>
      <w:r w:rsidRPr="00DD2D90">
        <w:rPr>
          <w:rStyle w:val="StyleUnderline"/>
        </w:rPr>
        <w:t>.</w:t>
      </w:r>
      <w:r w:rsidRPr="009278EB">
        <w:rPr>
          <w:sz w:val="16"/>
        </w:rPr>
        <w:t xml:space="preserve"> All health care systems require administration, which costs money, but </w:t>
      </w:r>
      <w:r w:rsidRPr="00DD2D90">
        <w:rPr>
          <w:rStyle w:val="StyleUnderline"/>
        </w:rPr>
        <w:t xml:space="preserve">a private multi-payer system requires </w:t>
      </w:r>
      <w:r w:rsidRPr="00DD2D90">
        <w:rPr>
          <w:rStyle w:val="Emphasis"/>
        </w:rPr>
        <w:t>massively</w:t>
      </w:r>
      <w:r w:rsidRPr="00DD2D90">
        <w:rPr>
          <w:rStyle w:val="StyleUnderline"/>
        </w:rPr>
        <w:t xml:space="preserve"> more than</w:t>
      </w:r>
      <w:r w:rsidRPr="009278EB">
        <w:rPr>
          <w:sz w:val="16"/>
        </w:rPr>
        <w:t xml:space="preserve"> other approaches, especially the </w:t>
      </w:r>
      <w:r w:rsidRPr="00DD2D90">
        <w:rPr>
          <w:rStyle w:val="StyleUnderline"/>
        </w:rPr>
        <w:t>single-payer</w:t>
      </w:r>
      <w:r w:rsidRPr="009278EB">
        <w:rPr>
          <w:sz w:val="16"/>
        </w:rPr>
        <w:t xml:space="preserve"> system favored by the American left. To get your head around why this is, think for a second about what happens to every $100 you give to a private insurance company. According to the most exhaustive study on this question in the US — the CBO single-payer study from 2020 — the first thing that happens is that $16 of those dollars are taken by the insurance company. From there, the insurer gives the remaining $84 to a hospital to reimburse them for services. That hospital then takes another $15.96 (19 percent of its revenue) for administration, meaning that </w:t>
      </w:r>
      <w:r w:rsidRPr="00DD2D90">
        <w:rPr>
          <w:rStyle w:val="StyleUnderline"/>
          <w:highlight w:val="green"/>
        </w:rPr>
        <w:t>only $68.04 of the original $100</w:t>
      </w:r>
      <w:r w:rsidRPr="00DD2D90">
        <w:rPr>
          <w:rStyle w:val="StyleUnderline"/>
        </w:rPr>
        <w:t xml:space="preserve"> actually </w:t>
      </w:r>
      <w:r w:rsidRPr="00DD2D90">
        <w:rPr>
          <w:rStyle w:val="StyleUnderline"/>
          <w:highlight w:val="green"/>
        </w:rPr>
        <w:t>goes to providing care</w:t>
      </w:r>
      <w:r w:rsidRPr="00DD2D90">
        <w:rPr>
          <w:rStyle w:val="StyleUnderline"/>
        </w:rPr>
        <w:t xml:space="preserve">. </w:t>
      </w:r>
      <w:r w:rsidRPr="00DD2D90">
        <w:rPr>
          <w:rStyle w:val="StyleUnderline"/>
          <w:highlight w:val="green"/>
        </w:rPr>
        <w:t>In</w:t>
      </w:r>
      <w:r w:rsidRPr="00DD2D90">
        <w:rPr>
          <w:rStyle w:val="StyleUnderline"/>
        </w:rPr>
        <w:t xml:space="preserve"> a </w:t>
      </w:r>
      <w:r w:rsidRPr="00DD2D90">
        <w:rPr>
          <w:rStyle w:val="StyleUnderline"/>
          <w:highlight w:val="green"/>
        </w:rPr>
        <w:t>single-payer</w:t>
      </w:r>
      <w:r w:rsidRPr="009278EB">
        <w:rPr>
          <w:sz w:val="16"/>
        </w:rPr>
        <w:t xml:space="preserve"> </w:t>
      </w:r>
      <w:r w:rsidRPr="00DD2D90">
        <w:rPr>
          <w:rStyle w:val="StyleUnderline"/>
        </w:rPr>
        <w:t>system</w:t>
      </w:r>
      <w:r w:rsidRPr="009278EB">
        <w:rPr>
          <w:sz w:val="16"/>
        </w:rPr>
        <w:t xml:space="preserve">, the path of that $100 looks a lot different. Rather than take $16 for insurance administration, the public insurer would only take $1.60. And rather than take $15.96 of the remaining money for hospital administration, the hospital would only take $11.80 (12 percent of its revenue), meaning </w:t>
      </w:r>
      <w:r w:rsidRPr="00DD2D90">
        <w:rPr>
          <w:rStyle w:val="StyleUnderline"/>
        </w:rPr>
        <w:t xml:space="preserve">that </w:t>
      </w:r>
      <w:r w:rsidRPr="00DD2D90">
        <w:rPr>
          <w:rStyle w:val="StyleUnderline"/>
          <w:highlight w:val="green"/>
        </w:rPr>
        <w:t>$86.60</w:t>
      </w:r>
      <w:r w:rsidRPr="00DD2D90">
        <w:rPr>
          <w:rStyle w:val="StyleUnderline"/>
        </w:rPr>
        <w:t xml:space="preserve"> of the original $100 actually </w:t>
      </w:r>
      <w:r w:rsidRPr="00DD2D90">
        <w:rPr>
          <w:rStyle w:val="StyleUnderline"/>
          <w:highlight w:val="green"/>
        </w:rPr>
        <w:t>goes to</w:t>
      </w:r>
      <w:r w:rsidRPr="00DD2D90">
        <w:rPr>
          <w:rStyle w:val="StyleUnderline"/>
        </w:rPr>
        <w:t xml:space="preserve"> providing </w:t>
      </w:r>
      <w:r w:rsidRPr="00DD2D90">
        <w:rPr>
          <w:rStyle w:val="StyleUnderline"/>
          <w:highlight w:val="green"/>
        </w:rPr>
        <w:t>care</w:t>
      </w:r>
      <w:r w:rsidRPr="009278EB">
        <w:rPr>
          <w:sz w:val="16"/>
        </w:rPr>
        <w:t xml:space="preserve">. Put differently, </w:t>
      </w:r>
      <w:r w:rsidRPr="00DD2D90">
        <w:rPr>
          <w:rStyle w:val="StyleUnderline"/>
          <w:highlight w:val="green"/>
        </w:rPr>
        <w:t>private insurers</w:t>
      </w:r>
      <w:r w:rsidRPr="00DD2D90">
        <w:rPr>
          <w:rStyle w:val="StyleUnderline"/>
        </w:rPr>
        <w:t xml:space="preserve"> currently </w:t>
      </w:r>
      <w:r w:rsidRPr="00DD2D90">
        <w:rPr>
          <w:rStyle w:val="StyleUnderline"/>
          <w:highlight w:val="green"/>
        </w:rPr>
        <w:t>have administrative costs</w:t>
      </w:r>
      <w:r w:rsidRPr="00DD2D90">
        <w:rPr>
          <w:rStyle w:val="StyleUnderline"/>
        </w:rPr>
        <w:t xml:space="preserve"> that are </w:t>
      </w:r>
      <w:r w:rsidRPr="00DD2D90">
        <w:rPr>
          <w:rStyle w:val="Emphasis"/>
          <w:highlight w:val="green"/>
        </w:rPr>
        <w:t>1,000 percent</w:t>
      </w:r>
      <w:r w:rsidRPr="00DD2D90">
        <w:rPr>
          <w:rStyle w:val="StyleUnderline"/>
          <w:highlight w:val="green"/>
        </w:rPr>
        <w:t xml:space="preserve"> what they would be under single-payer</w:t>
      </w:r>
      <w:r w:rsidRPr="00DD2D90">
        <w:rPr>
          <w:rStyle w:val="StyleUnderline"/>
        </w:rPr>
        <w:t xml:space="preserve"> while </w:t>
      </w:r>
      <w:r w:rsidRPr="00DD2D90">
        <w:rPr>
          <w:rStyle w:val="StyleUnderline"/>
          <w:highlight w:val="green"/>
        </w:rPr>
        <w:t>hospitals</w:t>
      </w:r>
      <w:r w:rsidRPr="00DD2D90">
        <w:rPr>
          <w:rStyle w:val="StyleUnderline"/>
        </w:rPr>
        <w:t xml:space="preserve"> currently </w:t>
      </w:r>
      <w:r w:rsidRPr="00DD2D90">
        <w:rPr>
          <w:rStyle w:val="StyleUnderline"/>
          <w:highlight w:val="green"/>
        </w:rPr>
        <w:t xml:space="preserve">have administrative costs that are </w:t>
      </w:r>
      <w:r w:rsidRPr="00DD2D90">
        <w:rPr>
          <w:rStyle w:val="Emphasis"/>
          <w:highlight w:val="green"/>
        </w:rPr>
        <w:t>158 percent</w:t>
      </w:r>
      <w:r w:rsidRPr="00DD2D90">
        <w:rPr>
          <w:rStyle w:val="StyleUnderline"/>
        </w:rPr>
        <w:t xml:space="preserve"> what they would be under single-payer</w:t>
      </w:r>
      <w:r w:rsidRPr="009278EB">
        <w:rPr>
          <w:sz w:val="16"/>
        </w:rPr>
        <w:t xml:space="preserve">. The excess administrative expenses of both the payers and the providers are because of the multi-payer private health insurance system that we have. When you add it all up, </w:t>
      </w:r>
      <w:r w:rsidRPr="00DD2D90">
        <w:rPr>
          <w:rStyle w:val="StyleUnderline"/>
          <w:highlight w:val="green"/>
        </w:rPr>
        <w:t>excess administrative expenses</w:t>
      </w:r>
      <w:r w:rsidRPr="009278EB">
        <w:rPr>
          <w:sz w:val="16"/>
        </w:rPr>
        <w:t xml:space="preserve"> — defined as administrative expenses we have under the current system that we would not have under single-payer — </w:t>
      </w:r>
      <w:r w:rsidRPr="00DD2D90">
        <w:rPr>
          <w:rStyle w:val="StyleUnderline"/>
          <w:highlight w:val="green"/>
        </w:rPr>
        <w:t xml:space="preserve">are equal to </w:t>
      </w:r>
      <w:r w:rsidRPr="00DD2D90">
        <w:rPr>
          <w:rStyle w:val="Emphasis"/>
          <w:highlight w:val="green"/>
        </w:rPr>
        <w:t>1.8 percent</w:t>
      </w:r>
      <w:r w:rsidRPr="00DD2D90">
        <w:rPr>
          <w:rStyle w:val="StyleUnderline"/>
          <w:highlight w:val="green"/>
        </w:rPr>
        <w:t xml:space="preserve"> of GDP, or </w:t>
      </w:r>
      <w:r w:rsidRPr="00DD2D90">
        <w:rPr>
          <w:rStyle w:val="Emphasis"/>
          <w:highlight w:val="green"/>
        </w:rPr>
        <w:t>$528 billion</w:t>
      </w:r>
      <w:r w:rsidRPr="00DD2D90">
        <w:rPr>
          <w:rStyle w:val="StyleUnderline"/>
          <w:highlight w:val="green"/>
        </w:rPr>
        <w:t xml:space="preserve"> per year</w:t>
      </w:r>
      <w:r w:rsidRPr="00DD2D90">
        <w:rPr>
          <w:rStyle w:val="StyleUnderline"/>
        </w:rPr>
        <w:t xml:space="preserve">. </w:t>
      </w:r>
      <w:r w:rsidRPr="009278EB">
        <w:rPr>
          <w:sz w:val="16"/>
        </w:rPr>
        <w:t xml:space="preserve">Large numbers like that can be hard to understand, so I’ve prepared this chart below that compares the cost of excess health care administration to various other spending items: In some ways, this chart is misleading because the spending on the other bars actually does something, whether fund important production or provide important income support. Excess health care administration does neither of those things. It’s just a total waste. You know how often Republicans gesture vaguely towards the idea that the federal workforce is a do-nothing waste? While this claim doesn’t apply to the federal workforce, it is actually true of </w:t>
      </w:r>
      <w:r w:rsidRPr="00DD2D90">
        <w:rPr>
          <w:rStyle w:val="StyleUnderline"/>
          <w:highlight w:val="green"/>
        </w:rPr>
        <w:t xml:space="preserve">excess </w:t>
      </w:r>
      <w:r w:rsidRPr="00DD2D90">
        <w:rPr>
          <w:rStyle w:val="StyleUnderline"/>
        </w:rPr>
        <w:t xml:space="preserve">health care </w:t>
      </w:r>
      <w:r w:rsidRPr="00DD2D90">
        <w:rPr>
          <w:rStyle w:val="StyleUnderline"/>
          <w:highlight w:val="green"/>
        </w:rPr>
        <w:t>administration</w:t>
      </w:r>
      <w:r w:rsidRPr="009278EB">
        <w:rPr>
          <w:sz w:val="16"/>
        </w:rPr>
        <w:t>, which</w:t>
      </w:r>
      <w:r w:rsidRPr="00DD2D90">
        <w:rPr>
          <w:rStyle w:val="StyleUnderline"/>
        </w:rPr>
        <w:t xml:space="preserve"> </w:t>
      </w:r>
      <w:r w:rsidRPr="00DD2D90">
        <w:rPr>
          <w:rStyle w:val="StyleUnderline"/>
          <w:highlight w:val="green"/>
        </w:rPr>
        <w:t xml:space="preserve">costs the country </w:t>
      </w:r>
      <w:r w:rsidRPr="00DD2D90">
        <w:rPr>
          <w:rStyle w:val="StyleUnderline"/>
        </w:rPr>
        <w:t xml:space="preserve">nearly </w:t>
      </w:r>
      <w:r w:rsidRPr="00DD2D90">
        <w:rPr>
          <w:rStyle w:val="Emphasis"/>
          <w:highlight w:val="green"/>
        </w:rPr>
        <w:t>twice</w:t>
      </w:r>
      <w:r w:rsidRPr="00DD2D90">
        <w:rPr>
          <w:rStyle w:val="StyleUnderline"/>
        </w:rPr>
        <w:t xml:space="preserve"> what </w:t>
      </w:r>
      <w:r w:rsidRPr="00DD2D90">
        <w:rPr>
          <w:rStyle w:val="StyleUnderline"/>
          <w:highlight w:val="green"/>
        </w:rPr>
        <w:t>the entire federal workforce</w:t>
      </w:r>
      <w:r w:rsidRPr="00DD2D90">
        <w:rPr>
          <w:rStyle w:val="StyleUnderline"/>
        </w:rPr>
        <w:t xml:space="preserve"> costs. Imagine setting up an economic sector</w:t>
      </w:r>
      <w:r w:rsidRPr="009278EB">
        <w:rPr>
          <w:sz w:val="16"/>
        </w:rPr>
        <w:t xml:space="preserve"> slightly </w:t>
      </w:r>
      <w:r w:rsidRPr="00DD2D90">
        <w:rPr>
          <w:rStyle w:val="StyleUnderline"/>
        </w:rPr>
        <w:t>larger in size than the entire public college sector</w:t>
      </w:r>
      <w:r w:rsidRPr="009278EB">
        <w:rPr>
          <w:sz w:val="16"/>
        </w:rPr>
        <w:t xml:space="preserve"> </w:t>
      </w:r>
      <w:r w:rsidRPr="00DD2D90">
        <w:rPr>
          <w:rStyle w:val="StyleUnderline"/>
        </w:rPr>
        <w:t>but</w:t>
      </w:r>
      <w:r w:rsidRPr="009278EB">
        <w:rPr>
          <w:sz w:val="16"/>
        </w:rPr>
        <w:t xml:space="preserve">, rather than producing educational services for over 13 million students, it </w:t>
      </w:r>
      <w:r w:rsidRPr="00DD2D90">
        <w:rPr>
          <w:rStyle w:val="StyleUnderline"/>
        </w:rPr>
        <w:t>produced</w:t>
      </w:r>
      <w:r w:rsidRPr="009278EB">
        <w:rPr>
          <w:sz w:val="16"/>
        </w:rPr>
        <w:t xml:space="preserve"> </w:t>
      </w:r>
      <w:r w:rsidRPr="00DD2D90">
        <w:rPr>
          <w:rStyle w:val="Emphasis"/>
        </w:rPr>
        <w:t>nothing</w:t>
      </w:r>
      <w:r w:rsidRPr="009278EB">
        <w:rPr>
          <w:sz w:val="16"/>
        </w:rPr>
        <w:t xml:space="preserve"> except frustration and annoyance. That’s the extent and nature of excess health care administration in the US. It’s totally insane and waiving it off as a triviality is really misguided. Provider Rates One funny aspect of the recent discourse blip about provider payment rates is how at odds it is with the way things went the last time there was a public debate about the US health care system. During that period, ahead of the 2020 election, I was constantly having to fight with people and organizations who insisted that it would not be possible to cut provider payments as low as some single-payer proposals suggested. The argument from opponents was that doing so would result in some kind of mass exodus from and then collapse of the health care sector. Now, these rate cuts are being assumed as doable in order to argue that the ire directed at insurers is misdirected. Beyond being funny in light of these recent discourse developments, this prior debate underscores an important point when it comes to discussing this policy topic, which is that how much you could save from provider payment cuts depends on how much you choose to cut them, with that amount bounded at the lower end by some squishy sense that, if the cuts go too far, then too few people will want to work in the medical sector. Unlike with </w:t>
      </w:r>
      <w:r w:rsidRPr="00DD2D90">
        <w:rPr>
          <w:rStyle w:val="StyleUnderline"/>
        </w:rPr>
        <w:t>administrative bloat</w:t>
      </w:r>
      <w:r w:rsidRPr="009278EB">
        <w:rPr>
          <w:sz w:val="16"/>
        </w:rPr>
        <w:t xml:space="preserve">, which </w:t>
      </w:r>
      <w:r w:rsidRPr="00DD2D90">
        <w:rPr>
          <w:rStyle w:val="StyleUnderline"/>
        </w:rPr>
        <w:t xml:space="preserve">involves a literal </w:t>
      </w:r>
      <w:r w:rsidRPr="00DD2D90">
        <w:rPr>
          <w:rStyle w:val="Emphasis"/>
        </w:rPr>
        <w:t>wasting</w:t>
      </w:r>
      <w:r w:rsidRPr="00DD2D90">
        <w:rPr>
          <w:rStyle w:val="StyleUnderline"/>
        </w:rPr>
        <w:t xml:space="preserve"> of labor and capital resources on something that has </w:t>
      </w:r>
      <w:r w:rsidRPr="00DD2D90">
        <w:rPr>
          <w:rStyle w:val="Emphasis"/>
        </w:rPr>
        <w:t>no value</w:t>
      </w:r>
      <w:r w:rsidRPr="00DD2D90">
        <w:rPr>
          <w:rStyle w:val="StyleUnderline"/>
        </w:rPr>
        <w:t xml:space="preserve"> at all</w:t>
      </w:r>
      <w:r w:rsidRPr="009278EB">
        <w:rPr>
          <w:sz w:val="16"/>
        </w:rPr>
        <w:t xml:space="preserve">, the savings from provider payment rates are just a redistribution of rents from people who are actually doing important, productive work. Figuring out where legitimate compensation ends and rent begins is a much trickier task than figuring out how much work you could simply eliminate from needless health care administration. With that said, there is no doubt that, even after wringing out half a trillion dollars in administrative waste, there is still a lot of room to cut provider payment rates from their current level. In the CBO single-payer report, the authors model two provider payment rate scenarios: a higher-payment-rate (HPR) scenario that assumes little to no cuts from the current weighted-average provider payment rates and a lower-payment-rate (LPR) scenario that assumes cuts that are around 10 percent below the current weighted-average provider payment rate. In the LPR scenario, provider payment rates for hospitals would be cut by 50 percent relative to current private insurance rates while physician and prescription drug rates would be cut by 31 and 38 percent respectively. In this LPR scenario, the CBO finds that (I, II) the savings from provider payment rate cuts (after deducting the share of those cuts that go to reduced administrative expenses) would actually be considerably less than the savings from administrative efficiency, i.e. the savings from the elimination of the private multi-payer health insurance model. Of course, if you decide to cut provider payment rates even lower than the LPR scenario, then you can achieve savings from provider payment rate cuts that exceed the savings from eliminating administrative waste. As noted already above, it really just depends on how far you choose to turn the dial bounded only by the need to maintain the desired level of medical services supply. In the analysis so far, I have implicitly indulged this framing that we should attribute the blame for administrative waste on insurers while attributing the blame for provider rents on providers. But the provider rents are also, in some sense, caused by the private health insurance system. Medicaid and Medicare are able to negotiate much lower rates than private insurance, just as the public health insurer under a single-payer system would be able to. It is only within the private insurance segment of the system that providers have been able to jack up rates to such an extreme extent. This is not to absolve drug companies and providers for taking advantage of the private insurance system (and the patent system) to line their pockets with rents. That is bad too. But keeping these rents in check is literally what we pay the insurance companies to do. That’s literally their job! It’s the job they are paid hundreds of billions of dollars a year to do and they either cannot do it or refuse to do it all while using the money we are all forced to give them to resist any efforts to have the government do it. The failure of insurers in this regard is not just incompetence either. There is good reason to believe it’s malicious. Commentators often think that insurers want to bring down provider rates because they imagine that, if insurers can bring them down, then they could book more profit. But under the medical-loss-ratio (MLR) rules, insurer’s administrative expenses (which includes their profits) are capped at a percentage of how much they pay to providers. So the higher the provider rates are, the more profits insurers can actually book. Individual insurance companies have to balance this dynamic with their ability to attract customers with lower premiums, but the private health insurance sector as a whole actually benefits when provider rates are high. Conclusion Given all of this, I think it is totally fair for people to identify private insurers as the key bad actor in our current system. They are directly responsible for over half a trillion dollars of administrative waste and (at the very least) indirectly responsible for the provider rents that are bleeding Americans dry. The quicker we nationalize health insurance, the better. </w:t>
      </w:r>
    </w:p>
    <w:p w14:paraId="3EE8226B" w14:textId="77777777" w:rsidR="00EA6776" w:rsidRPr="009278EB" w:rsidRDefault="00EA6776">
      <w:pPr>
        <w:rPr>
          <w:rFonts w:eastAsiaTheme="majorEastAsia" w:cstheme="majorBidi"/>
          <w:b/>
          <w:iCs/>
          <w:sz w:val="16"/>
        </w:rPr>
      </w:pPr>
      <w:r w:rsidRPr="009278EB">
        <w:rPr>
          <w:sz w:val="16"/>
        </w:rPr>
        <w:br w:type="page"/>
      </w:r>
    </w:p>
    <w:p w14:paraId="61E52947" w14:textId="0E89289F" w:rsidR="00893021" w:rsidRPr="009278EB" w:rsidRDefault="00893021" w:rsidP="00893021">
      <w:pPr>
        <w:pStyle w:val="Heading4"/>
        <w:rPr>
          <w:szCs w:val="26"/>
        </w:rPr>
      </w:pPr>
      <w:r w:rsidRPr="009278EB">
        <w:rPr>
          <w:szCs w:val="26"/>
        </w:rPr>
        <w:t xml:space="preserve">Single </w:t>
      </w:r>
      <w:proofErr w:type="gramStart"/>
      <w:r w:rsidRPr="009278EB">
        <w:rPr>
          <w:szCs w:val="26"/>
        </w:rPr>
        <w:t>payer</w:t>
      </w:r>
      <w:proofErr w:type="gramEnd"/>
      <w:r w:rsidRPr="009278EB">
        <w:rPr>
          <w:szCs w:val="26"/>
        </w:rPr>
        <w:t xml:space="preserve"> decrease fraud, decreasing costs</w:t>
      </w:r>
      <w:r w:rsidR="001349F2" w:rsidRPr="009278EB">
        <w:rPr>
          <w:szCs w:val="26"/>
        </w:rPr>
        <w:t xml:space="preserve"> – centralized data</w:t>
      </w:r>
    </w:p>
    <w:p w14:paraId="2F6D68ED" w14:textId="77777777" w:rsidR="00893021" w:rsidRPr="00DD2D90" w:rsidRDefault="00893021" w:rsidP="00893021">
      <w:r w:rsidRPr="009278EB">
        <w:rPr>
          <w:b/>
          <w:bCs/>
          <w:sz w:val="26"/>
          <w:szCs w:val="26"/>
        </w:rPr>
        <w:t>Hsiao 21</w:t>
      </w:r>
      <w:r w:rsidRPr="00DD2D90">
        <w:t xml:space="preserve"> [William C. Hsiao, K.T. Li Research Professor of Economics at the Harvard T.H. Chan School of Public Health in Boston, 10-12-2021, “Fraud and Abuse in Healthcare Claims,” California Health and Human Services Agency, https://www.chhs.ca.gov/wp-content/uploads/2022/01/Commissioner-William-Hsiao-Comments-on-Fraud-and-Abuse-in-Healthcare-Claims.pdf]/Kankee</w:t>
      </w:r>
    </w:p>
    <w:p w14:paraId="61FB7A7C" w14:textId="142B6A84" w:rsidR="00893021" w:rsidRPr="009278EB" w:rsidRDefault="00893021" w:rsidP="00E874AE">
      <w:pPr>
        <w:rPr>
          <w:sz w:val="16"/>
        </w:rPr>
      </w:pPr>
      <w:r w:rsidRPr="009278EB">
        <w:rPr>
          <w:rStyle w:val="StyleUnderline"/>
        </w:rPr>
        <w:t>Fraud</w:t>
      </w:r>
      <w:r w:rsidRPr="009278EB">
        <w:rPr>
          <w:sz w:val="16"/>
        </w:rPr>
        <w:t xml:space="preserve"> </w:t>
      </w:r>
      <w:r w:rsidRPr="009278EB">
        <w:rPr>
          <w:rStyle w:val="StyleUnderline"/>
        </w:rPr>
        <w:t xml:space="preserve">and abuse in healthcare claims are </w:t>
      </w:r>
      <w:r w:rsidRPr="009278EB">
        <w:rPr>
          <w:rStyle w:val="Emphasis"/>
        </w:rPr>
        <w:t>widespread</w:t>
      </w:r>
      <w:r w:rsidRPr="009278EB">
        <w:rPr>
          <w:rStyle w:val="StyleUnderline"/>
        </w:rPr>
        <w:t xml:space="preserve"> in the U.S. healthcare system</w:t>
      </w:r>
      <w:r w:rsidRPr="009278EB">
        <w:rPr>
          <w:sz w:val="16"/>
        </w:rPr>
        <w:t xml:space="preserve">. </w:t>
      </w:r>
      <w:r w:rsidRPr="009278EB">
        <w:rPr>
          <w:rStyle w:val="StyleUnderline"/>
        </w:rPr>
        <w:t>They sap 8-</w:t>
      </w:r>
      <w:r w:rsidR="00E874AE" w:rsidRPr="009278EB">
        <w:rPr>
          <w:rStyle w:val="StyleUnderline"/>
        </w:rPr>
        <w:t xml:space="preserve"> </w:t>
      </w:r>
      <w:r w:rsidRPr="009278EB">
        <w:rPr>
          <w:rStyle w:val="Emphasis"/>
        </w:rPr>
        <w:t>15%</w:t>
      </w:r>
      <w:r w:rsidRPr="009278EB">
        <w:rPr>
          <w:rStyle w:val="StyleUnderline"/>
        </w:rPr>
        <w:t xml:space="preserve"> of annual health expenditures</w:t>
      </w:r>
      <w:r w:rsidRPr="009278EB">
        <w:rPr>
          <w:sz w:val="16"/>
        </w:rPr>
        <w:t xml:space="preserve">. The FBI has estimated that </w:t>
      </w:r>
      <w:r w:rsidRPr="009278EB">
        <w:rPr>
          <w:rStyle w:val="StyleUnderline"/>
          <w:highlight w:val="green"/>
        </w:rPr>
        <w:t>fraud</w:t>
      </w:r>
      <w:r w:rsidRPr="009278EB">
        <w:rPr>
          <w:rStyle w:val="StyleUnderline"/>
        </w:rPr>
        <w:t xml:space="preserve"> alone </w:t>
      </w:r>
      <w:r w:rsidRPr="009278EB">
        <w:rPr>
          <w:rStyle w:val="StyleUnderline"/>
          <w:highlight w:val="green"/>
        </w:rPr>
        <w:t>accounts for</w:t>
      </w:r>
      <w:r w:rsidRPr="009278EB">
        <w:rPr>
          <w:rStyle w:val="StyleUnderline"/>
        </w:rPr>
        <w:t xml:space="preserve"> 3-</w:t>
      </w:r>
      <w:r w:rsidRPr="009278EB">
        <w:rPr>
          <w:rStyle w:val="Emphasis"/>
          <w:highlight w:val="green"/>
        </w:rPr>
        <w:t>10%</w:t>
      </w:r>
      <w:r w:rsidR="00E874AE" w:rsidRPr="009278EB">
        <w:rPr>
          <w:rStyle w:val="StyleUnderline"/>
          <w:highlight w:val="green"/>
        </w:rPr>
        <w:t xml:space="preserve"> </w:t>
      </w:r>
      <w:r w:rsidRPr="009278EB">
        <w:rPr>
          <w:rStyle w:val="StyleUnderline"/>
          <w:highlight w:val="green"/>
        </w:rPr>
        <w:t>of</w:t>
      </w:r>
      <w:r w:rsidRPr="009278EB">
        <w:rPr>
          <w:rStyle w:val="StyleUnderline"/>
        </w:rPr>
        <w:t xml:space="preserve"> health </w:t>
      </w:r>
      <w:r w:rsidRPr="009278EB">
        <w:rPr>
          <w:rStyle w:val="StyleUnderline"/>
          <w:highlight w:val="green"/>
        </w:rPr>
        <w:t>expenditures</w:t>
      </w:r>
      <w:r w:rsidRPr="009278EB">
        <w:rPr>
          <w:sz w:val="16"/>
        </w:rPr>
        <w:t xml:space="preserve">.1 Numerous </w:t>
      </w:r>
      <w:r w:rsidRPr="009278EB">
        <w:rPr>
          <w:rStyle w:val="StyleUnderline"/>
        </w:rPr>
        <w:t>empirical studies</w:t>
      </w:r>
      <w:r w:rsidRPr="009278EB">
        <w:rPr>
          <w:sz w:val="16"/>
        </w:rPr>
        <w:t xml:space="preserve"> have </w:t>
      </w:r>
      <w:r w:rsidRPr="009278EB">
        <w:rPr>
          <w:rStyle w:val="StyleUnderline"/>
        </w:rPr>
        <w:t xml:space="preserve">found </w:t>
      </w:r>
      <w:r w:rsidRPr="009278EB">
        <w:rPr>
          <w:rStyle w:val="StyleUnderline"/>
          <w:highlight w:val="green"/>
        </w:rPr>
        <w:t>abuse</w:t>
      </w:r>
      <w:r w:rsidRPr="009278EB">
        <w:rPr>
          <w:rStyle w:val="StyleUnderline"/>
        </w:rPr>
        <w:t xml:space="preserve"> in claims through</w:t>
      </w:r>
      <w:r w:rsidR="00E874AE" w:rsidRPr="009278EB">
        <w:rPr>
          <w:rStyle w:val="StyleUnderline"/>
        </w:rPr>
        <w:t xml:space="preserve"> </w:t>
      </w:r>
      <w:r w:rsidRPr="009278EB">
        <w:rPr>
          <w:rStyle w:val="StyleUnderline"/>
        </w:rPr>
        <w:t xml:space="preserve">upcoding, code creep, and the proliferation of codes, </w:t>
      </w:r>
      <w:r w:rsidRPr="009278EB">
        <w:rPr>
          <w:rStyle w:val="StyleUnderline"/>
          <w:highlight w:val="green"/>
        </w:rPr>
        <w:t>exhaust</w:t>
      </w:r>
      <w:r w:rsidRPr="009278EB">
        <w:rPr>
          <w:rStyle w:val="StyleUnderline"/>
        </w:rPr>
        <w:t>ing another 5-</w:t>
      </w:r>
      <w:r w:rsidRPr="009278EB">
        <w:rPr>
          <w:rStyle w:val="Emphasis"/>
          <w:highlight w:val="green"/>
        </w:rPr>
        <w:t>10%</w:t>
      </w:r>
      <w:r w:rsidRPr="009278EB">
        <w:rPr>
          <w:rStyle w:val="StyleUnderline"/>
        </w:rPr>
        <w:t xml:space="preserve"> </w:t>
      </w:r>
      <w:r w:rsidRPr="009278EB">
        <w:rPr>
          <w:rStyle w:val="StyleUnderline"/>
          <w:highlight w:val="green"/>
        </w:rPr>
        <w:t>of</w:t>
      </w:r>
      <w:r w:rsidRPr="009278EB">
        <w:rPr>
          <w:rStyle w:val="StyleUnderline"/>
        </w:rPr>
        <w:t xml:space="preserve"> our annual</w:t>
      </w:r>
      <w:r w:rsidR="00E874AE" w:rsidRPr="009278EB">
        <w:rPr>
          <w:rStyle w:val="StyleUnderline"/>
        </w:rPr>
        <w:t xml:space="preserve"> </w:t>
      </w:r>
      <w:r w:rsidRPr="009278EB">
        <w:rPr>
          <w:rStyle w:val="StyleUnderline"/>
        </w:rPr>
        <w:t xml:space="preserve">health </w:t>
      </w:r>
      <w:r w:rsidRPr="009278EB">
        <w:rPr>
          <w:rStyle w:val="StyleUnderline"/>
          <w:highlight w:val="green"/>
        </w:rPr>
        <w:t>expenditures</w:t>
      </w:r>
      <w:r w:rsidRPr="009278EB">
        <w:rPr>
          <w:sz w:val="16"/>
        </w:rPr>
        <w:t xml:space="preserve">.2 International experience has shown that a </w:t>
      </w:r>
      <w:r w:rsidRPr="009278EB">
        <w:rPr>
          <w:rStyle w:val="StyleUnderline"/>
        </w:rPr>
        <w:t>single-payer</w:t>
      </w:r>
      <w:r w:rsidRPr="009278EB">
        <w:rPr>
          <w:sz w:val="16"/>
        </w:rPr>
        <w:t xml:space="preserve"> system </w:t>
      </w:r>
      <w:r w:rsidRPr="009278EB">
        <w:rPr>
          <w:rStyle w:val="StyleUnderline"/>
        </w:rPr>
        <w:t>can vastly</w:t>
      </w:r>
      <w:r w:rsidR="00E874AE" w:rsidRPr="009278EB">
        <w:rPr>
          <w:rStyle w:val="StyleUnderline"/>
        </w:rPr>
        <w:t xml:space="preserve"> </w:t>
      </w:r>
      <w:r w:rsidRPr="009278EB">
        <w:rPr>
          <w:rStyle w:val="StyleUnderline"/>
        </w:rPr>
        <w:t xml:space="preserve">reduce fraud and abuse in claims by leveraging a </w:t>
      </w:r>
      <w:r w:rsidRPr="009278EB">
        <w:rPr>
          <w:rStyle w:val="Emphasis"/>
        </w:rPr>
        <w:t>uniform data</w:t>
      </w:r>
      <w:r w:rsidRPr="009278EB">
        <w:rPr>
          <w:rStyle w:val="StyleUnderline"/>
        </w:rPr>
        <w:t xml:space="preserve"> system</w:t>
      </w:r>
      <w:r w:rsidRPr="009278EB">
        <w:rPr>
          <w:sz w:val="16"/>
        </w:rPr>
        <w:t>.3 In estimating the cost of</w:t>
      </w:r>
      <w:r w:rsidR="00E874AE" w:rsidRPr="009278EB">
        <w:rPr>
          <w:sz w:val="16"/>
        </w:rPr>
        <w:t xml:space="preserve"> </w:t>
      </w:r>
      <w:r w:rsidRPr="009278EB">
        <w:rPr>
          <w:sz w:val="16"/>
        </w:rPr>
        <w:t>a unified financing system, the consultants must take the potential savings from reducing fraud</w:t>
      </w:r>
      <w:r w:rsidR="00E874AE" w:rsidRPr="009278EB">
        <w:rPr>
          <w:sz w:val="16"/>
        </w:rPr>
        <w:t xml:space="preserve"> </w:t>
      </w:r>
      <w:r w:rsidRPr="009278EB">
        <w:rPr>
          <w:sz w:val="16"/>
        </w:rPr>
        <w:t>and abuse into account.</w:t>
      </w:r>
      <w:r w:rsidR="00E874AE" w:rsidRPr="009278EB">
        <w:rPr>
          <w:sz w:val="16"/>
        </w:rPr>
        <w:t xml:space="preserve"> </w:t>
      </w:r>
      <w:r w:rsidRPr="009278EB">
        <w:rPr>
          <w:sz w:val="16"/>
        </w:rPr>
        <w:t>What is fraud and abuse in healthcare claims?</w:t>
      </w:r>
      <w:r w:rsidR="00E874AE" w:rsidRPr="009278EB">
        <w:rPr>
          <w:sz w:val="16"/>
        </w:rPr>
        <w:t xml:space="preserve"> </w:t>
      </w:r>
      <w:r w:rsidRPr="009278EB">
        <w:rPr>
          <w:sz w:val="16"/>
        </w:rPr>
        <w:t xml:space="preserve">Healthcare fraud is a legal term referring to when </w:t>
      </w:r>
      <w:r w:rsidRPr="009278EB">
        <w:rPr>
          <w:rStyle w:val="StyleUnderline"/>
        </w:rPr>
        <w:t>providers intentionally bill payers for services</w:t>
      </w:r>
      <w:r w:rsidR="00E874AE" w:rsidRPr="009278EB">
        <w:rPr>
          <w:rStyle w:val="StyleUnderline"/>
        </w:rPr>
        <w:t xml:space="preserve"> </w:t>
      </w:r>
      <w:r w:rsidRPr="009278EB">
        <w:rPr>
          <w:rStyle w:val="StyleUnderline"/>
        </w:rPr>
        <w:t>that were not rendered or that were rendered under false pretenses, to no defensible medical</w:t>
      </w:r>
      <w:r w:rsidR="00E874AE" w:rsidRPr="009278EB">
        <w:rPr>
          <w:rStyle w:val="StyleUnderline"/>
        </w:rPr>
        <w:t xml:space="preserve"> </w:t>
      </w:r>
      <w:r w:rsidRPr="009278EB">
        <w:rPr>
          <w:rStyle w:val="StyleUnderline"/>
        </w:rPr>
        <w:t>purpose</w:t>
      </w:r>
      <w:r w:rsidRPr="009278EB">
        <w:rPr>
          <w:sz w:val="16"/>
        </w:rPr>
        <w:t xml:space="preserve">. While some </w:t>
      </w:r>
      <w:r w:rsidRPr="009278EB">
        <w:rPr>
          <w:rStyle w:val="StyleUnderline"/>
        </w:rPr>
        <w:t>frauds</w:t>
      </w:r>
      <w:r w:rsidRPr="009278EB">
        <w:rPr>
          <w:sz w:val="16"/>
        </w:rPr>
        <w:t xml:space="preserve"> </w:t>
      </w:r>
      <w:r w:rsidRPr="009278EB">
        <w:rPr>
          <w:rStyle w:val="StyleUnderline"/>
        </w:rPr>
        <w:t>involve the forgery of medical records documenting care never</w:t>
      </w:r>
      <w:r w:rsidR="00E874AE" w:rsidRPr="009278EB">
        <w:rPr>
          <w:rStyle w:val="StyleUnderline"/>
        </w:rPr>
        <w:t xml:space="preserve"> </w:t>
      </w:r>
      <w:r w:rsidRPr="009278EB">
        <w:rPr>
          <w:rStyle w:val="StyleUnderline"/>
        </w:rPr>
        <w:t>delivered, others involve kickbacks to providers from health technology or pharmaceutical</w:t>
      </w:r>
      <w:r w:rsidR="00E874AE" w:rsidRPr="009278EB">
        <w:rPr>
          <w:rStyle w:val="StyleUnderline"/>
        </w:rPr>
        <w:t xml:space="preserve"> </w:t>
      </w:r>
      <w:r w:rsidRPr="009278EB">
        <w:rPr>
          <w:rStyle w:val="StyleUnderline"/>
        </w:rPr>
        <w:t>companies for improper prescribing behavior</w:t>
      </w:r>
      <w:r w:rsidRPr="009278EB">
        <w:rPr>
          <w:sz w:val="16"/>
        </w:rPr>
        <w:t xml:space="preserve">. For instance, there have been </w:t>
      </w:r>
      <w:proofErr w:type="gramStart"/>
      <w:r w:rsidRPr="009278EB">
        <w:rPr>
          <w:sz w:val="16"/>
        </w:rPr>
        <w:t>a number of</w:t>
      </w:r>
      <w:proofErr w:type="gramEnd"/>
      <w:r w:rsidRPr="009278EB">
        <w:rPr>
          <w:sz w:val="16"/>
        </w:rPr>
        <w:t xml:space="preserve"> recent</w:t>
      </w:r>
      <w:r w:rsidR="00E874AE" w:rsidRPr="009278EB">
        <w:rPr>
          <w:sz w:val="16"/>
        </w:rPr>
        <w:t xml:space="preserve"> </w:t>
      </w:r>
      <w:r w:rsidRPr="009278EB">
        <w:rPr>
          <w:sz w:val="16"/>
        </w:rPr>
        <w:t>cases in which telemedicine companies paid compliant physicians to prescribe unnecessary drugs</w:t>
      </w:r>
      <w:r w:rsidR="00E874AE" w:rsidRPr="009278EB">
        <w:rPr>
          <w:sz w:val="16"/>
        </w:rPr>
        <w:t xml:space="preserve"> </w:t>
      </w:r>
      <w:r w:rsidRPr="009278EB">
        <w:rPr>
          <w:sz w:val="16"/>
        </w:rPr>
        <w:t>to patients through designated pharmacies, which then gave the telemedicine companies</w:t>
      </w:r>
      <w:r w:rsidR="00E874AE" w:rsidRPr="009278EB">
        <w:rPr>
          <w:sz w:val="16"/>
        </w:rPr>
        <w:t xml:space="preserve"> </w:t>
      </w:r>
      <w:r w:rsidRPr="009278EB">
        <w:rPr>
          <w:sz w:val="16"/>
        </w:rPr>
        <w:t xml:space="preserve">kickbacks for these prescriptions. The Department of Justice prosecuted more than $6 billion </w:t>
      </w:r>
      <w:proofErr w:type="gramStart"/>
      <w:r w:rsidRPr="009278EB">
        <w:rPr>
          <w:sz w:val="16"/>
        </w:rPr>
        <w:t>of</w:t>
      </w:r>
      <w:proofErr w:type="gramEnd"/>
      <w:r w:rsidR="00E874AE" w:rsidRPr="009278EB">
        <w:rPr>
          <w:sz w:val="16"/>
        </w:rPr>
        <w:t xml:space="preserve"> </w:t>
      </w:r>
      <w:r w:rsidRPr="009278EB">
        <w:rPr>
          <w:sz w:val="16"/>
        </w:rPr>
        <w:t>healthcare fraud in 2020.4</w:t>
      </w:r>
      <w:r w:rsidR="00E874AE" w:rsidRPr="009278EB">
        <w:rPr>
          <w:sz w:val="16"/>
        </w:rPr>
        <w:t xml:space="preserve"> </w:t>
      </w:r>
      <w:r w:rsidRPr="009278EB">
        <w:rPr>
          <w:sz w:val="16"/>
        </w:rPr>
        <w:t>Abuse in claims comes in a variety of forms. The most common variety is upcoding, which</w:t>
      </w:r>
      <w:r w:rsidR="00E874AE" w:rsidRPr="009278EB">
        <w:rPr>
          <w:sz w:val="16"/>
        </w:rPr>
        <w:t xml:space="preserve"> </w:t>
      </w:r>
      <w:r w:rsidRPr="009278EB">
        <w:rPr>
          <w:sz w:val="16"/>
        </w:rPr>
        <w:t xml:space="preserve">refers to when providers intentionally bill payers for more intensive care than their </w:t>
      </w:r>
      <w:proofErr w:type="gramStart"/>
      <w:r w:rsidRPr="009278EB">
        <w:rPr>
          <w:sz w:val="16"/>
        </w:rPr>
        <w:t>patient</w:t>
      </w:r>
      <w:proofErr w:type="gramEnd"/>
      <w:r w:rsidR="00E874AE" w:rsidRPr="009278EB">
        <w:rPr>
          <w:sz w:val="16"/>
        </w:rPr>
        <w:t xml:space="preserve"> </w:t>
      </w:r>
      <w:r w:rsidRPr="009278EB">
        <w:rPr>
          <w:sz w:val="16"/>
        </w:rPr>
        <w:t>genuinely needed. For example, providers may round an infant’s birthweight down so that their</w:t>
      </w:r>
      <w:r w:rsidR="00E874AE" w:rsidRPr="009278EB">
        <w:rPr>
          <w:sz w:val="16"/>
        </w:rPr>
        <w:t xml:space="preserve"> </w:t>
      </w:r>
      <w:r w:rsidRPr="009278EB">
        <w:rPr>
          <w:sz w:val="16"/>
        </w:rPr>
        <w:t>neonatal care will be more highly remunerated or round the duration of a cancer patient’s</w:t>
      </w:r>
      <w:r w:rsidR="00E874AE" w:rsidRPr="009278EB">
        <w:rPr>
          <w:sz w:val="16"/>
        </w:rPr>
        <w:t xml:space="preserve"> </w:t>
      </w:r>
      <w:r w:rsidRPr="009278EB">
        <w:rPr>
          <w:sz w:val="16"/>
        </w:rPr>
        <w:t>chemotherapy infusion up for the same reason.5 Even long-term care hospital discharges cluster</w:t>
      </w:r>
      <w:r w:rsidR="00E874AE" w:rsidRPr="009278EB">
        <w:rPr>
          <w:sz w:val="16"/>
        </w:rPr>
        <w:t xml:space="preserve"> </w:t>
      </w:r>
      <w:r w:rsidRPr="009278EB">
        <w:rPr>
          <w:sz w:val="16"/>
        </w:rPr>
        <w:t>just past coding thresholds.6 Code creep refers to the ambiguities in defining codes when</w:t>
      </w:r>
      <w:r w:rsidR="00E874AE" w:rsidRPr="009278EB">
        <w:rPr>
          <w:sz w:val="16"/>
        </w:rPr>
        <w:t xml:space="preserve"> </w:t>
      </w:r>
      <w:r w:rsidRPr="009278EB">
        <w:rPr>
          <w:sz w:val="16"/>
        </w:rPr>
        <w:t>medical services are individual personal services with variation and complicity. Providers learn</w:t>
      </w:r>
      <w:r w:rsidR="00E874AE" w:rsidRPr="009278EB">
        <w:rPr>
          <w:sz w:val="16"/>
        </w:rPr>
        <w:t xml:space="preserve"> </w:t>
      </w:r>
      <w:r w:rsidRPr="009278EB">
        <w:rPr>
          <w:sz w:val="16"/>
        </w:rPr>
        <w:t>over time and take advantage of ambiguities in code definitions, coding strategically to gain</w:t>
      </w:r>
      <w:r w:rsidR="00E874AE" w:rsidRPr="009278EB">
        <w:rPr>
          <w:sz w:val="16"/>
        </w:rPr>
        <w:t xml:space="preserve"> </w:t>
      </w:r>
      <w:r w:rsidRPr="009278EB">
        <w:rPr>
          <w:sz w:val="16"/>
        </w:rPr>
        <w:t>higher payment. Colleges offer degrees in medical coding, and even physicians often enroll in</w:t>
      </w:r>
      <w:r w:rsidR="00E874AE" w:rsidRPr="009278EB">
        <w:rPr>
          <w:sz w:val="16"/>
        </w:rPr>
        <w:t xml:space="preserve"> </w:t>
      </w:r>
      <w:r w:rsidRPr="009278EB">
        <w:rPr>
          <w:sz w:val="16"/>
        </w:rPr>
        <w:t>courses to learn how to optimize their coding.7 Under risk-adjusted capitation payment, health</w:t>
      </w:r>
      <w:r w:rsidR="00E874AE" w:rsidRPr="009278EB">
        <w:rPr>
          <w:sz w:val="16"/>
        </w:rPr>
        <w:t xml:space="preserve"> </w:t>
      </w:r>
      <w:r w:rsidRPr="009278EB">
        <w:rPr>
          <w:sz w:val="16"/>
        </w:rPr>
        <w:t xml:space="preserve">plans </w:t>
      </w:r>
      <w:proofErr w:type="spellStart"/>
      <w:r w:rsidRPr="009278EB">
        <w:rPr>
          <w:sz w:val="16"/>
        </w:rPr>
        <w:t>upcode</w:t>
      </w:r>
      <w:proofErr w:type="spellEnd"/>
      <w:r w:rsidRPr="009278EB">
        <w:rPr>
          <w:sz w:val="16"/>
        </w:rPr>
        <w:t xml:space="preserve"> enrollees into higher risk classes to gain higher payments.8 For example, health</w:t>
      </w:r>
      <w:r w:rsidR="00E874AE" w:rsidRPr="009278EB">
        <w:rPr>
          <w:sz w:val="16"/>
        </w:rPr>
        <w:t xml:space="preserve"> </w:t>
      </w:r>
      <w:r w:rsidRPr="009278EB">
        <w:rPr>
          <w:sz w:val="16"/>
        </w:rPr>
        <w:t>plans may round down a child’s age to garner a higher capitation rate.</w:t>
      </w:r>
      <w:r w:rsidR="00E874AE" w:rsidRPr="009278EB">
        <w:rPr>
          <w:sz w:val="16"/>
        </w:rPr>
        <w:t xml:space="preserve"> </w:t>
      </w:r>
      <w:r w:rsidRPr="009278EB">
        <w:rPr>
          <w:sz w:val="16"/>
        </w:rPr>
        <w:t>Moreover, providers have successfully pushed for expansions in the number of billing codes to</w:t>
      </w:r>
      <w:r w:rsidR="00E874AE" w:rsidRPr="009278EB">
        <w:rPr>
          <w:sz w:val="16"/>
        </w:rPr>
        <w:t xml:space="preserve"> </w:t>
      </w:r>
      <w:r w:rsidRPr="009278EB">
        <w:rPr>
          <w:sz w:val="16"/>
        </w:rPr>
        <w:t>increase their revenue. Since 1987, the 473 DRG codes used for inpatient hospital services have</w:t>
      </w:r>
      <w:r w:rsidR="00E874AE" w:rsidRPr="009278EB">
        <w:rPr>
          <w:sz w:val="16"/>
        </w:rPr>
        <w:t xml:space="preserve"> </w:t>
      </w:r>
      <w:r w:rsidRPr="009278EB">
        <w:rPr>
          <w:sz w:val="16"/>
        </w:rPr>
        <w:t>proliferated to close 1,000.9 The CPT codes for physician services have proliferated from</w:t>
      </w:r>
      <w:r w:rsidR="00E874AE" w:rsidRPr="009278EB">
        <w:rPr>
          <w:sz w:val="16"/>
        </w:rPr>
        <w:t xml:space="preserve"> </w:t>
      </w:r>
      <w:r w:rsidRPr="009278EB">
        <w:rPr>
          <w:sz w:val="16"/>
        </w:rPr>
        <w:t>around 3,500 in the 1960s to well over 10,000.10 The proliferation of billing codes has allowed</w:t>
      </w:r>
      <w:r w:rsidR="00E874AE" w:rsidRPr="009278EB">
        <w:rPr>
          <w:sz w:val="16"/>
        </w:rPr>
        <w:t xml:space="preserve"> </w:t>
      </w:r>
      <w:r w:rsidRPr="009278EB">
        <w:rPr>
          <w:sz w:val="16"/>
        </w:rPr>
        <w:t>providers to receive more compensation for delivery of the same services.</w:t>
      </w:r>
      <w:r w:rsidR="00E874AE" w:rsidRPr="009278EB">
        <w:rPr>
          <w:sz w:val="16"/>
        </w:rPr>
        <w:t xml:space="preserve"> </w:t>
      </w:r>
      <w:r w:rsidRPr="009278EB">
        <w:rPr>
          <w:sz w:val="16"/>
        </w:rPr>
        <w:t xml:space="preserve">How much fraud and abuse </w:t>
      </w:r>
      <w:proofErr w:type="gramStart"/>
      <w:r w:rsidRPr="009278EB">
        <w:rPr>
          <w:sz w:val="16"/>
        </w:rPr>
        <w:t>is</w:t>
      </w:r>
      <w:proofErr w:type="gramEnd"/>
      <w:r w:rsidRPr="009278EB">
        <w:rPr>
          <w:sz w:val="16"/>
        </w:rPr>
        <w:t xml:space="preserve"> there in the US healthcare system?</w:t>
      </w:r>
      <w:r w:rsidR="00E874AE" w:rsidRPr="009278EB">
        <w:rPr>
          <w:sz w:val="16"/>
        </w:rPr>
        <w:t xml:space="preserve"> </w:t>
      </w:r>
      <w:r w:rsidRPr="009278EB">
        <w:rPr>
          <w:sz w:val="16"/>
        </w:rPr>
        <w:t>In the prior section, we noted that the FBI has estimated that 3-10% of national healthcare</w:t>
      </w:r>
      <w:r w:rsidR="00E874AE" w:rsidRPr="009278EB">
        <w:rPr>
          <w:sz w:val="16"/>
        </w:rPr>
        <w:t xml:space="preserve"> </w:t>
      </w:r>
      <w:r w:rsidRPr="009278EB">
        <w:rPr>
          <w:sz w:val="16"/>
        </w:rPr>
        <w:t>expenditures are attributable to fraud.11 Sophisticated kickback arrangements between</w:t>
      </w:r>
      <w:r w:rsidR="00E874AE" w:rsidRPr="009278EB">
        <w:rPr>
          <w:sz w:val="16"/>
        </w:rPr>
        <w:t xml:space="preserve"> </w:t>
      </w:r>
      <w:r w:rsidRPr="009278EB">
        <w:rPr>
          <w:sz w:val="16"/>
        </w:rPr>
        <w:t>prescribing physicians and pharmacies or laboratories are regularly prosecuted.12 Fraudulent</w:t>
      </w:r>
      <w:r w:rsidR="00E874AE" w:rsidRPr="009278EB">
        <w:rPr>
          <w:sz w:val="16"/>
        </w:rPr>
        <w:t xml:space="preserve"> </w:t>
      </w:r>
      <w:r w:rsidRPr="009278EB">
        <w:rPr>
          <w:sz w:val="16"/>
        </w:rPr>
        <w:t>claims by nursing homes and home health services frequently capture newspaper headlines.13</w:t>
      </w:r>
      <w:r w:rsidR="00E874AE" w:rsidRPr="009278EB">
        <w:rPr>
          <w:sz w:val="16"/>
        </w:rPr>
        <w:t xml:space="preserve"> </w:t>
      </w:r>
      <w:r w:rsidRPr="009278EB">
        <w:rPr>
          <w:sz w:val="16"/>
        </w:rPr>
        <w:t xml:space="preserve">However, </w:t>
      </w:r>
      <w:r w:rsidRPr="009278EB">
        <w:rPr>
          <w:rStyle w:val="StyleUnderline"/>
          <w:highlight w:val="green"/>
        </w:rPr>
        <w:t>the</w:t>
      </w:r>
      <w:r w:rsidRPr="009278EB">
        <w:rPr>
          <w:rStyle w:val="StyleUnderline"/>
        </w:rPr>
        <w:t xml:space="preserve"> </w:t>
      </w:r>
      <w:r w:rsidRPr="009278EB">
        <w:rPr>
          <w:rStyle w:val="StyleUnderline"/>
          <w:highlight w:val="green"/>
        </w:rPr>
        <w:t>D</w:t>
      </w:r>
      <w:r w:rsidRPr="009278EB">
        <w:rPr>
          <w:rStyle w:val="StyleUnderline"/>
        </w:rPr>
        <w:t xml:space="preserve">epartment </w:t>
      </w:r>
      <w:r w:rsidRPr="009278EB">
        <w:rPr>
          <w:rStyle w:val="StyleUnderline"/>
          <w:highlight w:val="green"/>
        </w:rPr>
        <w:t>o</w:t>
      </w:r>
      <w:r w:rsidRPr="009278EB">
        <w:rPr>
          <w:rStyle w:val="StyleUnderline"/>
        </w:rPr>
        <w:t xml:space="preserve">f </w:t>
      </w:r>
      <w:r w:rsidRPr="009278EB">
        <w:rPr>
          <w:rStyle w:val="StyleUnderline"/>
          <w:highlight w:val="green"/>
        </w:rPr>
        <w:t>J</w:t>
      </w:r>
      <w:r w:rsidRPr="009278EB">
        <w:rPr>
          <w:rStyle w:val="StyleUnderline"/>
        </w:rPr>
        <w:t xml:space="preserve">ustice </w:t>
      </w:r>
      <w:r w:rsidRPr="009278EB">
        <w:rPr>
          <w:rStyle w:val="StyleUnderline"/>
          <w:highlight w:val="green"/>
        </w:rPr>
        <w:t xml:space="preserve">can only identify and prosecute a </w:t>
      </w:r>
      <w:r w:rsidRPr="009278EB">
        <w:rPr>
          <w:rStyle w:val="Emphasis"/>
          <w:highlight w:val="green"/>
        </w:rPr>
        <w:t>small fraction</w:t>
      </w:r>
      <w:r w:rsidRPr="009278EB">
        <w:rPr>
          <w:rStyle w:val="StyleUnderline"/>
        </w:rPr>
        <w:t xml:space="preserve"> </w:t>
      </w:r>
      <w:r w:rsidRPr="009278EB">
        <w:rPr>
          <w:rStyle w:val="StyleUnderline"/>
          <w:highlight w:val="green"/>
        </w:rPr>
        <w:t>of</w:t>
      </w:r>
      <w:r w:rsidRPr="009278EB">
        <w:rPr>
          <w:rStyle w:val="StyleUnderline"/>
        </w:rPr>
        <w:t xml:space="preserve"> the total</w:t>
      </w:r>
      <w:r w:rsidR="00E874AE" w:rsidRPr="009278EB">
        <w:rPr>
          <w:rStyle w:val="StyleUnderline"/>
        </w:rPr>
        <w:t xml:space="preserve"> </w:t>
      </w:r>
      <w:r w:rsidRPr="009278EB">
        <w:rPr>
          <w:rStyle w:val="StyleUnderline"/>
          <w:highlight w:val="green"/>
        </w:rPr>
        <w:t>fraud</w:t>
      </w:r>
      <w:r w:rsidRPr="009278EB">
        <w:rPr>
          <w:rStyle w:val="StyleUnderline"/>
        </w:rPr>
        <w:t xml:space="preserve"> burden </w:t>
      </w:r>
      <w:r w:rsidRPr="009278EB">
        <w:rPr>
          <w:rStyle w:val="StyleUnderline"/>
          <w:highlight w:val="green"/>
        </w:rPr>
        <w:t>due to resource constraints</w:t>
      </w:r>
      <w:r w:rsidRPr="009278EB">
        <w:rPr>
          <w:rStyle w:val="StyleUnderline"/>
        </w:rPr>
        <w:t xml:space="preserve"> </w:t>
      </w:r>
      <w:r w:rsidRPr="009278EB">
        <w:rPr>
          <w:rStyle w:val="StyleUnderline"/>
          <w:highlight w:val="green"/>
        </w:rPr>
        <w:t>and the</w:t>
      </w:r>
      <w:r w:rsidRPr="009278EB">
        <w:rPr>
          <w:rStyle w:val="StyleUnderline"/>
        </w:rPr>
        <w:t xml:space="preserve"> frequent </w:t>
      </w:r>
      <w:r w:rsidRPr="009278EB">
        <w:rPr>
          <w:rStyle w:val="StyleUnderline"/>
          <w:highlight w:val="green"/>
        </w:rPr>
        <w:t>need for whistleblower testimony</w:t>
      </w:r>
      <w:r w:rsidRPr="009278EB">
        <w:rPr>
          <w:rStyle w:val="StyleUnderline"/>
        </w:rPr>
        <w:t xml:space="preserve"> to</w:t>
      </w:r>
      <w:r w:rsidR="00E874AE" w:rsidRPr="009278EB">
        <w:rPr>
          <w:rStyle w:val="StyleUnderline"/>
        </w:rPr>
        <w:t xml:space="preserve"> </w:t>
      </w:r>
      <w:r w:rsidRPr="009278EB">
        <w:rPr>
          <w:rStyle w:val="StyleUnderline"/>
        </w:rPr>
        <w:t>advance these cases</w:t>
      </w:r>
      <w:r w:rsidRPr="009278EB">
        <w:rPr>
          <w:sz w:val="16"/>
        </w:rPr>
        <w:t xml:space="preserve"> through the legal system.14</w:t>
      </w:r>
      <w:r w:rsidR="00E874AE" w:rsidRPr="009278EB">
        <w:rPr>
          <w:sz w:val="16"/>
        </w:rPr>
        <w:t xml:space="preserve"> </w:t>
      </w:r>
      <w:r w:rsidRPr="009278EB">
        <w:rPr>
          <w:sz w:val="16"/>
        </w:rPr>
        <w:t>As for upcoding, CMS issues an annual report on “improper payments” by Medicare. In 2020,</w:t>
      </w:r>
      <w:r w:rsidR="00E874AE" w:rsidRPr="009278EB">
        <w:rPr>
          <w:sz w:val="16"/>
        </w:rPr>
        <w:t xml:space="preserve"> </w:t>
      </w:r>
      <w:r w:rsidRPr="009278EB">
        <w:rPr>
          <w:rStyle w:val="StyleUnderline"/>
        </w:rPr>
        <w:t>these amounted to 6-7% of Medicare expenditures</w:t>
      </w:r>
      <w:proofErr w:type="gramStart"/>
      <w:r w:rsidRPr="009278EB">
        <w:rPr>
          <w:sz w:val="16"/>
        </w:rPr>
        <w:t>.15</w:t>
      </w:r>
      <w:proofErr w:type="gramEnd"/>
      <w:r w:rsidRPr="009278EB">
        <w:rPr>
          <w:sz w:val="16"/>
        </w:rPr>
        <w:t xml:space="preserve"> However, this could either overestimate or</w:t>
      </w:r>
      <w:r w:rsidR="00E874AE" w:rsidRPr="009278EB">
        <w:rPr>
          <w:sz w:val="16"/>
        </w:rPr>
        <w:t xml:space="preserve"> </w:t>
      </w:r>
      <w:r w:rsidRPr="009278EB">
        <w:rPr>
          <w:sz w:val="16"/>
        </w:rPr>
        <w:t>underestimate actual upcoding. It could be an overestimate because payments that lack adequate</w:t>
      </w:r>
      <w:r w:rsidR="00E874AE" w:rsidRPr="009278EB">
        <w:rPr>
          <w:sz w:val="16"/>
        </w:rPr>
        <w:t xml:space="preserve"> </w:t>
      </w:r>
      <w:r w:rsidRPr="009278EB">
        <w:rPr>
          <w:sz w:val="16"/>
        </w:rPr>
        <w:t xml:space="preserve">documentation for any reason are classified as improper, or it could be an </w:t>
      </w:r>
      <w:proofErr w:type="gramStart"/>
      <w:r w:rsidRPr="009278EB">
        <w:rPr>
          <w:sz w:val="16"/>
        </w:rPr>
        <w:t>underestimate</w:t>
      </w:r>
      <w:proofErr w:type="gramEnd"/>
      <w:r w:rsidRPr="009278EB">
        <w:rPr>
          <w:sz w:val="16"/>
        </w:rPr>
        <w:t xml:space="preserve"> because</w:t>
      </w:r>
      <w:r w:rsidR="00E874AE" w:rsidRPr="009278EB">
        <w:rPr>
          <w:sz w:val="16"/>
        </w:rPr>
        <w:t xml:space="preserve"> </w:t>
      </w:r>
      <w:r w:rsidRPr="009278EB">
        <w:rPr>
          <w:sz w:val="16"/>
        </w:rPr>
        <w:t>upcoding is often accompanied by adequate documentation.16</w:t>
      </w:r>
      <w:r w:rsidR="00E874AE" w:rsidRPr="009278EB">
        <w:rPr>
          <w:sz w:val="16"/>
        </w:rPr>
        <w:t xml:space="preserve"> </w:t>
      </w:r>
      <w:r w:rsidRPr="009278EB">
        <w:rPr>
          <w:sz w:val="16"/>
        </w:rPr>
        <w:t>There are numerous academic studies of abuses in claim billing. In general, they have identified</w:t>
      </w:r>
      <w:r w:rsidR="00E874AE" w:rsidRPr="009278EB">
        <w:rPr>
          <w:sz w:val="16"/>
        </w:rPr>
        <w:t xml:space="preserve"> </w:t>
      </w:r>
      <w:r w:rsidRPr="009278EB">
        <w:rPr>
          <w:sz w:val="16"/>
        </w:rPr>
        <w:t xml:space="preserve">upcoding ranging from 5-15% of expenditures.17 For example, Brunt found that </w:t>
      </w:r>
      <w:r w:rsidRPr="009278EB">
        <w:rPr>
          <w:rStyle w:val="StyleUnderline"/>
        </w:rPr>
        <w:t>15.7% of</w:t>
      </w:r>
      <w:r w:rsidR="00E874AE" w:rsidRPr="009278EB">
        <w:rPr>
          <w:rStyle w:val="StyleUnderline"/>
        </w:rPr>
        <w:t xml:space="preserve"> </w:t>
      </w:r>
      <w:r w:rsidRPr="009278EB">
        <w:rPr>
          <w:rStyle w:val="StyleUnderline"/>
        </w:rPr>
        <w:t>Medicare expenditures on “general office visits” may be attributable to upcoding</w:t>
      </w:r>
      <w:r w:rsidRPr="009278EB">
        <w:rPr>
          <w:sz w:val="16"/>
        </w:rPr>
        <w:t>, and Bastani et</w:t>
      </w:r>
      <w:r w:rsidR="00E874AE" w:rsidRPr="009278EB">
        <w:rPr>
          <w:sz w:val="16"/>
        </w:rPr>
        <w:t xml:space="preserve"> </w:t>
      </w:r>
      <w:r w:rsidRPr="009278EB">
        <w:rPr>
          <w:sz w:val="16"/>
        </w:rPr>
        <w:t xml:space="preserve">al. found that </w:t>
      </w:r>
      <w:r w:rsidRPr="009278EB">
        <w:rPr>
          <w:rStyle w:val="StyleUnderline"/>
        </w:rPr>
        <w:t>hospitals routinely misrepresent hospital-acquired infections as present on</w:t>
      </w:r>
      <w:r w:rsidR="00E874AE" w:rsidRPr="009278EB">
        <w:rPr>
          <w:rStyle w:val="StyleUnderline"/>
        </w:rPr>
        <w:t xml:space="preserve"> </w:t>
      </w:r>
      <w:r w:rsidRPr="009278EB">
        <w:rPr>
          <w:rStyle w:val="StyleUnderline"/>
        </w:rPr>
        <w:t>admission in coding so as to maximize their payment</w:t>
      </w:r>
      <w:r w:rsidRPr="009278EB">
        <w:rPr>
          <w:sz w:val="16"/>
        </w:rPr>
        <w:t>.18 However, studies such as these are</w:t>
      </w:r>
      <w:r w:rsidR="00E874AE" w:rsidRPr="009278EB">
        <w:rPr>
          <w:sz w:val="16"/>
        </w:rPr>
        <w:t xml:space="preserve"> </w:t>
      </w:r>
      <w:r w:rsidRPr="009278EB">
        <w:rPr>
          <w:sz w:val="16"/>
        </w:rPr>
        <w:t>typically limited in scope to a specific program, medical service, or period, making it difficult</w:t>
      </w:r>
      <w:r w:rsidR="00E874AE" w:rsidRPr="009278EB">
        <w:rPr>
          <w:sz w:val="16"/>
        </w:rPr>
        <w:t xml:space="preserve"> </w:t>
      </w:r>
      <w:r w:rsidRPr="009278EB">
        <w:rPr>
          <w:sz w:val="16"/>
        </w:rPr>
        <w:t>use them to reach a precise estimate of upcoding system-wide. As for code creep, Cook and</w:t>
      </w:r>
      <w:r w:rsidR="00E874AE" w:rsidRPr="009278EB">
        <w:rPr>
          <w:sz w:val="16"/>
        </w:rPr>
        <w:t xml:space="preserve"> </w:t>
      </w:r>
      <w:r w:rsidRPr="009278EB">
        <w:rPr>
          <w:sz w:val="16"/>
        </w:rPr>
        <w:t>Averett found that when CMS approved an expansion of DRG codes in 2007, it resulted in a 3%</w:t>
      </w:r>
      <w:r w:rsidR="00E874AE" w:rsidRPr="009278EB">
        <w:rPr>
          <w:sz w:val="16"/>
        </w:rPr>
        <w:t xml:space="preserve"> </w:t>
      </w:r>
      <w:r w:rsidRPr="009278EB">
        <w:rPr>
          <w:sz w:val="16"/>
        </w:rPr>
        <w:t>increase in Medicare hospital expenditures due to additional upcoding.19</w:t>
      </w:r>
      <w:r w:rsidR="00E874AE" w:rsidRPr="009278EB">
        <w:rPr>
          <w:sz w:val="16"/>
        </w:rPr>
        <w:t xml:space="preserve"> </w:t>
      </w:r>
      <w:r w:rsidRPr="009278EB">
        <w:rPr>
          <w:sz w:val="16"/>
        </w:rPr>
        <w:t>The new medical billing industry presents indirect evidence of the practice of upcoding. Medical</w:t>
      </w:r>
      <w:r w:rsidR="00E874AE" w:rsidRPr="009278EB">
        <w:rPr>
          <w:sz w:val="16"/>
        </w:rPr>
        <w:t xml:space="preserve"> </w:t>
      </w:r>
      <w:r w:rsidRPr="009278EB">
        <w:rPr>
          <w:sz w:val="16"/>
        </w:rPr>
        <w:t>billing companies take over the billing process for providers in exchange for fees totaling as</w:t>
      </w:r>
      <w:r w:rsidR="00E874AE" w:rsidRPr="009278EB">
        <w:rPr>
          <w:sz w:val="16"/>
        </w:rPr>
        <w:t xml:space="preserve"> </w:t>
      </w:r>
      <w:r w:rsidRPr="009278EB">
        <w:rPr>
          <w:sz w:val="16"/>
        </w:rPr>
        <w:t>much as 10% or more of revenue collected</w:t>
      </w:r>
      <w:proofErr w:type="gramStart"/>
      <w:r w:rsidRPr="009278EB">
        <w:rPr>
          <w:sz w:val="16"/>
        </w:rPr>
        <w:t>.20</w:t>
      </w:r>
      <w:proofErr w:type="gramEnd"/>
      <w:r w:rsidRPr="009278EB">
        <w:rPr>
          <w:sz w:val="16"/>
        </w:rPr>
        <w:t xml:space="preserve"> They justify their price with their expertise in</w:t>
      </w:r>
      <w:r w:rsidR="00E874AE" w:rsidRPr="009278EB">
        <w:rPr>
          <w:sz w:val="16"/>
        </w:rPr>
        <w:t xml:space="preserve"> </w:t>
      </w:r>
      <w:r w:rsidRPr="009278EB">
        <w:rPr>
          <w:sz w:val="16"/>
        </w:rPr>
        <w:t>gaming the coding system. For instance, they advise providers on how to record clinical</w:t>
      </w:r>
      <w:r w:rsidR="00E874AE" w:rsidRPr="009278EB">
        <w:rPr>
          <w:sz w:val="16"/>
        </w:rPr>
        <w:t xml:space="preserve"> </w:t>
      </w:r>
      <w:r w:rsidRPr="009278EB">
        <w:rPr>
          <w:sz w:val="16"/>
        </w:rPr>
        <w:t xml:space="preserve">information </w:t>
      </w:r>
      <w:proofErr w:type="gramStart"/>
      <w:r w:rsidRPr="009278EB">
        <w:rPr>
          <w:sz w:val="16"/>
        </w:rPr>
        <w:t>so as to</w:t>
      </w:r>
      <w:proofErr w:type="gramEnd"/>
      <w:r w:rsidRPr="009278EB">
        <w:rPr>
          <w:sz w:val="16"/>
        </w:rPr>
        <w:t xml:space="preserve"> justify more lucrative coding. This memorandum cites over a dozen</w:t>
      </w:r>
      <w:r w:rsidR="00E874AE" w:rsidRPr="009278EB">
        <w:rPr>
          <w:sz w:val="16"/>
        </w:rPr>
        <w:t xml:space="preserve"> </w:t>
      </w:r>
      <w:r w:rsidRPr="009278EB">
        <w:rPr>
          <w:sz w:val="16"/>
        </w:rPr>
        <w:t>academic sources documenting the extent of upcoding, code creep, and additional expenditures</w:t>
      </w:r>
      <w:r w:rsidR="00E874AE" w:rsidRPr="009278EB">
        <w:rPr>
          <w:sz w:val="16"/>
        </w:rPr>
        <w:t xml:space="preserve"> </w:t>
      </w:r>
      <w:r w:rsidRPr="009278EB">
        <w:rPr>
          <w:sz w:val="16"/>
        </w:rPr>
        <w:t>attributable to the proliferation of billing codes in the U.S. healthcare system.</w:t>
      </w:r>
      <w:r w:rsidR="00E874AE" w:rsidRPr="009278EB">
        <w:rPr>
          <w:sz w:val="16"/>
        </w:rPr>
        <w:t xml:space="preserve"> </w:t>
      </w:r>
      <w:r w:rsidRPr="009278EB">
        <w:rPr>
          <w:sz w:val="16"/>
        </w:rPr>
        <w:t>In Medicare Advantage and other risk-adjusted capitation health plans, upcoding to inflate risk</w:t>
      </w:r>
      <w:r w:rsidR="00E874AE" w:rsidRPr="009278EB">
        <w:rPr>
          <w:sz w:val="16"/>
        </w:rPr>
        <w:t xml:space="preserve"> </w:t>
      </w:r>
      <w:r w:rsidRPr="009278EB">
        <w:rPr>
          <w:sz w:val="16"/>
        </w:rPr>
        <w:t>scores (and associated reimbursement) is well-documented in the scholarly literature.21 For</w:t>
      </w:r>
      <w:r w:rsidR="00E874AE" w:rsidRPr="009278EB">
        <w:rPr>
          <w:sz w:val="16"/>
        </w:rPr>
        <w:t xml:space="preserve"> </w:t>
      </w:r>
      <w:r w:rsidRPr="009278EB">
        <w:rPr>
          <w:sz w:val="16"/>
        </w:rPr>
        <w:t xml:space="preserve">example, </w:t>
      </w:r>
      <w:proofErr w:type="spellStart"/>
      <w:r w:rsidRPr="009278EB">
        <w:rPr>
          <w:sz w:val="16"/>
        </w:rPr>
        <w:t>Geruso</w:t>
      </w:r>
      <w:proofErr w:type="spellEnd"/>
      <w:r w:rsidRPr="009278EB">
        <w:rPr>
          <w:sz w:val="16"/>
        </w:rPr>
        <w:t xml:space="preserve"> and Layton found that this has been responsible for 6-16% increases in the risk</w:t>
      </w:r>
      <w:r w:rsidR="00E874AE" w:rsidRPr="009278EB">
        <w:rPr>
          <w:sz w:val="16"/>
        </w:rPr>
        <w:t xml:space="preserve"> </w:t>
      </w:r>
      <w:r w:rsidRPr="009278EB">
        <w:rPr>
          <w:sz w:val="16"/>
        </w:rPr>
        <w:t>scores of Medicare Advantage enrollees, costing Medicare $2.4 billion in 2014.22 More</w:t>
      </w:r>
      <w:r w:rsidR="00E874AE" w:rsidRPr="009278EB">
        <w:rPr>
          <w:sz w:val="16"/>
        </w:rPr>
        <w:t xml:space="preserve"> </w:t>
      </w:r>
      <w:r w:rsidRPr="009278EB">
        <w:rPr>
          <w:sz w:val="16"/>
        </w:rPr>
        <w:t>importantly, the capitation rates for these plans are computed based on expected expenditures in</w:t>
      </w:r>
      <w:r w:rsidR="00E874AE" w:rsidRPr="009278EB">
        <w:rPr>
          <w:sz w:val="16"/>
        </w:rPr>
        <w:t xml:space="preserve"> </w:t>
      </w:r>
      <w:r w:rsidRPr="009278EB">
        <w:rPr>
          <w:sz w:val="16"/>
        </w:rPr>
        <w:t>the fee-for-service payment system. Thus, healthcare expenditures attributable to fraud and</w:t>
      </w:r>
      <w:r w:rsidR="00E874AE" w:rsidRPr="009278EB">
        <w:rPr>
          <w:sz w:val="16"/>
        </w:rPr>
        <w:t xml:space="preserve"> </w:t>
      </w:r>
      <w:r w:rsidRPr="009278EB">
        <w:rPr>
          <w:sz w:val="16"/>
        </w:rPr>
        <w:t>abuse push up capitation rates, allowing Medicare Advantage companies to pull in higher profits.</w:t>
      </w:r>
      <w:r w:rsidR="00E874AE" w:rsidRPr="009278EB">
        <w:rPr>
          <w:sz w:val="16"/>
        </w:rPr>
        <w:t xml:space="preserve"> </w:t>
      </w:r>
      <w:r w:rsidRPr="009278EB">
        <w:rPr>
          <w:sz w:val="16"/>
        </w:rPr>
        <w:t>In sum, we estimate a plausible lower bound of U.S. healthcare expenditures due to fraud and</w:t>
      </w:r>
      <w:r w:rsidR="00E874AE" w:rsidRPr="009278EB">
        <w:rPr>
          <w:sz w:val="16"/>
        </w:rPr>
        <w:t xml:space="preserve"> </w:t>
      </w:r>
      <w:r w:rsidRPr="009278EB">
        <w:rPr>
          <w:sz w:val="16"/>
        </w:rPr>
        <w:t>abuse around 8% and an upper bound around 15%, consisting of 3-10% attributable to fraud in</w:t>
      </w:r>
      <w:r w:rsidR="00E874AE" w:rsidRPr="009278EB">
        <w:rPr>
          <w:sz w:val="16"/>
        </w:rPr>
        <w:t xml:space="preserve"> </w:t>
      </w:r>
      <w:r w:rsidRPr="009278EB">
        <w:rPr>
          <w:sz w:val="16"/>
        </w:rPr>
        <w:t>healthcare claims, combined with 5-10% attributable to upcoding, code creep, the proliferation</w:t>
      </w:r>
      <w:r w:rsidR="00E874AE" w:rsidRPr="009278EB">
        <w:rPr>
          <w:sz w:val="16"/>
        </w:rPr>
        <w:t xml:space="preserve"> </w:t>
      </w:r>
      <w:r w:rsidRPr="009278EB">
        <w:rPr>
          <w:sz w:val="16"/>
        </w:rPr>
        <w:t>of codes, and risk-adjustment enhancement for capitation rates.</w:t>
      </w:r>
      <w:r w:rsidR="00E874AE" w:rsidRPr="009278EB">
        <w:rPr>
          <w:sz w:val="16"/>
        </w:rPr>
        <w:t xml:space="preserve"> </w:t>
      </w:r>
      <w:r w:rsidRPr="009278EB">
        <w:rPr>
          <w:sz w:val="16"/>
        </w:rPr>
        <w:t>How much could a single-payer system reduce fraud and abuse in claims?</w:t>
      </w:r>
      <w:r w:rsidR="00E874AE" w:rsidRPr="009278EB">
        <w:rPr>
          <w:sz w:val="16"/>
        </w:rPr>
        <w:t xml:space="preserve"> </w:t>
      </w:r>
      <w:r w:rsidRPr="009278EB">
        <w:rPr>
          <w:sz w:val="16"/>
        </w:rPr>
        <w:t xml:space="preserve">Under a </w:t>
      </w:r>
      <w:r w:rsidRPr="009278EB">
        <w:rPr>
          <w:rStyle w:val="StyleUnderline"/>
          <w:highlight w:val="green"/>
        </w:rPr>
        <w:t>single-payer</w:t>
      </w:r>
      <w:r w:rsidRPr="009278EB">
        <w:rPr>
          <w:sz w:val="16"/>
        </w:rPr>
        <w:t xml:space="preserve"> system, it </w:t>
      </w:r>
      <w:r w:rsidRPr="009278EB">
        <w:rPr>
          <w:rStyle w:val="StyleUnderline"/>
          <w:highlight w:val="green"/>
        </w:rPr>
        <w:t xml:space="preserve">would create a </w:t>
      </w:r>
      <w:r w:rsidRPr="009278EB">
        <w:rPr>
          <w:rStyle w:val="Emphasis"/>
          <w:highlight w:val="green"/>
        </w:rPr>
        <w:t>unified</w:t>
      </w:r>
      <w:r w:rsidRPr="009278EB">
        <w:rPr>
          <w:rStyle w:val="StyleUnderline"/>
        </w:rPr>
        <w:t xml:space="preserve"> </w:t>
      </w:r>
      <w:r w:rsidRPr="009278EB">
        <w:rPr>
          <w:rStyle w:val="StyleUnderline"/>
          <w:highlight w:val="green"/>
        </w:rPr>
        <w:t>e</w:t>
      </w:r>
      <w:r w:rsidRPr="009278EB">
        <w:rPr>
          <w:rStyle w:val="StyleUnderline"/>
        </w:rPr>
        <w:t xml:space="preserve">lectronic </w:t>
      </w:r>
      <w:r w:rsidRPr="009278EB">
        <w:rPr>
          <w:rStyle w:val="StyleUnderline"/>
          <w:highlight w:val="green"/>
        </w:rPr>
        <w:t>m</w:t>
      </w:r>
      <w:r w:rsidRPr="009278EB">
        <w:rPr>
          <w:rStyle w:val="StyleUnderline"/>
        </w:rPr>
        <w:t xml:space="preserve">edical </w:t>
      </w:r>
      <w:r w:rsidRPr="009278EB">
        <w:rPr>
          <w:rStyle w:val="StyleUnderline"/>
          <w:highlight w:val="green"/>
        </w:rPr>
        <w:t>r</w:t>
      </w:r>
      <w:r w:rsidRPr="009278EB">
        <w:rPr>
          <w:rStyle w:val="StyleUnderline"/>
        </w:rPr>
        <w:t xml:space="preserve">ecord </w:t>
      </w:r>
      <w:r w:rsidRPr="009278EB">
        <w:rPr>
          <w:rStyle w:val="StyleUnderline"/>
          <w:highlight w:val="green"/>
        </w:rPr>
        <w:t>database</w:t>
      </w:r>
      <w:r w:rsidRPr="009278EB">
        <w:rPr>
          <w:rStyle w:val="StyleUnderline"/>
        </w:rPr>
        <w:t xml:space="preserve"> </w:t>
      </w:r>
      <w:r w:rsidRPr="009278EB">
        <w:rPr>
          <w:rStyle w:val="StyleUnderline"/>
          <w:highlight w:val="green"/>
        </w:rPr>
        <w:t>with</w:t>
      </w:r>
      <w:r w:rsidR="00E874AE" w:rsidRPr="009278EB">
        <w:rPr>
          <w:rStyle w:val="StyleUnderline"/>
          <w:highlight w:val="green"/>
        </w:rPr>
        <w:t xml:space="preserve"> </w:t>
      </w:r>
      <w:r w:rsidRPr="009278EB">
        <w:rPr>
          <w:rStyle w:val="StyleUnderline"/>
          <w:highlight w:val="green"/>
        </w:rPr>
        <w:t xml:space="preserve">all clinical and claim data coded </w:t>
      </w:r>
      <w:r w:rsidRPr="009278EB">
        <w:rPr>
          <w:rStyle w:val="Emphasis"/>
          <w:highlight w:val="green"/>
        </w:rPr>
        <w:t>uniformly</w:t>
      </w:r>
      <w:r w:rsidRPr="009278EB">
        <w:rPr>
          <w:sz w:val="16"/>
        </w:rPr>
        <w:t xml:space="preserve">. Such </w:t>
      </w:r>
      <w:r w:rsidRPr="009278EB">
        <w:rPr>
          <w:rStyle w:val="StyleUnderline"/>
        </w:rPr>
        <w:t>a comprehensive database would be a</w:t>
      </w:r>
      <w:r w:rsidR="00E874AE" w:rsidRPr="009278EB">
        <w:rPr>
          <w:rStyle w:val="StyleUnderline"/>
        </w:rPr>
        <w:t xml:space="preserve"> </w:t>
      </w:r>
      <w:r w:rsidRPr="009278EB">
        <w:rPr>
          <w:rStyle w:val="StyleUnderline"/>
        </w:rPr>
        <w:t>powerful tool with which to detect fraud and abuse in claims</w:t>
      </w:r>
      <w:r w:rsidRPr="009278EB">
        <w:rPr>
          <w:sz w:val="16"/>
        </w:rPr>
        <w:t xml:space="preserve">. First, because </w:t>
      </w:r>
      <w:r w:rsidRPr="009278EB">
        <w:rPr>
          <w:rStyle w:val="StyleUnderline"/>
          <w:highlight w:val="green"/>
        </w:rPr>
        <w:t>the database</w:t>
      </w:r>
      <w:r w:rsidRPr="009278EB">
        <w:rPr>
          <w:rStyle w:val="StyleUnderline"/>
        </w:rPr>
        <w:t xml:space="preserve"> would</w:t>
      </w:r>
      <w:r w:rsidR="00E874AE" w:rsidRPr="009278EB">
        <w:rPr>
          <w:rStyle w:val="StyleUnderline"/>
        </w:rPr>
        <w:t xml:space="preserve"> </w:t>
      </w:r>
      <w:r w:rsidRPr="009278EB">
        <w:rPr>
          <w:rStyle w:val="StyleUnderline"/>
        </w:rPr>
        <w:t>give a complete profile of each provider’s billed services</w:t>
      </w:r>
      <w:r w:rsidRPr="009278EB">
        <w:rPr>
          <w:sz w:val="16"/>
        </w:rPr>
        <w:t xml:space="preserve">, </w:t>
      </w:r>
      <w:r w:rsidRPr="009278EB">
        <w:rPr>
          <w:rStyle w:val="StyleUnderline"/>
        </w:rPr>
        <w:t xml:space="preserve">it </w:t>
      </w:r>
      <w:r w:rsidRPr="009278EB">
        <w:rPr>
          <w:rStyle w:val="StyleUnderline"/>
          <w:highlight w:val="green"/>
        </w:rPr>
        <w:t>could</w:t>
      </w:r>
      <w:r w:rsidRPr="009278EB">
        <w:rPr>
          <w:sz w:val="16"/>
        </w:rPr>
        <w:t xml:space="preserve"> be used to </w:t>
      </w:r>
      <w:r w:rsidRPr="009278EB">
        <w:rPr>
          <w:rStyle w:val="StyleUnderline"/>
          <w:highlight w:val="green"/>
        </w:rPr>
        <w:t>screen</w:t>
      </w:r>
      <w:r w:rsidRPr="009278EB">
        <w:rPr>
          <w:rStyle w:val="StyleUnderline"/>
        </w:rPr>
        <w:t xml:space="preserve"> each</w:t>
      </w:r>
      <w:r w:rsidR="00E874AE" w:rsidRPr="009278EB">
        <w:rPr>
          <w:rStyle w:val="StyleUnderline"/>
        </w:rPr>
        <w:t xml:space="preserve"> </w:t>
      </w:r>
      <w:r w:rsidRPr="009278EB">
        <w:rPr>
          <w:rStyle w:val="StyleUnderline"/>
          <w:highlight w:val="green"/>
        </w:rPr>
        <w:t>provider’s total claims for reasonableness</w:t>
      </w:r>
      <w:r w:rsidRPr="009278EB">
        <w:rPr>
          <w:sz w:val="16"/>
        </w:rPr>
        <w:t xml:space="preserve">, picking out potential fraud. For example, </w:t>
      </w:r>
      <w:r w:rsidRPr="009278EB">
        <w:rPr>
          <w:rStyle w:val="StyleUnderline"/>
        </w:rPr>
        <w:t>the</w:t>
      </w:r>
      <w:r w:rsidR="00E874AE" w:rsidRPr="009278EB">
        <w:rPr>
          <w:rStyle w:val="StyleUnderline"/>
        </w:rPr>
        <w:t xml:space="preserve"> </w:t>
      </w:r>
      <w:r w:rsidRPr="009278EB">
        <w:rPr>
          <w:rStyle w:val="StyleUnderline"/>
        </w:rPr>
        <w:t>Taiwanese and</w:t>
      </w:r>
      <w:r w:rsidRPr="009278EB">
        <w:rPr>
          <w:sz w:val="16"/>
        </w:rPr>
        <w:t xml:space="preserve"> </w:t>
      </w:r>
      <w:r w:rsidRPr="009278EB">
        <w:rPr>
          <w:rStyle w:val="StyleUnderline"/>
          <w:highlight w:val="green"/>
        </w:rPr>
        <w:t>Canadian</w:t>
      </w:r>
      <w:r w:rsidRPr="009278EB">
        <w:rPr>
          <w:rStyle w:val="StyleUnderline"/>
        </w:rPr>
        <w:t xml:space="preserve"> </w:t>
      </w:r>
      <w:r w:rsidRPr="009278EB">
        <w:rPr>
          <w:sz w:val="16"/>
        </w:rPr>
        <w:t>national</w:t>
      </w:r>
      <w:r w:rsidRPr="009278EB">
        <w:rPr>
          <w:rStyle w:val="StyleUnderline"/>
        </w:rPr>
        <w:t xml:space="preserve"> health insurance</w:t>
      </w:r>
      <w:r w:rsidRPr="009278EB">
        <w:rPr>
          <w:sz w:val="16"/>
        </w:rPr>
        <w:t xml:space="preserve"> </w:t>
      </w:r>
      <w:r w:rsidRPr="009278EB">
        <w:rPr>
          <w:rStyle w:val="StyleUnderline"/>
          <w:highlight w:val="green"/>
        </w:rPr>
        <w:t>programs</w:t>
      </w:r>
      <w:r w:rsidRPr="009278EB">
        <w:rPr>
          <w:sz w:val="16"/>
        </w:rPr>
        <w:t xml:space="preserve"> have been able to </w:t>
      </w:r>
      <w:r w:rsidRPr="009278EB">
        <w:rPr>
          <w:rStyle w:val="StyleUnderline"/>
          <w:highlight w:val="green"/>
        </w:rPr>
        <w:t>identify</w:t>
      </w:r>
      <w:r w:rsidR="00E874AE" w:rsidRPr="009278EB">
        <w:rPr>
          <w:rStyle w:val="StyleUnderline"/>
          <w:highlight w:val="green"/>
        </w:rPr>
        <w:t xml:space="preserve"> </w:t>
      </w:r>
      <w:r w:rsidRPr="009278EB">
        <w:rPr>
          <w:rStyle w:val="StyleUnderline"/>
          <w:highlight w:val="green"/>
        </w:rPr>
        <w:t>physicians billing</w:t>
      </w:r>
      <w:r w:rsidRPr="009278EB">
        <w:rPr>
          <w:rStyle w:val="StyleUnderline"/>
        </w:rPr>
        <w:t xml:space="preserve"> for </w:t>
      </w:r>
      <w:r w:rsidRPr="009278EB">
        <w:rPr>
          <w:rStyle w:val="StyleUnderline"/>
          <w:highlight w:val="green"/>
        </w:rPr>
        <w:t>more than 100 hours of patient care per week</w:t>
      </w:r>
      <w:r w:rsidRPr="009278EB">
        <w:rPr>
          <w:sz w:val="16"/>
        </w:rPr>
        <w:t xml:space="preserve">. Already, we have </w:t>
      </w:r>
      <w:r w:rsidRPr="009278EB">
        <w:rPr>
          <w:rStyle w:val="StyleUnderline"/>
        </w:rPr>
        <w:t>research</w:t>
      </w:r>
      <w:r w:rsidR="00E874AE" w:rsidRPr="009278EB">
        <w:rPr>
          <w:sz w:val="16"/>
        </w:rPr>
        <w:t xml:space="preserve"> </w:t>
      </w:r>
      <w:r w:rsidRPr="009278EB">
        <w:rPr>
          <w:rStyle w:val="StyleUnderline"/>
        </w:rPr>
        <w:t>show</w:t>
      </w:r>
      <w:r w:rsidRPr="009278EB">
        <w:rPr>
          <w:sz w:val="16"/>
        </w:rPr>
        <w:t xml:space="preserve">ing that around </w:t>
      </w:r>
      <w:r w:rsidRPr="009278EB">
        <w:rPr>
          <w:rStyle w:val="StyleUnderline"/>
        </w:rPr>
        <w:t>3% of active physicians in the U.S. bill Medicare Part B for more than 100</w:t>
      </w:r>
      <w:r w:rsidR="00E874AE" w:rsidRPr="009278EB">
        <w:rPr>
          <w:rStyle w:val="StyleUnderline"/>
        </w:rPr>
        <w:t xml:space="preserve"> </w:t>
      </w:r>
      <w:r w:rsidRPr="009278EB">
        <w:rPr>
          <w:rStyle w:val="StyleUnderline"/>
        </w:rPr>
        <w:t>hours of work per week</w:t>
      </w:r>
      <w:r w:rsidRPr="009278EB">
        <w:rPr>
          <w:sz w:val="16"/>
        </w:rPr>
        <w:t xml:space="preserve">; </w:t>
      </w:r>
      <w:r w:rsidRPr="009278EB">
        <w:rPr>
          <w:rStyle w:val="StyleUnderline"/>
        </w:rPr>
        <w:t xml:space="preserve">if we could </w:t>
      </w:r>
      <w:r w:rsidRPr="009278EB">
        <w:rPr>
          <w:rStyle w:val="StyleUnderline"/>
          <w:highlight w:val="green"/>
        </w:rPr>
        <w:t>combine</w:t>
      </w:r>
      <w:r w:rsidRPr="009278EB">
        <w:rPr>
          <w:sz w:val="16"/>
        </w:rPr>
        <w:t xml:space="preserve"> that </w:t>
      </w:r>
      <w:r w:rsidRPr="009278EB">
        <w:rPr>
          <w:rStyle w:val="StyleUnderline"/>
        </w:rPr>
        <w:t xml:space="preserve">Medicare </w:t>
      </w:r>
      <w:r w:rsidRPr="009278EB">
        <w:rPr>
          <w:rStyle w:val="StyleUnderline"/>
          <w:highlight w:val="green"/>
        </w:rPr>
        <w:t>data</w:t>
      </w:r>
      <w:r w:rsidRPr="009278EB">
        <w:rPr>
          <w:rStyle w:val="StyleUnderline"/>
        </w:rPr>
        <w:t xml:space="preserve"> with</w:t>
      </w:r>
      <w:r w:rsidRPr="009278EB">
        <w:rPr>
          <w:sz w:val="16"/>
        </w:rPr>
        <w:t xml:space="preserve"> claims submitted to </w:t>
      </w:r>
      <w:r w:rsidRPr="009278EB">
        <w:rPr>
          <w:rStyle w:val="StyleUnderline"/>
        </w:rPr>
        <w:t>other</w:t>
      </w:r>
      <w:r w:rsidR="00E874AE" w:rsidRPr="009278EB">
        <w:rPr>
          <w:rStyle w:val="StyleUnderline"/>
        </w:rPr>
        <w:t xml:space="preserve"> </w:t>
      </w:r>
      <w:r w:rsidRPr="009278EB">
        <w:rPr>
          <w:rStyle w:val="StyleUnderline"/>
        </w:rPr>
        <w:t>payers</w:t>
      </w:r>
      <w:r w:rsidRPr="009278EB">
        <w:rPr>
          <w:sz w:val="16"/>
        </w:rPr>
        <w:t xml:space="preserve">, </w:t>
      </w:r>
      <w:r w:rsidRPr="009278EB">
        <w:rPr>
          <w:rStyle w:val="StyleUnderline"/>
        </w:rPr>
        <w:t xml:space="preserve">we </w:t>
      </w:r>
      <w:r w:rsidRPr="009278EB">
        <w:rPr>
          <w:rStyle w:val="StyleUnderline"/>
          <w:highlight w:val="green"/>
        </w:rPr>
        <w:t>could identify</w:t>
      </w:r>
      <w:r w:rsidRPr="009278EB">
        <w:rPr>
          <w:rStyle w:val="StyleUnderline"/>
        </w:rPr>
        <w:t xml:space="preserve"> far </w:t>
      </w:r>
      <w:r w:rsidRPr="009278EB">
        <w:rPr>
          <w:rStyle w:val="StyleUnderline"/>
          <w:highlight w:val="green"/>
        </w:rPr>
        <w:t>more</w:t>
      </w:r>
      <w:r w:rsidRPr="009278EB">
        <w:rPr>
          <w:rStyle w:val="StyleUnderline"/>
        </w:rPr>
        <w:t>.</w:t>
      </w:r>
      <w:r w:rsidRPr="009278EB">
        <w:rPr>
          <w:sz w:val="16"/>
        </w:rPr>
        <w:t xml:space="preserve">23 </w:t>
      </w:r>
      <w:r w:rsidRPr="009278EB">
        <w:rPr>
          <w:rStyle w:val="StyleUnderline"/>
          <w:highlight w:val="green"/>
        </w:rPr>
        <w:t>We could</w:t>
      </w:r>
      <w:r w:rsidRPr="009278EB">
        <w:rPr>
          <w:sz w:val="16"/>
        </w:rPr>
        <w:t xml:space="preserve"> also </w:t>
      </w:r>
      <w:r w:rsidRPr="009278EB">
        <w:rPr>
          <w:rStyle w:val="StyleUnderline"/>
        </w:rPr>
        <w:t xml:space="preserve">easily </w:t>
      </w:r>
      <w:r w:rsidRPr="009278EB">
        <w:rPr>
          <w:rStyle w:val="StyleUnderline"/>
          <w:highlight w:val="green"/>
        </w:rPr>
        <w:t>detect nursing homes’ claims</w:t>
      </w:r>
      <w:r w:rsidRPr="009278EB">
        <w:rPr>
          <w:rStyle w:val="StyleUnderline"/>
        </w:rPr>
        <w:t xml:space="preserve"> for care</w:t>
      </w:r>
      <w:r w:rsidR="00E874AE" w:rsidRPr="009278EB">
        <w:rPr>
          <w:rStyle w:val="StyleUnderline"/>
        </w:rPr>
        <w:t xml:space="preserve"> </w:t>
      </w:r>
      <w:r w:rsidRPr="009278EB">
        <w:rPr>
          <w:rStyle w:val="StyleUnderline"/>
          <w:highlight w:val="green"/>
        </w:rPr>
        <w:t>in excess of</w:t>
      </w:r>
      <w:r w:rsidRPr="009278EB">
        <w:rPr>
          <w:rStyle w:val="StyleUnderline"/>
        </w:rPr>
        <w:t xml:space="preserve"> their </w:t>
      </w:r>
      <w:r w:rsidRPr="009278EB">
        <w:rPr>
          <w:rStyle w:val="StyleUnderline"/>
          <w:highlight w:val="green"/>
        </w:rPr>
        <w:t>bed capacity</w:t>
      </w:r>
      <w:r w:rsidRPr="009278EB">
        <w:rPr>
          <w:sz w:val="16"/>
        </w:rPr>
        <w:t>. To identify potential upcoding and code creep, Taiwan and other</w:t>
      </w:r>
      <w:r w:rsidR="00E874AE" w:rsidRPr="009278EB">
        <w:rPr>
          <w:sz w:val="16"/>
        </w:rPr>
        <w:t xml:space="preserve"> </w:t>
      </w:r>
      <w:r w:rsidRPr="009278EB">
        <w:rPr>
          <w:rStyle w:val="StyleUnderline"/>
          <w:highlight w:val="green"/>
        </w:rPr>
        <w:t>single-payer nations</w:t>
      </w:r>
      <w:r w:rsidRPr="009278EB">
        <w:rPr>
          <w:sz w:val="16"/>
        </w:rPr>
        <w:t xml:space="preserve"> have </w:t>
      </w:r>
      <w:r w:rsidRPr="009278EB">
        <w:rPr>
          <w:rStyle w:val="StyleUnderline"/>
          <w:highlight w:val="green"/>
        </w:rPr>
        <w:t>developed</w:t>
      </w:r>
      <w:r w:rsidRPr="009278EB">
        <w:rPr>
          <w:rStyle w:val="StyleUnderline"/>
        </w:rPr>
        <w:t xml:space="preserve"> </w:t>
      </w:r>
      <w:r w:rsidRPr="009278EB">
        <w:rPr>
          <w:rStyle w:val="StyleUnderline"/>
          <w:highlight w:val="green"/>
        </w:rPr>
        <w:t>sophisticated</w:t>
      </w:r>
      <w:r w:rsidRPr="009278EB">
        <w:rPr>
          <w:rStyle w:val="StyleUnderline"/>
        </w:rPr>
        <w:t xml:space="preserve"> </w:t>
      </w:r>
      <w:r w:rsidRPr="009278EB">
        <w:rPr>
          <w:rStyle w:val="StyleUnderline"/>
          <w:highlight w:val="green"/>
        </w:rPr>
        <w:t>stat</w:t>
      </w:r>
      <w:r w:rsidRPr="009278EB">
        <w:rPr>
          <w:rStyle w:val="StyleUnderline"/>
        </w:rPr>
        <w:t xml:space="preserve">istical </w:t>
      </w:r>
      <w:r w:rsidRPr="009278EB">
        <w:rPr>
          <w:rStyle w:val="StyleUnderline"/>
          <w:highlight w:val="green"/>
        </w:rPr>
        <w:t>tools</w:t>
      </w:r>
      <w:r w:rsidRPr="009278EB">
        <w:rPr>
          <w:rStyle w:val="StyleUnderline"/>
        </w:rPr>
        <w:t>, which they apply to their</w:t>
      </w:r>
      <w:r w:rsidR="00E874AE" w:rsidRPr="009278EB">
        <w:rPr>
          <w:rStyle w:val="StyleUnderline"/>
        </w:rPr>
        <w:t xml:space="preserve"> </w:t>
      </w:r>
      <w:r w:rsidRPr="009278EB">
        <w:rPr>
          <w:rStyle w:val="StyleUnderline"/>
        </w:rPr>
        <w:t>unified claims data</w:t>
      </w:r>
      <w:r w:rsidRPr="009278EB">
        <w:rPr>
          <w:sz w:val="16"/>
        </w:rPr>
        <w:t xml:space="preserve">. </w:t>
      </w:r>
      <w:r w:rsidRPr="009278EB">
        <w:rPr>
          <w:rStyle w:val="StyleUnderline"/>
          <w:highlight w:val="green"/>
        </w:rPr>
        <w:t xml:space="preserve">When they pick </w:t>
      </w:r>
      <w:proofErr w:type="gramStart"/>
      <w:r w:rsidRPr="009278EB">
        <w:rPr>
          <w:rStyle w:val="StyleUnderline"/>
          <w:highlight w:val="green"/>
        </w:rPr>
        <w:t>up</w:t>
      </w:r>
      <w:proofErr w:type="gramEnd"/>
      <w:r w:rsidRPr="009278EB">
        <w:rPr>
          <w:rStyle w:val="StyleUnderline"/>
          <w:highlight w:val="green"/>
        </w:rPr>
        <w:t xml:space="preserve"> outliers, they pass</w:t>
      </w:r>
      <w:r w:rsidRPr="009278EB">
        <w:rPr>
          <w:rStyle w:val="StyleUnderline"/>
        </w:rPr>
        <w:t xml:space="preserve"> the </w:t>
      </w:r>
      <w:r w:rsidRPr="009278EB">
        <w:rPr>
          <w:rStyle w:val="StyleUnderline"/>
          <w:highlight w:val="green"/>
        </w:rPr>
        <w:t>results</w:t>
      </w:r>
      <w:r w:rsidRPr="009278EB">
        <w:rPr>
          <w:rStyle w:val="StyleUnderline"/>
        </w:rPr>
        <w:t xml:space="preserve"> of their analysis on </w:t>
      </w:r>
      <w:r w:rsidRPr="009278EB">
        <w:rPr>
          <w:rStyle w:val="StyleUnderline"/>
          <w:highlight w:val="green"/>
        </w:rPr>
        <w:t>to</w:t>
      </w:r>
      <w:r w:rsidR="00E874AE" w:rsidRPr="009278EB">
        <w:rPr>
          <w:rStyle w:val="StyleUnderline"/>
          <w:highlight w:val="green"/>
        </w:rPr>
        <w:t xml:space="preserve"> </w:t>
      </w:r>
      <w:r w:rsidRPr="009278EB">
        <w:rPr>
          <w:rStyle w:val="StyleUnderline"/>
          <w:highlight w:val="green"/>
        </w:rPr>
        <w:t>medical professional review committees</w:t>
      </w:r>
      <w:r w:rsidRPr="009278EB">
        <w:rPr>
          <w:sz w:val="16"/>
        </w:rPr>
        <w:t xml:space="preserve">, </w:t>
      </w:r>
      <w:r w:rsidRPr="009278EB">
        <w:rPr>
          <w:rStyle w:val="StyleUnderline"/>
        </w:rPr>
        <w:t>which</w:t>
      </w:r>
      <w:r w:rsidRPr="009278EB">
        <w:rPr>
          <w:sz w:val="16"/>
        </w:rPr>
        <w:t>—through the use peer pressure and sanctions—</w:t>
      </w:r>
      <w:r w:rsidR="00E874AE" w:rsidRPr="009278EB">
        <w:rPr>
          <w:sz w:val="16"/>
        </w:rPr>
        <w:t xml:space="preserve"> </w:t>
      </w:r>
      <w:r w:rsidRPr="009278EB">
        <w:rPr>
          <w:sz w:val="16"/>
        </w:rPr>
        <w:t xml:space="preserve">have vastly </w:t>
      </w:r>
      <w:r w:rsidRPr="009278EB">
        <w:rPr>
          <w:rStyle w:val="StyleUnderline"/>
        </w:rPr>
        <w:t>controlled</w:t>
      </w:r>
      <w:r w:rsidRPr="009278EB">
        <w:rPr>
          <w:sz w:val="16"/>
        </w:rPr>
        <w:t xml:space="preserve"> the extent of upcoding. In just the first two years after Taiwan</w:t>
      </w:r>
      <w:r w:rsidR="00E874AE" w:rsidRPr="009278EB">
        <w:rPr>
          <w:sz w:val="16"/>
        </w:rPr>
        <w:t xml:space="preserve"> </w:t>
      </w:r>
      <w:r w:rsidRPr="009278EB">
        <w:rPr>
          <w:sz w:val="16"/>
        </w:rPr>
        <w:t xml:space="preserve">transitioned to single-payer, </w:t>
      </w:r>
      <w:r w:rsidRPr="009278EB">
        <w:rPr>
          <w:rStyle w:val="StyleUnderline"/>
          <w:highlight w:val="green"/>
        </w:rPr>
        <w:t>this</w:t>
      </w:r>
      <w:r w:rsidRPr="009278EB">
        <w:rPr>
          <w:rStyle w:val="StyleUnderline"/>
        </w:rPr>
        <w:t xml:space="preserve"> approach </w:t>
      </w:r>
      <w:r w:rsidRPr="009278EB">
        <w:rPr>
          <w:rStyle w:val="StyleUnderline"/>
          <w:highlight w:val="green"/>
        </w:rPr>
        <w:t>allowed</w:t>
      </w:r>
      <w:r w:rsidRPr="009278EB">
        <w:rPr>
          <w:rStyle w:val="StyleUnderline"/>
        </w:rPr>
        <w:t xml:space="preserve"> </w:t>
      </w:r>
      <w:r w:rsidRPr="009278EB">
        <w:rPr>
          <w:rStyle w:val="StyleUnderline"/>
          <w:highlight w:val="green"/>
        </w:rPr>
        <w:t>its health system to cut</w:t>
      </w:r>
      <w:r w:rsidRPr="009278EB">
        <w:rPr>
          <w:rStyle w:val="StyleUnderline"/>
        </w:rPr>
        <w:t xml:space="preserve"> total healthcare</w:t>
      </w:r>
      <w:r w:rsidR="00E874AE" w:rsidRPr="009278EB">
        <w:rPr>
          <w:rStyle w:val="StyleUnderline"/>
        </w:rPr>
        <w:t xml:space="preserve"> </w:t>
      </w:r>
      <w:r w:rsidRPr="009278EB">
        <w:rPr>
          <w:rStyle w:val="StyleUnderline"/>
          <w:highlight w:val="green"/>
        </w:rPr>
        <w:t xml:space="preserve">expenditures by </w:t>
      </w:r>
      <w:r w:rsidRPr="009278EB">
        <w:rPr>
          <w:rStyle w:val="Emphasis"/>
          <w:highlight w:val="green"/>
        </w:rPr>
        <w:t>8%</w:t>
      </w:r>
      <w:r w:rsidRPr="009278EB">
        <w:rPr>
          <w:rStyle w:val="StyleUnderline"/>
        </w:rPr>
        <w:t xml:space="preserve"> through reductions in fraud and abuse</w:t>
      </w:r>
      <w:r w:rsidRPr="009278EB">
        <w:rPr>
          <w:sz w:val="16"/>
        </w:rPr>
        <w:t xml:space="preserve">.24 Today, advancements in </w:t>
      </w:r>
      <w:r w:rsidRPr="009278EB">
        <w:rPr>
          <w:rStyle w:val="StyleUnderline"/>
          <w:highlight w:val="green"/>
        </w:rPr>
        <w:t>a</w:t>
      </w:r>
      <w:r w:rsidRPr="009278EB">
        <w:rPr>
          <w:rStyle w:val="StyleUnderline"/>
        </w:rPr>
        <w:t>rtificial</w:t>
      </w:r>
      <w:r w:rsidR="00E874AE" w:rsidRPr="009278EB">
        <w:rPr>
          <w:rStyle w:val="StyleUnderline"/>
        </w:rPr>
        <w:t xml:space="preserve"> </w:t>
      </w:r>
      <w:r w:rsidRPr="009278EB">
        <w:rPr>
          <w:rStyle w:val="StyleUnderline"/>
          <w:highlight w:val="green"/>
        </w:rPr>
        <w:t>i</w:t>
      </w:r>
      <w:r w:rsidRPr="009278EB">
        <w:rPr>
          <w:rStyle w:val="StyleUnderline"/>
        </w:rPr>
        <w:t xml:space="preserve">ntelligence </w:t>
      </w:r>
      <w:r w:rsidRPr="009278EB">
        <w:rPr>
          <w:rStyle w:val="StyleUnderline"/>
          <w:highlight w:val="green"/>
        </w:rPr>
        <w:t>might a</w:t>
      </w:r>
      <w:r w:rsidRPr="009278EB">
        <w:rPr>
          <w:rStyle w:val="StyleUnderline"/>
        </w:rPr>
        <w:t xml:space="preserve">llow a single-payer system in </w:t>
      </w:r>
      <w:r w:rsidRPr="009278EB">
        <w:rPr>
          <w:rStyle w:val="StyleUnderline"/>
          <w:highlight w:val="green"/>
        </w:rPr>
        <w:t>the U.S. to reduce expenditures</w:t>
      </w:r>
      <w:r w:rsidRPr="009278EB">
        <w:rPr>
          <w:rStyle w:val="StyleUnderline"/>
        </w:rPr>
        <w:t xml:space="preserve"> by </w:t>
      </w:r>
      <w:r w:rsidRPr="009278EB">
        <w:rPr>
          <w:rStyle w:val="StyleUnderline"/>
          <w:highlight w:val="green"/>
        </w:rPr>
        <w:t>even</w:t>
      </w:r>
      <w:r w:rsidR="00E874AE" w:rsidRPr="009278EB">
        <w:rPr>
          <w:rStyle w:val="StyleUnderline"/>
          <w:highlight w:val="green"/>
        </w:rPr>
        <w:t xml:space="preserve"> </w:t>
      </w:r>
      <w:r w:rsidRPr="009278EB">
        <w:rPr>
          <w:rStyle w:val="StyleUnderline"/>
          <w:highlight w:val="green"/>
        </w:rPr>
        <w:t>more</w:t>
      </w:r>
      <w:r w:rsidRPr="009278EB">
        <w:rPr>
          <w:sz w:val="16"/>
        </w:rPr>
        <w:t xml:space="preserve">.25 </w:t>
      </w:r>
    </w:p>
    <w:p w14:paraId="70216663" w14:textId="345B0EE1" w:rsidR="00914260" w:rsidRPr="00D05211" w:rsidRDefault="00F63522" w:rsidP="001756B0">
      <w:pPr>
        <w:pStyle w:val="Heading3"/>
        <w:rPr>
          <w:rFonts w:ascii="Arial Black" w:hAnsi="Arial Black"/>
          <w:color w:val="B43E1F"/>
          <w:szCs w:val="32"/>
        </w:rPr>
      </w:pPr>
      <w:r w:rsidRPr="00D05211">
        <w:rPr>
          <w:rFonts w:ascii="Arial Black" w:hAnsi="Arial Black"/>
          <w:color w:val="B43E1F"/>
          <w:szCs w:val="32"/>
        </w:rPr>
        <w:t xml:space="preserve">Contention 3: </w:t>
      </w:r>
      <w:r w:rsidR="004316A9" w:rsidRPr="00D05211">
        <w:rPr>
          <w:rFonts w:ascii="Arial Black" w:hAnsi="Arial Black"/>
          <w:color w:val="B43E1F"/>
          <w:szCs w:val="32"/>
        </w:rPr>
        <w:t>Inequality</w:t>
      </w:r>
    </w:p>
    <w:p w14:paraId="00675365" w14:textId="4706B8D5" w:rsidR="00EB171F" w:rsidRPr="009278EB" w:rsidRDefault="00EB171F" w:rsidP="00EB171F">
      <w:pPr>
        <w:pStyle w:val="Heading4"/>
        <w:rPr>
          <w:szCs w:val="26"/>
        </w:rPr>
      </w:pPr>
      <w:r w:rsidRPr="009278EB">
        <w:rPr>
          <w:szCs w:val="26"/>
        </w:rPr>
        <w:t>New changes mean healthcare is in crisis – end of ACA subsidies and increased</w:t>
      </w:r>
      <w:r w:rsidR="00547D06" w:rsidRPr="009278EB">
        <w:rPr>
          <w:szCs w:val="26"/>
        </w:rPr>
        <w:t xml:space="preserve"> </w:t>
      </w:r>
      <w:r w:rsidRPr="009278EB">
        <w:rPr>
          <w:szCs w:val="26"/>
        </w:rPr>
        <w:t>monopolization</w:t>
      </w:r>
    </w:p>
    <w:p w14:paraId="16F6EB90" w14:textId="77777777" w:rsidR="00EB171F" w:rsidRPr="00DD2D90" w:rsidRDefault="00EB171F" w:rsidP="00EB171F">
      <w:r w:rsidRPr="009278EB">
        <w:rPr>
          <w:b/>
          <w:bCs/>
          <w:sz w:val="26"/>
          <w:szCs w:val="26"/>
        </w:rPr>
        <w:t>Aspan 25</w:t>
      </w:r>
      <w:r w:rsidRPr="00DD2D90">
        <w:rPr>
          <w:b/>
          <w:bCs/>
        </w:rPr>
        <w:t xml:space="preserve"> </w:t>
      </w:r>
      <w:r w:rsidRPr="00DD2D90">
        <w:t xml:space="preserve">[Maria Aspan, financial correspondent for NPR, 12-04-2025, “US Healthcare is broken - Here are three ways </w:t>
      </w:r>
      <w:proofErr w:type="gramStart"/>
      <w:r w:rsidRPr="00DD2D90">
        <w:t>its</w:t>
      </w:r>
      <w:proofErr w:type="gramEnd"/>
      <w:r w:rsidRPr="00DD2D90">
        <w:t xml:space="preserve"> getting worse,” NPR, https://www.npr.org/2025/12/04/nx-s1-5629211/health-care-broken-costs-united-health-investors]/Kankee</w:t>
      </w:r>
    </w:p>
    <w:p w14:paraId="19B7AAB0" w14:textId="77777777" w:rsidR="00EB171F" w:rsidRPr="009278EB" w:rsidRDefault="00EB171F" w:rsidP="00EB171F">
      <w:pPr>
        <w:rPr>
          <w:sz w:val="16"/>
        </w:rPr>
      </w:pPr>
      <w:r w:rsidRPr="009278EB">
        <w:rPr>
          <w:sz w:val="16"/>
        </w:rPr>
        <w:t>One year after UnitedHealthcare's CEO was shot and killed,</w:t>
      </w:r>
      <w:r w:rsidRPr="00DD2D90">
        <w:rPr>
          <w:u w:val="single"/>
        </w:rPr>
        <w:t xml:space="preserve"> </w:t>
      </w:r>
      <w:r w:rsidRPr="00DD2D90">
        <w:rPr>
          <w:highlight w:val="green"/>
          <w:u w:val="single"/>
        </w:rPr>
        <w:t>the crisis</w:t>
      </w:r>
      <w:r w:rsidRPr="00DD2D90">
        <w:rPr>
          <w:u w:val="single"/>
        </w:rPr>
        <w:t xml:space="preserve"> </w:t>
      </w:r>
      <w:r w:rsidRPr="00DD2D90">
        <w:rPr>
          <w:highlight w:val="green"/>
          <w:u w:val="single"/>
        </w:rPr>
        <w:t>in</w:t>
      </w:r>
      <w:r w:rsidRPr="00DD2D90">
        <w:rPr>
          <w:u w:val="single"/>
        </w:rPr>
        <w:t xml:space="preserve"> U.S. </w:t>
      </w:r>
      <w:r w:rsidRPr="00DD2D90">
        <w:rPr>
          <w:highlight w:val="green"/>
          <w:u w:val="single"/>
        </w:rPr>
        <w:t xml:space="preserve">health care has gotten </w:t>
      </w:r>
      <w:r w:rsidRPr="00DD2D90">
        <w:rPr>
          <w:rStyle w:val="Emphasis"/>
          <w:highlight w:val="green"/>
        </w:rPr>
        <w:t>even worse</w:t>
      </w:r>
      <w:r w:rsidRPr="00DD2D90">
        <w:rPr>
          <w:u w:val="single"/>
        </w:rPr>
        <w:t xml:space="preserve"> </w:t>
      </w:r>
      <w:r w:rsidRPr="009278EB">
        <w:rPr>
          <w:sz w:val="16"/>
        </w:rPr>
        <w:t xml:space="preserve">— in ways both obvious and hidden. People increasingly can't afford health insurance. The </w:t>
      </w:r>
      <w:r w:rsidRPr="00DD2D90">
        <w:rPr>
          <w:highlight w:val="green"/>
          <w:u w:val="single"/>
        </w:rPr>
        <w:t>costs of</w:t>
      </w:r>
      <w:r w:rsidRPr="009278EB">
        <w:rPr>
          <w:sz w:val="16"/>
        </w:rPr>
        <w:t xml:space="preserve"> both Obamacare and employer-sponsored </w:t>
      </w:r>
      <w:r w:rsidRPr="00DD2D90">
        <w:rPr>
          <w:highlight w:val="green"/>
          <w:u w:val="single"/>
        </w:rPr>
        <w:t xml:space="preserve">insurance </w:t>
      </w:r>
      <w:r w:rsidRPr="00DD2D90">
        <w:rPr>
          <w:u w:val="single"/>
        </w:rPr>
        <w:t xml:space="preserve">plans </w:t>
      </w:r>
      <w:r w:rsidRPr="00DD2D90">
        <w:rPr>
          <w:highlight w:val="green"/>
          <w:u w:val="single"/>
        </w:rPr>
        <w:t xml:space="preserve">are set to </w:t>
      </w:r>
      <w:r w:rsidRPr="00DD2D90">
        <w:rPr>
          <w:rStyle w:val="Emphasis"/>
          <w:highlight w:val="green"/>
        </w:rPr>
        <w:t>skyrocket</w:t>
      </w:r>
      <w:r w:rsidRPr="00DD2D90">
        <w:rPr>
          <w:highlight w:val="green"/>
          <w:u w:val="single"/>
        </w:rPr>
        <w:t xml:space="preserve"> next year, in a country where health care is already the </w:t>
      </w:r>
      <w:r w:rsidRPr="00DD2D90">
        <w:rPr>
          <w:rStyle w:val="Emphasis"/>
          <w:highlight w:val="green"/>
        </w:rPr>
        <w:t>most expensive</w:t>
      </w:r>
      <w:r w:rsidRPr="00DD2D90">
        <w:rPr>
          <w:highlight w:val="green"/>
          <w:u w:val="single"/>
        </w:rPr>
        <w:t xml:space="preserve"> in the developed world.  </w:t>
      </w:r>
      <w:r w:rsidRPr="009278EB">
        <w:rPr>
          <w:sz w:val="16"/>
        </w:rPr>
        <w:t xml:space="preserve">Yet even as costs surge, the companies and the investors who profit from this business are also struggling financially. Shares in UnitedHealth Group, the giant conglomerate that owns UnitedHealthcare and that plays a key role in the larger stock market, have plunged 44% from a year earlier. (It was even worse before a rally in UnitedHealth shares on Wednesday.)  "UnitedHealth's reputation in the investment community, before December 4 last year, was [as] a safe place to put your money. And that basically got all blown up," says Julie Utterback, a senior equity analyst who covers health care companies for Morningstar.  Then, on Dec. 4, 2024, UnitedHealthcare CEO Brian Thompson was shot on a Manhattan street on his way to an investor event. The shocking act of violence sparked a widespread consumer outcry over U.S. health care costs and denied claims, and plunged UnitedHealth Group into a public relations disaster.  But that was only the start of the business woes for the company and its entire industry — which are facing regulatory scrutiny, tightening margins, and investor skepticism. Many of UnitedHealth's top competitors have also seen their shares suffer in the past year, at a time when the stock market in general has been hitting tech-driven record highs. The S&amp;P 500's healthcare index has lagged the larger market. And some Wall Street analysts are bracing for another rocky year in the business of health care.  "Near term, there's a lot more volatility to come," says Michael Ha, a senior equity research analyst who covers health care companies for investment bank Baird.  Dec. 4 started to reveal the depth of U.S. health care problems This wide-ranging crisis for both consumers and businesses underlines the brokenness of the U.S. health care system: When neither the people it's supposed to serve nor the people making money from it are happy, does it work at all?  "We're really at an inflection point," says Katherine Hempstead, a senior policy officer at the Robert Wood Johnson Foundation and the author of a book about the insurance industry.  "Every segment of the health insurance business right now is stressed," she adds.  These stresses became brutally visible a year ago — and persist today. Luigi Mangione, the 27-year-old suspect in Thompson's killing, was in court this week for hearings ahead of his trial.  But the crisis in U.S. health care is much bigger than his case. Here are three main ways it's playing out this year, from Main Street to Wall Street.  </w:t>
      </w:r>
      <w:r w:rsidRPr="00DD2D90">
        <w:rPr>
          <w:rStyle w:val="StyleUnderline"/>
        </w:rPr>
        <w:t>Prices are going up</w:t>
      </w:r>
      <w:r w:rsidRPr="009278EB">
        <w:rPr>
          <w:sz w:val="16"/>
        </w:rPr>
        <w:t xml:space="preserve"> — and </w:t>
      </w:r>
      <w:r w:rsidRPr="00DD2D90">
        <w:rPr>
          <w:highlight w:val="green"/>
          <w:u w:val="single"/>
        </w:rPr>
        <w:t xml:space="preserve">people are </w:t>
      </w:r>
      <w:r w:rsidRPr="00DD2D90">
        <w:rPr>
          <w:u w:val="single"/>
        </w:rPr>
        <w:t xml:space="preserve">getting ready </w:t>
      </w:r>
      <w:r w:rsidRPr="00DD2D90">
        <w:rPr>
          <w:highlight w:val="green"/>
          <w:u w:val="single"/>
        </w:rPr>
        <w:t xml:space="preserve">to go without </w:t>
      </w:r>
      <w:r w:rsidRPr="00DD2D90">
        <w:rPr>
          <w:u w:val="single"/>
        </w:rPr>
        <w:t xml:space="preserve">medical </w:t>
      </w:r>
      <w:r w:rsidRPr="00DD2D90">
        <w:rPr>
          <w:highlight w:val="green"/>
          <w:u w:val="single"/>
        </w:rPr>
        <w:t>care</w:t>
      </w:r>
      <w:r w:rsidRPr="00DD2D90">
        <w:rPr>
          <w:u w:val="single"/>
        </w:rPr>
        <w:t xml:space="preserve"> </w:t>
      </w:r>
      <w:r w:rsidRPr="00DD2D90">
        <w:rPr>
          <w:rStyle w:val="Emphasis"/>
        </w:rPr>
        <w:t>No matter how</w:t>
      </w:r>
      <w:r w:rsidRPr="00DD2D90">
        <w:rPr>
          <w:u w:val="single"/>
        </w:rPr>
        <w:t xml:space="preserve"> you get your health insurance, it will likely cost more next year.  </w:t>
      </w:r>
      <w:r w:rsidRPr="009278EB">
        <w:rPr>
          <w:sz w:val="16"/>
        </w:rPr>
        <w:t xml:space="preserve">For the roughly 24 million people who get their insurance through the government's health care exchanges, </w:t>
      </w:r>
      <w:r w:rsidRPr="00DD2D90">
        <w:rPr>
          <w:highlight w:val="green"/>
          <w:u w:val="single"/>
        </w:rPr>
        <w:t>A</w:t>
      </w:r>
      <w:r w:rsidRPr="00DD2D90">
        <w:rPr>
          <w:u w:val="single"/>
        </w:rPr>
        <w:t xml:space="preserve">ffordable </w:t>
      </w:r>
      <w:r w:rsidRPr="00DD2D90">
        <w:rPr>
          <w:highlight w:val="green"/>
          <w:u w:val="single"/>
        </w:rPr>
        <w:t>C</w:t>
      </w:r>
      <w:r w:rsidRPr="00DD2D90">
        <w:rPr>
          <w:u w:val="single"/>
        </w:rPr>
        <w:t xml:space="preserve">are </w:t>
      </w:r>
      <w:r w:rsidRPr="00DD2D90">
        <w:rPr>
          <w:highlight w:val="green"/>
          <w:u w:val="single"/>
        </w:rPr>
        <w:t>A</w:t>
      </w:r>
      <w:r w:rsidRPr="00DD2D90">
        <w:rPr>
          <w:u w:val="single"/>
        </w:rPr>
        <w:t xml:space="preserve">ct </w:t>
      </w:r>
      <w:r w:rsidRPr="00DD2D90">
        <w:rPr>
          <w:highlight w:val="green"/>
          <w:u w:val="single"/>
        </w:rPr>
        <w:t xml:space="preserve">subsidies are set to </w:t>
      </w:r>
      <w:r w:rsidRPr="00DD2D90">
        <w:rPr>
          <w:rStyle w:val="Emphasis"/>
          <w:highlight w:val="green"/>
        </w:rPr>
        <w:t>expire</w:t>
      </w:r>
      <w:r w:rsidRPr="00DD2D90">
        <w:rPr>
          <w:highlight w:val="green"/>
          <w:u w:val="single"/>
        </w:rPr>
        <w:t xml:space="preserve"> at the end of the year</w:t>
      </w:r>
      <w:r w:rsidRPr="009278EB">
        <w:rPr>
          <w:sz w:val="16"/>
        </w:rPr>
        <w:t xml:space="preserve"> — </w:t>
      </w:r>
      <w:r w:rsidRPr="00DD2D90">
        <w:rPr>
          <w:highlight w:val="green"/>
          <w:u w:val="single"/>
        </w:rPr>
        <w:t xml:space="preserve">sending premiums </w:t>
      </w:r>
      <w:r w:rsidRPr="00DD2D90">
        <w:rPr>
          <w:rStyle w:val="Emphasis"/>
          <w:highlight w:val="green"/>
        </w:rPr>
        <w:t>soaring</w:t>
      </w:r>
      <w:r w:rsidRPr="009278EB">
        <w:rPr>
          <w:sz w:val="16"/>
        </w:rPr>
        <w:t xml:space="preserve">. </w:t>
      </w:r>
      <w:r w:rsidRPr="00DD2D90">
        <w:rPr>
          <w:rStyle w:val="StyleUnderline"/>
        </w:rPr>
        <w:t xml:space="preserve">Another 154 million people are insured through their employers — and premiums for those plans are also set to </w:t>
      </w:r>
      <w:r w:rsidRPr="00DD2D90">
        <w:rPr>
          <w:rStyle w:val="Emphasis"/>
        </w:rPr>
        <w:t>skyrocket</w:t>
      </w:r>
      <w:r w:rsidRPr="009278EB">
        <w:rPr>
          <w:sz w:val="16"/>
        </w:rPr>
        <w:t xml:space="preserve">.  Costs are increasing for several reasons: Drug companies have developed more effective cancer treatments and weight-loss drugs, which they can charge more for. More people are going back to the doctor after the pandemic kept them away, which is creating more demand and allowing providers and hospitals to increase prices. And some </w:t>
      </w:r>
      <w:r w:rsidRPr="00DD2D90">
        <w:rPr>
          <w:rStyle w:val="StyleUnderline"/>
        </w:rPr>
        <w:t xml:space="preserve">hospitals, doctors' offices, insurance companies and other </w:t>
      </w:r>
      <w:r w:rsidRPr="00DD2D90">
        <w:rPr>
          <w:rStyle w:val="StyleUnderline"/>
          <w:highlight w:val="green"/>
        </w:rPr>
        <w:t>businesses within</w:t>
      </w:r>
      <w:r w:rsidRPr="00DD2D90">
        <w:rPr>
          <w:rStyle w:val="StyleUnderline"/>
        </w:rPr>
        <w:t xml:space="preserve"> the </w:t>
      </w:r>
      <w:r w:rsidRPr="00DD2D90">
        <w:rPr>
          <w:rStyle w:val="StyleUnderline"/>
          <w:highlight w:val="green"/>
        </w:rPr>
        <w:t>health care</w:t>
      </w:r>
      <w:r w:rsidRPr="00DD2D90">
        <w:rPr>
          <w:rStyle w:val="StyleUnderline"/>
        </w:rPr>
        <w:t xml:space="preserve"> system have </w:t>
      </w:r>
      <w:r w:rsidRPr="00DD2D90">
        <w:rPr>
          <w:rStyle w:val="StyleUnderline"/>
          <w:highlight w:val="green"/>
        </w:rPr>
        <w:t>merged or</w:t>
      </w:r>
      <w:r w:rsidRPr="00DD2D90">
        <w:rPr>
          <w:rStyle w:val="StyleUnderline"/>
        </w:rPr>
        <w:t xml:space="preserve"> </w:t>
      </w:r>
      <w:r w:rsidRPr="00DD2D90">
        <w:rPr>
          <w:rStyle w:val="StyleUnderline"/>
          <w:highlight w:val="green"/>
        </w:rPr>
        <w:t>consolidated</w:t>
      </w:r>
      <w:r w:rsidRPr="009278EB">
        <w:rPr>
          <w:sz w:val="16"/>
        </w:rPr>
        <w:t xml:space="preserve">, often </w:t>
      </w:r>
      <w:r w:rsidRPr="00DD2D90">
        <w:rPr>
          <w:rStyle w:val="StyleUnderline"/>
          <w:highlight w:val="green"/>
        </w:rPr>
        <w:t>allowing</w:t>
      </w:r>
      <w:r w:rsidRPr="009278EB">
        <w:rPr>
          <w:sz w:val="16"/>
        </w:rPr>
        <w:t xml:space="preserve"> the remaining </w:t>
      </w:r>
      <w:r w:rsidRPr="00DD2D90">
        <w:rPr>
          <w:rStyle w:val="StyleUnderline"/>
          <w:highlight w:val="green"/>
        </w:rPr>
        <w:t>businesses to raise prices</w:t>
      </w:r>
      <w:r w:rsidRPr="009278EB">
        <w:rPr>
          <w:sz w:val="16"/>
        </w:rPr>
        <w:t xml:space="preserve"> for their services.  The end result is that </w:t>
      </w:r>
      <w:r w:rsidRPr="00DD2D90">
        <w:rPr>
          <w:u w:val="single"/>
        </w:rPr>
        <w:t xml:space="preserve">nearly </w:t>
      </w:r>
      <w:r w:rsidRPr="00DD2D90">
        <w:rPr>
          <w:rStyle w:val="Emphasis"/>
          <w:highlight w:val="green"/>
        </w:rPr>
        <w:t>half</w:t>
      </w:r>
      <w:r w:rsidRPr="00DD2D90">
        <w:rPr>
          <w:highlight w:val="green"/>
          <w:u w:val="single"/>
        </w:rPr>
        <w:t xml:space="preserve"> of U.S. adults</w:t>
      </w:r>
      <w:r w:rsidRPr="00DD2D90">
        <w:rPr>
          <w:u w:val="single"/>
        </w:rPr>
        <w:t xml:space="preserve"> expect</w:t>
      </w:r>
      <w:r w:rsidRPr="009278EB">
        <w:rPr>
          <w:sz w:val="16"/>
        </w:rPr>
        <w:t xml:space="preserve"> they </w:t>
      </w:r>
      <w:r w:rsidRPr="00DD2D90">
        <w:rPr>
          <w:highlight w:val="green"/>
          <w:u w:val="single"/>
        </w:rPr>
        <w:t>won't be able to afford</w:t>
      </w:r>
      <w:r w:rsidRPr="009278EB">
        <w:rPr>
          <w:sz w:val="16"/>
        </w:rPr>
        <w:t xml:space="preserve"> </w:t>
      </w:r>
      <w:r w:rsidRPr="00DD2D90">
        <w:rPr>
          <w:u w:val="single"/>
        </w:rPr>
        <w:t>necessary</w:t>
      </w:r>
      <w:r w:rsidRPr="009278EB">
        <w:rPr>
          <w:sz w:val="16"/>
        </w:rPr>
        <w:t xml:space="preserve"> </w:t>
      </w:r>
      <w:r w:rsidRPr="00DD2D90">
        <w:rPr>
          <w:highlight w:val="green"/>
          <w:u w:val="single"/>
        </w:rPr>
        <w:t xml:space="preserve">health care </w:t>
      </w:r>
      <w:r w:rsidRPr="00DD2D90">
        <w:rPr>
          <w:u w:val="single"/>
        </w:rPr>
        <w:t>next year</w:t>
      </w:r>
      <w:r w:rsidRPr="009278EB">
        <w:rPr>
          <w:sz w:val="16"/>
        </w:rPr>
        <w:t xml:space="preserve">, according to a Gallup poll published last month.  Jennifer Blazis and her family are among them. </w:t>
      </w:r>
    </w:p>
    <w:p w14:paraId="633570C7" w14:textId="77777777" w:rsidR="00EA6776" w:rsidRPr="009278EB" w:rsidRDefault="00EA6776">
      <w:pPr>
        <w:rPr>
          <w:rFonts w:eastAsiaTheme="majorEastAsia" w:cstheme="majorBidi"/>
          <w:b/>
          <w:iCs/>
          <w:sz w:val="16"/>
        </w:rPr>
      </w:pPr>
      <w:r w:rsidRPr="009278EB">
        <w:rPr>
          <w:sz w:val="16"/>
        </w:rPr>
        <w:br w:type="page"/>
      </w:r>
    </w:p>
    <w:p w14:paraId="240B829D" w14:textId="6A7D47B9" w:rsidR="00EB171F" w:rsidRPr="009278EB" w:rsidRDefault="00EB171F" w:rsidP="00EB171F">
      <w:pPr>
        <w:pStyle w:val="Heading4"/>
        <w:rPr>
          <w:szCs w:val="26"/>
        </w:rPr>
      </w:pPr>
      <w:r w:rsidRPr="009278EB">
        <w:rPr>
          <w:szCs w:val="26"/>
        </w:rPr>
        <w:t>TrumpRx fails to reduce drug costs</w:t>
      </w:r>
    </w:p>
    <w:p w14:paraId="689E8824" w14:textId="33C07A97" w:rsidR="00EB171F" w:rsidRPr="00DD2D90" w:rsidRDefault="00A057A0" w:rsidP="00EB171F">
      <w:r w:rsidRPr="009278EB">
        <w:rPr>
          <w:b/>
          <w:bCs/>
          <w:sz w:val="26"/>
          <w:szCs w:val="26"/>
        </w:rPr>
        <w:t xml:space="preserve">Reed </w:t>
      </w:r>
      <w:r w:rsidR="00254032" w:rsidRPr="009278EB">
        <w:rPr>
          <w:b/>
          <w:bCs/>
          <w:sz w:val="26"/>
          <w:szCs w:val="26"/>
        </w:rPr>
        <w:t>26</w:t>
      </w:r>
      <w:r w:rsidR="00254032" w:rsidRPr="00DD2D90">
        <w:t xml:space="preserve"> [</w:t>
      </w:r>
      <w:r w:rsidR="00EB171F" w:rsidRPr="00DD2D90">
        <w:t xml:space="preserve">Brad Reed, staff writer for Common Dreams, </w:t>
      </w:r>
      <w:r w:rsidR="003B3BC4" w:rsidRPr="00DD2D90">
        <w:t>03-23-2026</w:t>
      </w:r>
      <w:r w:rsidR="00EB171F" w:rsidRPr="00DD2D90">
        <w:t>, "As TrumpRx Scam Does Virtually Nothing, Big Pharma Jacks Up Prices on Cancer Drugs", Common Dreams, https://www.commondreams.org/news/pharma-cancer-drugs-price-2676579218]/Kankee</w:t>
      </w:r>
    </w:p>
    <w:p w14:paraId="24D9B561" w14:textId="77777777" w:rsidR="00EB171F" w:rsidRPr="009278EB" w:rsidRDefault="00EB171F" w:rsidP="007A1F19">
      <w:pPr>
        <w:rPr>
          <w:sz w:val="16"/>
        </w:rPr>
      </w:pPr>
      <w:r w:rsidRPr="009278EB">
        <w:rPr>
          <w:sz w:val="16"/>
        </w:rPr>
        <w:t xml:space="preserve">A report released Monday found that </w:t>
      </w:r>
      <w:r w:rsidRPr="00DD2D90">
        <w:rPr>
          <w:rStyle w:val="StyleUnderline"/>
          <w:highlight w:val="green"/>
        </w:rPr>
        <w:t>Big Pharma</w:t>
      </w:r>
      <w:r w:rsidRPr="009278EB">
        <w:rPr>
          <w:sz w:val="16"/>
        </w:rPr>
        <w:t xml:space="preserve"> has </w:t>
      </w:r>
      <w:r w:rsidRPr="00DD2D90">
        <w:rPr>
          <w:rStyle w:val="StyleUnderline"/>
          <w:highlight w:val="green"/>
        </w:rPr>
        <w:t>continued raising prices</w:t>
      </w:r>
      <w:r w:rsidRPr="00DD2D90">
        <w:rPr>
          <w:rStyle w:val="StyleUnderline"/>
        </w:rPr>
        <w:t xml:space="preserve"> on dozens of cancer</w:t>
      </w:r>
      <w:r w:rsidRPr="009278EB">
        <w:rPr>
          <w:sz w:val="16"/>
        </w:rPr>
        <w:t xml:space="preserve"> </w:t>
      </w:r>
      <w:r w:rsidRPr="00DD2D90">
        <w:rPr>
          <w:rStyle w:val="StyleUnderline"/>
        </w:rPr>
        <w:t>drugs</w:t>
      </w:r>
      <w:r w:rsidRPr="009278EB">
        <w:rPr>
          <w:sz w:val="16"/>
        </w:rPr>
        <w:t xml:space="preserve">, </w:t>
      </w:r>
      <w:r w:rsidRPr="00DD2D90">
        <w:rPr>
          <w:rStyle w:val="StyleUnderline"/>
          <w:highlight w:val="green"/>
        </w:rPr>
        <w:t>despite</w:t>
      </w:r>
      <w:r w:rsidRPr="009278EB">
        <w:rPr>
          <w:sz w:val="16"/>
        </w:rPr>
        <w:t xml:space="preserve"> President Donald </w:t>
      </w:r>
      <w:r w:rsidRPr="00DD2D90">
        <w:rPr>
          <w:rStyle w:val="StyleUnderline"/>
          <w:highlight w:val="green"/>
        </w:rPr>
        <w:t>Trump</w:t>
      </w:r>
      <w:r w:rsidRPr="00DD2D90">
        <w:rPr>
          <w:rStyle w:val="StyleUnderline"/>
        </w:rPr>
        <w:t>’s repeated false claims</w:t>
      </w:r>
      <w:r w:rsidRPr="009278EB">
        <w:rPr>
          <w:sz w:val="16"/>
        </w:rPr>
        <w:t xml:space="preserve"> that he and </w:t>
      </w:r>
      <w:r w:rsidRPr="00DD2D90">
        <w:rPr>
          <w:rStyle w:val="StyleUnderline"/>
        </w:rPr>
        <w:t>his administration</w:t>
      </w:r>
      <w:r w:rsidRPr="009278EB">
        <w:rPr>
          <w:sz w:val="16"/>
        </w:rPr>
        <w:t xml:space="preserve"> have </w:t>
      </w:r>
      <w:r w:rsidRPr="00DD2D90">
        <w:rPr>
          <w:rStyle w:val="StyleUnderline"/>
        </w:rPr>
        <w:t>slashed drug prices</w:t>
      </w:r>
      <w:r w:rsidRPr="009278EB">
        <w:rPr>
          <w:sz w:val="16"/>
        </w:rPr>
        <w:t xml:space="preserve"> </w:t>
      </w:r>
      <w:r w:rsidRPr="00DD2D90">
        <w:rPr>
          <w:rStyle w:val="StyleUnderline"/>
        </w:rPr>
        <w:t>by a</w:t>
      </w:r>
      <w:r w:rsidRPr="009278EB">
        <w:rPr>
          <w:sz w:val="16"/>
        </w:rPr>
        <w:t xml:space="preserve"> </w:t>
      </w:r>
      <w:r w:rsidRPr="00DD2D90">
        <w:rPr>
          <w:rStyle w:val="StyleUnderline"/>
        </w:rPr>
        <w:t xml:space="preserve">mathematically </w:t>
      </w:r>
      <w:r w:rsidRPr="00DD2D90">
        <w:rPr>
          <w:rStyle w:val="Emphasis"/>
        </w:rPr>
        <w:t>impossible</w:t>
      </w:r>
      <w:r w:rsidRPr="009278EB">
        <w:rPr>
          <w:sz w:val="16"/>
        </w:rPr>
        <w:t xml:space="preserve"> </w:t>
      </w:r>
      <w:r w:rsidRPr="00DD2D90">
        <w:rPr>
          <w:rStyle w:val="StyleUnderline"/>
        </w:rPr>
        <w:t xml:space="preserve">600%. </w:t>
      </w:r>
      <w:r w:rsidRPr="009278EB">
        <w:rPr>
          <w:sz w:val="16"/>
        </w:rPr>
        <w:t xml:space="preserve">The analysis, conducted by Patients for Affordable Drugs, found that </w:t>
      </w:r>
      <w:r w:rsidRPr="00DD2D90">
        <w:rPr>
          <w:rStyle w:val="StyleUnderline"/>
        </w:rPr>
        <w:t>pharmaceutical companies increased prices on 64 oncology drugs in</w:t>
      </w:r>
      <w:r w:rsidRPr="009278EB">
        <w:rPr>
          <w:sz w:val="16"/>
        </w:rPr>
        <w:t xml:space="preserve"> the first weeks of </w:t>
      </w:r>
      <w:r w:rsidRPr="00DD2D90">
        <w:rPr>
          <w:rStyle w:val="StyleUnderline"/>
        </w:rPr>
        <w:t>2026</w:t>
      </w:r>
      <w:r w:rsidRPr="009278EB">
        <w:rPr>
          <w:sz w:val="16"/>
        </w:rPr>
        <w:t>, with the vast majority of price hikes coming in above the rate of inflation. Patients for Affordable Drugs noted the heavy financial toll that paying for treatments takes on US cancer patients, and said the latest price increases would only exacerbate the crisis. “</w:t>
      </w:r>
      <w:r w:rsidRPr="00DD2D90">
        <w:rPr>
          <w:rStyle w:val="StyleUnderline"/>
        </w:rPr>
        <w:t xml:space="preserve">Cancer drugs are among the most expensive drugs on the market, costing </w:t>
      </w:r>
      <w:r w:rsidRPr="00DD2D90">
        <w:rPr>
          <w:rStyle w:val="Emphasis"/>
        </w:rPr>
        <w:t>$74,000</w:t>
      </w:r>
      <w:r w:rsidRPr="00DD2D90">
        <w:rPr>
          <w:rStyle w:val="StyleUnderline"/>
        </w:rPr>
        <w:t xml:space="preserve"> more on average than non-cancer drugs</w:t>
      </w:r>
      <w:r w:rsidRPr="009278EB">
        <w:rPr>
          <w:sz w:val="16"/>
        </w:rPr>
        <w:t xml:space="preserve">,” the group explained. “More than </w:t>
      </w:r>
      <w:r w:rsidRPr="00DD2D90">
        <w:rPr>
          <w:rStyle w:val="Emphasis"/>
        </w:rPr>
        <w:t>42%</w:t>
      </w:r>
      <w:r w:rsidRPr="009278EB">
        <w:rPr>
          <w:sz w:val="16"/>
        </w:rPr>
        <w:t xml:space="preserve"> </w:t>
      </w:r>
      <w:r w:rsidRPr="00DD2D90">
        <w:rPr>
          <w:rStyle w:val="StyleUnderline"/>
        </w:rPr>
        <w:t xml:space="preserve">of cancer patients in the US </w:t>
      </w:r>
      <w:r w:rsidRPr="00DD2D90">
        <w:rPr>
          <w:rStyle w:val="Emphasis"/>
        </w:rPr>
        <w:t>fully depleted</w:t>
      </w:r>
      <w:r w:rsidRPr="00DD2D90">
        <w:rPr>
          <w:rStyle w:val="StyleUnderline"/>
        </w:rPr>
        <w:t xml:space="preserve"> their savings within two years of diagnosis to cover their care</w:t>
      </w:r>
      <w:r w:rsidRPr="009278EB">
        <w:rPr>
          <w:sz w:val="16"/>
        </w:rPr>
        <w:t xml:space="preserve">. More than </w:t>
      </w:r>
      <w:r w:rsidRPr="00DD2D90">
        <w:rPr>
          <w:rStyle w:val="Emphasis"/>
        </w:rPr>
        <w:t>half</w:t>
      </w:r>
      <w:r w:rsidRPr="009278EB">
        <w:rPr>
          <w:sz w:val="16"/>
        </w:rPr>
        <w:t xml:space="preserve"> </w:t>
      </w:r>
      <w:r w:rsidRPr="00DD2D90">
        <w:rPr>
          <w:rStyle w:val="StyleUnderline"/>
        </w:rPr>
        <w:t>of Americans with cancer go into debt because of the cost of their</w:t>
      </w:r>
      <w:r w:rsidRPr="009278EB">
        <w:rPr>
          <w:sz w:val="16"/>
        </w:rPr>
        <w:t xml:space="preserve"> </w:t>
      </w:r>
      <w:r w:rsidRPr="00DD2D90">
        <w:rPr>
          <w:rStyle w:val="StyleUnderline"/>
        </w:rPr>
        <w:t>care</w:t>
      </w:r>
      <w:r w:rsidRPr="009278EB">
        <w:rPr>
          <w:sz w:val="16"/>
        </w:rPr>
        <w:t xml:space="preserve">.” Making matters worse, the group added, is that Big </w:t>
      </w:r>
      <w:r w:rsidRPr="00DD2D90">
        <w:rPr>
          <w:rStyle w:val="StyleUnderline"/>
        </w:rPr>
        <w:t>Pharma is heavily lobbying Congress to pass legislation that would further delay</w:t>
      </w:r>
      <w:r w:rsidRPr="009278EB">
        <w:rPr>
          <w:sz w:val="16"/>
        </w:rPr>
        <w:t xml:space="preserve"> small molecule drugs, including “widely used, </w:t>
      </w:r>
      <w:r w:rsidRPr="00DD2D90">
        <w:rPr>
          <w:rStyle w:val="StyleUnderline"/>
        </w:rPr>
        <w:t>high-cost cancer treatments</w:t>
      </w:r>
      <w:r w:rsidRPr="009278EB">
        <w:rPr>
          <w:sz w:val="16"/>
        </w:rPr>
        <w:t xml:space="preserve">,” </w:t>
      </w:r>
      <w:r w:rsidRPr="00DD2D90">
        <w:rPr>
          <w:rStyle w:val="StyleUnderline"/>
        </w:rPr>
        <w:t>from becoming eligible for Medicare price negotiations</w:t>
      </w:r>
      <w:r w:rsidRPr="009278EB">
        <w:rPr>
          <w:sz w:val="16"/>
        </w:rPr>
        <w:t xml:space="preserve">. Merith Basey, CEO of Patients for Affordable Drugs, stressed that the latest price increases were unacceptable given that “cancer is a leading cause of death among American seniors, and the treatments patients rely on are already among the most expensive.” “Yet </w:t>
      </w:r>
      <w:r w:rsidRPr="00DD2D90">
        <w:rPr>
          <w:rStyle w:val="StyleUnderline"/>
        </w:rPr>
        <w:t xml:space="preserve">as they continue to hike prices, the </w:t>
      </w:r>
      <w:r w:rsidRPr="00DD2D90">
        <w:rPr>
          <w:rStyle w:val="StyleUnderline"/>
          <w:highlight w:val="green"/>
        </w:rPr>
        <w:t>pharma</w:t>
      </w:r>
      <w:r w:rsidRPr="00DD2D90">
        <w:rPr>
          <w:rStyle w:val="StyleUnderline"/>
        </w:rPr>
        <w:t xml:space="preserve">ceutical industry </w:t>
      </w:r>
      <w:r w:rsidRPr="00DD2D90">
        <w:rPr>
          <w:rStyle w:val="StyleUnderline"/>
          <w:highlight w:val="green"/>
        </w:rPr>
        <w:t>is</w:t>
      </w:r>
      <w:r w:rsidRPr="00DD2D90">
        <w:rPr>
          <w:rStyle w:val="StyleUnderline"/>
        </w:rPr>
        <w:t xml:space="preserve"> also </w:t>
      </w:r>
      <w:r w:rsidRPr="00DD2D90">
        <w:rPr>
          <w:rStyle w:val="StyleUnderline"/>
          <w:highlight w:val="green"/>
        </w:rPr>
        <w:t>working overtime to block reforms</w:t>
      </w:r>
      <w:r w:rsidRPr="00DD2D90">
        <w:rPr>
          <w:rStyle w:val="StyleUnderline"/>
        </w:rPr>
        <w:t xml:space="preserve"> that would lower them</w:t>
      </w:r>
      <w:r w:rsidRPr="009278EB">
        <w:rPr>
          <w:sz w:val="16"/>
        </w:rPr>
        <w:t xml:space="preserve">,” added Basey, “and patients are paying the price.” While the Patients for Affordable Drugs report focuses on cancer drugs, a December report from Reuters found that at least </w:t>
      </w:r>
      <w:r w:rsidRPr="00DD2D90">
        <w:rPr>
          <w:rStyle w:val="Emphasis"/>
          <w:highlight w:val="green"/>
        </w:rPr>
        <w:t>350</w:t>
      </w:r>
      <w:r w:rsidRPr="00DD2D90">
        <w:rPr>
          <w:rStyle w:val="StyleUnderline"/>
        </w:rPr>
        <w:t xml:space="preserve"> </w:t>
      </w:r>
      <w:r w:rsidRPr="009278EB">
        <w:rPr>
          <w:sz w:val="16"/>
        </w:rPr>
        <w:t>branded</w:t>
      </w:r>
      <w:r w:rsidRPr="00DD2D90">
        <w:rPr>
          <w:rStyle w:val="StyleUnderline"/>
        </w:rPr>
        <w:t xml:space="preserve"> </w:t>
      </w:r>
      <w:r w:rsidRPr="00DD2D90">
        <w:rPr>
          <w:rStyle w:val="Emphasis"/>
          <w:highlight w:val="green"/>
        </w:rPr>
        <w:t>medications</w:t>
      </w:r>
      <w:r w:rsidRPr="00DD2D90">
        <w:rPr>
          <w:rStyle w:val="StyleUnderline"/>
          <w:highlight w:val="green"/>
        </w:rPr>
        <w:t xml:space="preserve"> are set for price hikes in 2026</w:t>
      </w:r>
      <w:r w:rsidRPr="00DD2D90">
        <w:rPr>
          <w:rStyle w:val="StyleUnderline"/>
        </w:rPr>
        <w:t>, including “vaccines against Covid</w:t>
      </w:r>
      <w:r w:rsidRPr="009278EB">
        <w:rPr>
          <w:sz w:val="16"/>
        </w:rPr>
        <w:t xml:space="preserve">, RSV, and shingles,” as well as the “blockbuster cancer treatment Ibrance.” </w:t>
      </w:r>
      <w:r w:rsidRPr="00DD2D90">
        <w:rPr>
          <w:rStyle w:val="StyleUnderline"/>
        </w:rPr>
        <w:t xml:space="preserve">The total projected number of drugs seeing price increases in 2026 is </w:t>
      </w:r>
      <w:r w:rsidRPr="00DD2D90">
        <w:rPr>
          <w:rStyle w:val="Emphasis"/>
          <w:highlight w:val="green"/>
        </w:rPr>
        <w:t>significantly</w:t>
      </w:r>
      <w:r w:rsidRPr="00DD2D90">
        <w:rPr>
          <w:rStyle w:val="StyleUnderline"/>
        </w:rPr>
        <w:t xml:space="preserve"> </w:t>
      </w:r>
      <w:r w:rsidRPr="00DD2D90">
        <w:rPr>
          <w:rStyle w:val="StyleUnderline"/>
          <w:highlight w:val="green"/>
        </w:rPr>
        <w:t>higher than in 2025</w:t>
      </w:r>
      <w:r w:rsidRPr="009278EB">
        <w:rPr>
          <w:sz w:val="16"/>
        </w:rPr>
        <w:t xml:space="preserve">, when 3 Axis Advisors estimated that </w:t>
      </w:r>
      <w:r w:rsidRPr="00DD2D90">
        <w:rPr>
          <w:rStyle w:val="StyleUnderline"/>
        </w:rPr>
        <w:t xml:space="preserve">pharmaceutical companies raised prices on </w:t>
      </w:r>
      <w:r w:rsidRPr="00DD2D90">
        <w:rPr>
          <w:rStyle w:val="Emphasis"/>
        </w:rPr>
        <w:t>250 medications</w:t>
      </w:r>
      <w:r w:rsidRPr="009278EB">
        <w:rPr>
          <w:sz w:val="16"/>
        </w:rPr>
        <w:t xml:space="preserve">. The median price increase for drugs in 2026 is projected at 4%, roughly the same as in 2025. All of these </w:t>
      </w:r>
      <w:r w:rsidRPr="00DD2D90">
        <w:rPr>
          <w:rStyle w:val="StyleUnderline"/>
        </w:rPr>
        <w:t>price increases</w:t>
      </w:r>
      <w:r w:rsidRPr="009278EB">
        <w:rPr>
          <w:sz w:val="16"/>
        </w:rPr>
        <w:t xml:space="preserve"> have </w:t>
      </w:r>
      <w:r w:rsidRPr="00DD2D90">
        <w:rPr>
          <w:rStyle w:val="StyleUnderline"/>
        </w:rPr>
        <w:t>come despite Trump’s false</w:t>
      </w:r>
      <w:r w:rsidRPr="009278EB">
        <w:rPr>
          <w:sz w:val="16"/>
        </w:rPr>
        <w:t xml:space="preserve"> </w:t>
      </w:r>
      <w:r w:rsidRPr="00DD2D90">
        <w:rPr>
          <w:rStyle w:val="StyleUnderline"/>
        </w:rPr>
        <w:t>claims</w:t>
      </w:r>
      <w:r w:rsidRPr="009278EB">
        <w:rPr>
          <w:sz w:val="16"/>
        </w:rPr>
        <w:t xml:space="preserve"> that </w:t>
      </w:r>
      <w:r w:rsidRPr="00DD2D90">
        <w:rPr>
          <w:rStyle w:val="StyleUnderline"/>
        </w:rPr>
        <w:t>he</w:t>
      </w:r>
      <w:r w:rsidRPr="009278EB">
        <w:rPr>
          <w:sz w:val="16"/>
        </w:rPr>
        <w:t xml:space="preserve"> has </w:t>
      </w:r>
      <w:r w:rsidRPr="00DD2D90">
        <w:rPr>
          <w:rStyle w:val="StyleUnderline"/>
        </w:rPr>
        <w:t>lowered the prices of drugs</w:t>
      </w:r>
      <w:r w:rsidRPr="009278EB">
        <w:rPr>
          <w:sz w:val="16"/>
        </w:rPr>
        <w:t xml:space="preserve"> to the point where pharmaceutical companies would actually be paying patients to take them. An analysis released last week by the Center for American Progress (CAP) found that the president’s </w:t>
      </w:r>
      <w:r w:rsidRPr="00DD2D90">
        <w:rPr>
          <w:rStyle w:val="StyleUnderline"/>
          <w:highlight w:val="green"/>
        </w:rPr>
        <w:t>TrumpRx</w:t>
      </w:r>
      <w:r w:rsidRPr="00DD2D90">
        <w:rPr>
          <w:rStyle w:val="StyleUnderline"/>
        </w:rPr>
        <w:t xml:space="preserve"> initiative</w:t>
      </w:r>
      <w:r w:rsidRPr="009278EB">
        <w:rPr>
          <w:sz w:val="16"/>
        </w:rPr>
        <w:t xml:space="preserve">, which was created to purportedly offer Americans cheaper prescription drugs, offered </w:t>
      </w:r>
      <w:r w:rsidRPr="00DD2D90">
        <w:rPr>
          <w:rStyle w:val="StyleUnderline"/>
        </w:rPr>
        <w:t xml:space="preserve">genuinely </w:t>
      </w:r>
      <w:r w:rsidRPr="00DD2D90">
        <w:rPr>
          <w:rStyle w:val="StyleUnderline"/>
          <w:highlight w:val="green"/>
        </w:rPr>
        <w:t>lower prices on</w:t>
      </w:r>
      <w:r w:rsidRPr="009278EB">
        <w:rPr>
          <w:sz w:val="16"/>
        </w:rPr>
        <w:t xml:space="preserve"> “exactly </w:t>
      </w:r>
      <w:r w:rsidRPr="00DD2D90">
        <w:rPr>
          <w:rStyle w:val="Emphasis"/>
          <w:highlight w:val="green"/>
        </w:rPr>
        <w:t>one</w:t>
      </w:r>
      <w:r w:rsidRPr="009278EB">
        <w:rPr>
          <w:sz w:val="16"/>
        </w:rPr>
        <w:t xml:space="preserve">” </w:t>
      </w:r>
      <w:r w:rsidRPr="00DD2D90">
        <w:rPr>
          <w:rStyle w:val="StyleUnderline"/>
          <w:highlight w:val="green"/>
        </w:rPr>
        <w:t>of</w:t>
      </w:r>
      <w:r w:rsidRPr="00DD2D90">
        <w:rPr>
          <w:rStyle w:val="StyleUnderline"/>
        </w:rPr>
        <w:t xml:space="preserve"> the </w:t>
      </w:r>
      <w:r w:rsidRPr="00DD2D90">
        <w:rPr>
          <w:rStyle w:val="StyleUnderline"/>
          <w:highlight w:val="green"/>
        </w:rPr>
        <w:t>54 medications</w:t>
      </w:r>
      <w:r w:rsidRPr="00DD2D90">
        <w:rPr>
          <w:rStyle w:val="StyleUnderline"/>
        </w:rPr>
        <w:t xml:space="preserve"> listed on its website</w:t>
      </w:r>
      <w:r w:rsidRPr="009278EB">
        <w:rPr>
          <w:sz w:val="16"/>
        </w:rPr>
        <w:t xml:space="preserve">. CAP also found that nearly one-third of the drugs available on the TrumpRx website have generic alternatives that were cheaper than what was being offered, and that the website made no mention of this. </w:t>
      </w:r>
    </w:p>
    <w:p w14:paraId="38E1A8F6" w14:textId="77777777" w:rsidR="00EA6776" w:rsidRPr="009278EB" w:rsidRDefault="00EA6776">
      <w:pPr>
        <w:rPr>
          <w:rFonts w:eastAsiaTheme="majorEastAsia" w:cstheme="majorBidi"/>
          <w:b/>
          <w:iCs/>
          <w:sz w:val="16"/>
        </w:rPr>
      </w:pPr>
      <w:r w:rsidRPr="009278EB">
        <w:rPr>
          <w:sz w:val="16"/>
        </w:rPr>
        <w:br w:type="page"/>
      </w:r>
    </w:p>
    <w:p w14:paraId="4F101E15" w14:textId="143463B4" w:rsidR="00EB171F" w:rsidRPr="009278EB" w:rsidRDefault="00EB171F" w:rsidP="00EB171F">
      <w:pPr>
        <w:pStyle w:val="Heading4"/>
        <w:rPr>
          <w:szCs w:val="26"/>
        </w:rPr>
      </w:pPr>
      <w:r w:rsidRPr="009278EB">
        <w:rPr>
          <w:szCs w:val="26"/>
        </w:rPr>
        <w:t>Drug costs increasing now – new tariffs</w:t>
      </w:r>
      <w:r w:rsidR="007A1F19" w:rsidRPr="009278EB">
        <w:rPr>
          <w:szCs w:val="26"/>
        </w:rPr>
        <w:t xml:space="preserve"> and Iran</w:t>
      </w:r>
    </w:p>
    <w:p w14:paraId="385EEF49" w14:textId="77777777" w:rsidR="00EB171F" w:rsidRPr="00DD2D90" w:rsidRDefault="00EB171F" w:rsidP="00EB171F">
      <w:r w:rsidRPr="009278EB">
        <w:rPr>
          <w:b/>
          <w:bCs/>
          <w:sz w:val="26"/>
          <w:szCs w:val="26"/>
        </w:rPr>
        <w:t>Lawder and Aboulenein 4-2</w:t>
      </w:r>
      <w:r w:rsidRPr="00DD2D90">
        <w:t xml:space="preserve"> [David Lawder, trade correspondent at Reuters, and Ahmed Aboulenein, Reuters correspondent covering U.S. healthcare, pharmaceutical policy, and HHS, 4-2-2026, "A year after 'Liberation Day,' Trump sets new drug tariffs, adjusts metals duties", Reuters, https://www.reuters.com/world/us/year-after-liberation-day-trump-sets-new-drug-tariffs-adjusts-metals-duties-2026-04-02/]/Kankee</w:t>
      </w:r>
    </w:p>
    <w:p w14:paraId="2D0E8D53" w14:textId="77777777" w:rsidR="00EB171F" w:rsidRPr="009278EB" w:rsidRDefault="00EB171F" w:rsidP="00EB171F">
      <w:pPr>
        <w:rPr>
          <w:sz w:val="16"/>
        </w:rPr>
      </w:pPr>
      <w:r w:rsidRPr="009278EB">
        <w:rPr>
          <w:sz w:val="16"/>
        </w:rPr>
        <w:t xml:space="preserve">U.S. President Donald </w:t>
      </w:r>
      <w:r w:rsidRPr="00DD2D90">
        <w:rPr>
          <w:rStyle w:val="StyleUnderline"/>
          <w:highlight w:val="green"/>
        </w:rPr>
        <w:t>Trump ordered 100% tariffs on</w:t>
      </w:r>
      <w:r w:rsidRPr="009278EB">
        <w:rPr>
          <w:sz w:val="16"/>
        </w:rPr>
        <w:t xml:space="preserve"> certain branded </w:t>
      </w:r>
      <w:r w:rsidRPr="00DD2D90">
        <w:rPr>
          <w:rStyle w:val="StyleUnderline"/>
          <w:highlight w:val="green"/>
        </w:rPr>
        <w:t>pharma</w:t>
      </w:r>
      <w:r w:rsidRPr="00DD2D90">
        <w:rPr>
          <w:rStyle w:val="StyleUnderline"/>
        </w:rPr>
        <w:t xml:space="preserve">ceutical </w:t>
      </w:r>
      <w:r w:rsidRPr="00DD2D90">
        <w:rPr>
          <w:rStyle w:val="StyleUnderline"/>
          <w:highlight w:val="green"/>
        </w:rPr>
        <w:t>imports</w:t>
      </w:r>
      <w:r w:rsidRPr="009278EB">
        <w:rPr>
          <w:sz w:val="16"/>
        </w:rPr>
        <w:t xml:space="preserve"> and overhauled steel, aluminum and copper duties on Thursday as his ​administration sought to move on from the collapse of the broad global tariffs he announced exactly one year ago. </w:t>
      </w:r>
      <w:r w:rsidRPr="00DD2D90">
        <w:rPr>
          <w:rStyle w:val="StyleUnderline"/>
        </w:rPr>
        <w:t>The new tranche of tariffs is aimed partly at ‌rebuilding duties lost when the Supreme Court struck them down</w:t>
      </w:r>
      <w:r w:rsidRPr="009278EB">
        <w:rPr>
          <w:sz w:val="16"/>
        </w:rPr>
        <w:t xml:space="preserve"> in February. But they drew criticism from some business groups for </w:t>
      </w:r>
      <w:r w:rsidRPr="00DD2D90">
        <w:rPr>
          <w:rStyle w:val="StyleUnderline"/>
          <w:highlight w:val="green"/>
        </w:rPr>
        <w:t>adding</w:t>
      </w:r>
      <w:r w:rsidRPr="00DD2D90">
        <w:rPr>
          <w:rStyle w:val="StyleUnderline"/>
        </w:rPr>
        <w:t xml:space="preserve"> potential </w:t>
      </w:r>
      <w:r w:rsidRPr="00DD2D90">
        <w:rPr>
          <w:rStyle w:val="StyleUnderline"/>
          <w:highlight w:val="green"/>
        </w:rPr>
        <w:t>new cost pressures at a time when the war on Iran has spiked</w:t>
      </w:r>
      <w:r w:rsidRPr="00DD2D90">
        <w:rPr>
          <w:rStyle w:val="StyleUnderline"/>
        </w:rPr>
        <w:t xml:space="preserve"> energy </w:t>
      </w:r>
      <w:r w:rsidRPr="00DD2D90">
        <w:rPr>
          <w:rStyle w:val="StyleUnderline"/>
          <w:highlight w:val="green"/>
        </w:rPr>
        <w:t>prices for</w:t>
      </w:r>
      <w:r w:rsidRPr="00DD2D90">
        <w:rPr>
          <w:rStyle w:val="StyleUnderline"/>
        </w:rPr>
        <w:t xml:space="preserve"> </w:t>
      </w:r>
      <w:r w:rsidRPr="00DD2D90">
        <w:rPr>
          <w:rStyle w:val="StyleUnderline"/>
          <w:highlight w:val="green"/>
        </w:rPr>
        <w:t>consumers</w:t>
      </w:r>
      <w:r w:rsidRPr="009278EB">
        <w:rPr>
          <w:sz w:val="16"/>
        </w:rPr>
        <w:t xml:space="preserve">. In a new proclamation revealing the results of a long-awaited national security investigation into pharmaceutical imports, </w:t>
      </w:r>
      <w:r w:rsidRPr="00DD2D90">
        <w:rPr>
          <w:rStyle w:val="StyleUnderline"/>
        </w:rPr>
        <w:t>Trump said foreign manufacturers of patented products must agree to make deals with the U.S. government to cut prescription-drug prices</w:t>
      </w:r>
      <w:r w:rsidRPr="009278EB">
        <w:rPr>
          <w:sz w:val="16"/>
        </w:rPr>
        <w:t xml:space="preserve"> and commit to moving ​production to the United States. They must do both to avoid tariffs altogether and will face a 20% tariff if they simply move some manufacturing to the U.S., according to an ​administration official. Those who do neither would face a 100% duty. The tariffs will not apply to drug imports from all countries. Branded drug tariffs </w:t>
      </w:r>
      <w:r w:rsidRPr="009278EB">
        <w:rPr>
          <w:rFonts w:ascii="Segoe UI Symbol" w:hAnsi="Segoe UI Symbol" w:cs="Segoe UI Symbol"/>
          <w:sz w:val="16"/>
        </w:rPr>
        <w:t>⁠</w:t>
      </w:r>
      <w:r w:rsidRPr="009278EB">
        <w:rPr>
          <w:sz w:val="16"/>
        </w:rPr>
        <w:t xml:space="preserve">will be capped at 15% under trade deals with the European Union, Japan, South Korea and Switzerland. The U.S. and Britain also finalized a separate pharmaceuticals tariff deal that guarantees zero tariffs on British-made pharmaceuticals ​for at least three years as Britain builds out production in the United States. An administration official said </w:t>
      </w:r>
      <w:r w:rsidRPr="00DD2D90">
        <w:rPr>
          <w:rStyle w:val="StyleUnderline"/>
        </w:rPr>
        <w:t xml:space="preserve">large </w:t>
      </w:r>
      <w:r w:rsidRPr="00DD2D90">
        <w:rPr>
          <w:rStyle w:val="StyleUnderline"/>
          <w:highlight w:val="green"/>
        </w:rPr>
        <w:t>pharma</w:t>
      </w:r>
      <w:r w:rsidRPr="00DD2D90">
        <w:rPr>
          <w:rStyle w:val="StyleUnderline"/>
        </w:rPr>
        <w:t xml:space="preserve">ceutical companies </w:t>
      </w:r>
      <w:r w:rsidRPr="00DD2D90">
        <w:rPr>
          <w:rStyle w:val="StyleUnderline"/>
          <w:highlight w:val="green"/>
        </w:rPr>
        <w:t>would have 120 days to comply</w:t>
      </w:r>
      <w:r w:rsidRPr="00DD2D90">
        <w:rPr>
          <w:rStyle w:val="StyleUnderline"/>
        </w:rPr>
        <w:t xml:space="preserve"> before the 100% tariff rates kicked in</w:t>
      </w:r>
      <w:r w:rsidRPr="009278EB">
        <w:rPr>
          <w:sz w:val="16"/>
        </w:rPr>
        <w:t xml:space="preserve">, ​and smaller producers would have 180 days. METALS RATE REDUCED Trump also issued a separate metals tariff proclamation that halved the duty rate to 25% on many derivative products made with steel, aluminum and copper, and dropped them altogether on products with minimal metals content. The move kept in place the 50% duty on commodity imports of steel, aluminum and copper. But according to the official, the Trump administration will now apply this rate to the U.S. sales price of ​the metals - not the declared import value, which the official said had often been kept artificially low. The metals changes are aimed at simplifying an overly complicated tariff regime that gave importers headaches ​in trying to determine the value of the metal content of thousands of derivative products, from tractor parts to stainless steel sinks and railroad equipment. Products with minimal metals content of less than 15% by weight, such as a ‌dental floss </w:t>
      </w:r>
      <w:r w:rsidRPr="009278EB">
        <w:rPr>
          <w:rFonts w:ascii="Segoe UI Symbol" w:hAnsi="Segoe UI Symbol" w:cs="Segoe UI Symbol"/>
          <w:sz w:val="16"/>
        </w:rPr>
        <w:t>⁠</w:t>
      </w:r>
      <w:r w:rsidRPr="009278EB">
        <w:rPr>
          <w:sz w:val="16"/>
        </w:rPr>
        <w:t xml:space="preserve">container with a tiny steel cutter blade, will no longer be subject to these tariffs. The White House also said it will cut duties on certain metal-intensive industrial and power-grid equipment to 15% from 50% through 2027 to aid a broad industrial and data-center build-out. The change in the metals tariffs would be effective just after midnight on Monday, the order said. PIVOT FROM 'LIBERATION DAY' The changes came on the one-year anniversary of Trump's "Liberation Day" announcements of "reciprocal tariffs" ranging from 10% to 50% on imports from all trading partners and even some uninhabited islands. The tariffs under the International Emergency Economic Powers Act kicked ​off months of retaliation from China, trade negotiations ​with other countries and court challenges from </w:t>
      </w:r>
      <w:r w:rsidRPr="009278EB">
        <w:rPr>
          <w:rFonts w:ascii="Segoe UI Symbol" w:hAnsi="Segoe UI Symbol" w:cs="Segoe UI Symbol"/>
          <w:sz w:val="16"/>
        </w:rPr>
        <w:t>⁠</w:t>
      </w:r>
      <w:r w:rsidRPr="009278EB">
        <w:rPr>
          <w:sz w:val="16"/>
        </w:rPr>
        <w:t xml:space="preserve">importers. The U.S. Supreme Court in February declared the IEEPA-based tariffs illegal, prompting a lower court order for the U.S. Customs and Border Protection agency to devise a plan to refund some $166 billion in tariffs collected over a year. Jamieson Greer, the U.S. trade representative, on Thursday defended the IEEPA tariffs as a "reset ​button" for a broken global trading system and credited the tariffs with driving companies to build new factories in the U.S. and forcing ​trading partners to grant concessions </w:t>
      </w:r>
      <w:r w:rsidRPr="009278EB">
        <w:rPr>
          <w:rFonts w:ascii="Segoe UI Symbol" w:hAnsi="Segoe UI Symbol" w:cs="Segoe UI Symbol"/>
          <w:sz w:val="16"/>
        </w:rPr>
        <w:t>⁠</w:t>
      </w:r>
      <w:r w:rsidRPr="009278EB">
        <w:rPr>
          <w:sz w:val="16"/>
        </w:rPr>
        <w:t xml:space="preserve">for U.S. exports. "The best is yet to come as President Trump's tariff program incentivizes domestic production, raises workers' wages, and reinforces our critical supply chains," Greer said in a statement. INDUSTRY REACTION The U.S. Chamber of Commerce said that </w:t>
      </w:r>
      <w:r w:rsidRPr="00DD2D90">
        <w:rPr>
          <w:rStyle w:val="StyleUnderline"/>
        </w:rPr>
        <w:t xml:space="preserve">a full year of </w:t>
      </w:r>
      <w:r w:rsidRPr="00DD2D90">
        <w:rPr>
          <w:rStyle w:val="StyleUnderline"/>
          <w:highlight w:val="green"/>
        </w:rPr>
        <w:t>Trump's</w:t>
      </w:r>
      <w:r w:rsidRPr="00DD2D90">
        <w:rPr>
          <w:rStyle w:val="StyleUnderline"/>
        </w:rPr>
        <w:t xml:space="preserve"> higher tariffs has </w:t>
      </w:r>
      <w:r w:rsidRPr="00DD2D90">
        <w:rPr>
          <w:rStyle w:val="StyleUnderline"/>
          <w:highlight w:val="green"/>
        </w:rPr>
        <w:t>already raised prices and added cost</w:t>
      </w:r>
      <w:r w:rsidRPr="00DD2D90">
        <w:rPr>
          <w:rStyle w:val="StyleUnderline"/>
        </w:rPr>
        <w:t xml:space="preserve"> </w:t>
      </w:r>
      <w:r w:rsidRPr="00DD2D90">
        <w:rPr>
          <w:rStyle w:val="StyleUnderline"/>
          <w:highlight w:val="green"/>
        </w:rPr>
        <w:t>pressures</w:t>
      </w:r>
      <w:r w:rsidRPr="009278EB">
        <w:rPr>
          <w:sz w:val="16"/>
        </w:rPr>
        <w:t xml:space="preserve"> for many industries, and warned that </w:t>
      </w:r>
      <w:r w:rsidRPr="00DD2D90">
        <w:rPr>
          <w:rStyle w:val="StyleUnderline"/>
        </w:rPr>
        <w:t xml:space="preserve">the </w:t>
      </w:r>
      <w:r w:rsidRPr="00DD2D90">
        <w:rPr>
          <w:rStyle w:val="StyleUnderline"/>
          <w:highlight w:val="green"/>
        </w:rPr>
        <w:t>latest announcements could spur further</w:t>
      </w:r>
      <w:r w:rsidRPr="009278EB">
        <w:rPr>
          <w:sz w:val="16"/>
          <w:highlight w:val="green"/>
        </w:rPr>
        <w:t xml:space="preserve"> </w:t>
      </w:r>
      <w:r w:rsidRPr="00DD2D90">
        <w:rPr>
          <w:rStyle w:val="StyleUnderline"/>
          <w:highlight w:val="green"/>
        </w:rPr>
        <w:t>price increases</w:t>
      </w:r>
      <w:r w:rsidRPr="009278EB">
        <w:rPr>
          <w:sz w:val="16"/>
        </w:rPr>
        <w:t>. "</w:t>
      </w:r>
      <w:r w:rsidRPr="00DD2D90">
        <w:rPr>
          <w:rStyle w:val="StyleUnderline"/>
          <w:highlight w:val="green"/>
        </w:rPr>
        <w:t xml:space="preserve">A new, </w:t>
      </w:r>
      <w:r w:rsidRPr="00DD2D90">
        <w:rPr>
          <w:rStyle w:val="Emphasis"/>
          <w:highlight w:val="green"/>
        </w:rPr>
        <w:t>complex</w:t>
      </w:r>
      <w:r w:rsidRPr="00DD2D90">
        <w:rPr>
          <w:rStyle w:val="StyleUnderline"/>
          <w:highlight w:val="green"/>
        </w:rPr>
        <w:t xml:space="preserve"> tariff scheme </w:t>
      </w:r>
      <w:r w:rsidRPr="00DD2D90">
        <w:rPr>
          <w:rStyle w:val="StyleUnderline"/>
          <w:rFonts w:ascii="Segoe UI Symbol" w:hAnsi="Segoe UI Symbol" w:cs="Segoe UI Symbol"/>
          <w:highlight w:val="green"/>
        </w:rPr>
        <w:t>⁠</w:t>
      </w:r>
      <w:r w:rsidRPr="00DD2D90">
        <w:rPr>
          <w:rStyle w:val="StyleUnderline"/>
          <w:highlight w:val="green"/>
        </w:rPr>
        <w:t>on</w:t>
      </w:r>
      <w:r w:rsidRPr="00DD2D90">
        <w:rPr>
          <w:rStyle w:val="StyleUnderline"/>
        </w:rPr>
        <w:t xml:space="preserve"> </w:t>
      </w:r>
      <w:r w:rsidRPr="00DD2D90">
        <w:rPr>
          <w:rStyle w:val="StyleUnderline"/>
          <w:highlight w:val="green"/>
        </w:rPr>
        <w:t>pharma</w:t>
      </w:r>
      <w:r w:rsidRPr="00DD2D90">
        <w:rPr>
          <w:rStyle w:val="StyleUnderline"/>
        </w:rPr>
        <w:t xml:space="preserve">ceuticals </w:t>
      </w:r>
      <w:r w:rsidRPr="00DD2D90">
        <w:rPr>
          <w:rStyle w:val="StyleUnderline"/>
          <w:highlight w:val="green"/>
        </w:rPr>
        <w:t>will ​raise healthcare costs</w:t>
      </w:r>
      <w:r w:rsidRPr="009278EB">
        <w:rPr>
          <w:sz w:val="16"/>
        </w:rPr>
        <w:t xml:space="preserve"> for American families," the Chamber's policy chief Neil Bradley said in a statement. "Changes to metals tariffs will ​likewise raise prices for consumers and add pressure to manufacturing, construction, and energy — industries that are already reeling from higher input costs and ongoing supply-chain challenges," Bradley added. But Steel Manufacturers Association president Philip Bell praised the administration for "right-sizing" the metals ​derivatives list and updating its valuation methodology to ensure that tariffs "remain precisely targeted to support the revitalization of the American steel industry without undermining broader economic goals."</w:t>
      </w:r>
    </w:p>
    <w:p w14:paraId="22507FC6" w14:textId="77777777" w:rsidR="00EB171F" w:rsidRPr="009278EB" w:rsidRDefault="00EB171F" w:rsidP="00EB171F">
      <w:pPr>
        <w:rPr>
          <w:sz w:val="16"/>
        </w:rPr>
      </w:pPr>
    </w:p>
    <w:p w14:paraId="366B3C8E" w14:textId="53541F5B" w:rsidR="00ED7F56" w:rsidRPr="009278EB" w:rsidRDefault="00ED7F56" w:rsidP="00ED7F56">
      <w:pPr>
        <w:pStyle w:val="Heading4"/>
        <w:rPr>
          <w:szCs w:val="26"/>
        </w:rPr>
      </w:pPr>
      <w:r w:rsidRPr="009278EB">
        <w:rPr>
          <w:szCs w:val="26"/>
        </w:rPr>
        <w:t xml:space="preserve">Universal </w:t>
      </w:r>
      <w:r w:rsidR="0090230A" w:rsidRPr="009278EB">
        <w:rPr>
          <w:szCs w:val="26"/>
        </w:rPr>
        <w:t>h</w:t>
      </w:r>
      <w:r w:rsidRPr="009278EB">
        <w:rPr>
          <w:szCs w:val="26"/>
        </w:rPr>
        <w:t xml:space="preserve">ealthcare is crucial to alleviating the consumer </w:t>
      </w:r>
      <w:r w:rsidR="0090230A" w:rsidRPr="009278EB">
        <w:rPr>
          <w:szCs w:val="26"/>
        </w:rPr>
        <w:t xml:space="preserve">medical </w:t>
      </w:r>
      <w:r w:rsidRPr="009278EB">
        <w:rPr>
          <w:szCs w:val="26"/>
        </w:rPr>
        <w:t>debt crisis</w:t>
      </w:r>
    </w:p>
    <w:p w14:paraId="4AFEDB5E" w14:textId="77777777" w:rsidR="00ED7F56" w:rsidRPr="00DD2D90" w:rsidRDefault="00ED7F56" w:rsidP="00ED7F56">
      <w:pPr>
        <w:pBdr>
          <w:top w:val="nil"/>
          <w:left w:val="nil"/>
          <w:bottom w:val="nil"/>
          <w:right w:val="nil"/>
          <w:between w:val="nil"/>
        </w:pBdr>
      </w:pPr>
      <w:r w:rsidRPr="009278EB">
        <w:rPr>
          <w:b/>
          <w:bCs/>
          <w:sz w:val="26"/>
          <w:szCs w:val="26"/>
        </w:rPr>
        <w:t>Oginni et al. 25</w:t>
      </w:r>
      <w:r w:rsidRPr="00DD2D90">
        <w:rPr>
          <w:b/>
          <w:bCs/>
        </w:rPr>
        <w:t xml:space="preserve"> </w:t>
      </w:r>
      <w:r w:rsidRPr="00DD2D90">
        <w:t>[Oreoluwa Oginni, researcher at the Washington University Brown School of Public Health, 01-21-2025, “Healthcare debts in the United States: a silent fight,” PubMed Central, https://pmc.ncbi.nlm.nih.gov/articles/PMC11918610/]/Kankee</w:t>
      </w:r>
    </w:p>
    <w:p w14:paraId="2E327F70" w14:textId="77777777" w:rsidR="00ED7F56" w:rsidRPr="009278EB" w:rsidRDefault="00ED7F56" w:rsidP="00ED7F56">
      <w:pPr>
        <w:pBdr>
          <w:top w:val="nil"/>
          <w:left w:val="nil"/>
          <w:bottom w:val="nil"/>
          <w:right w:val="nil"/>
          <w:between w:val="nil"/>
        </w:pBdr>
        <w:rPr>
          <w:sz w:val="16"/>
        </w:rPr>
      </w:pPr>
      <w:r w:rsidRPr="00DD2D90">
        <w:rPr>
          <w:u w:val="single"/>
        </w:rPr>
        <w:t>Healthcare debt in the United States is a significant problem</w:t>
      </w:r>
      <w:r w:rsidRPr="009278EB">
        <w:rPr>
          <w:sz w:val="16"/>
        </w:rPr>
        <w:t>, affecting millions of Americans</w:t>
      </w:r>
      <w:r w:rsidRPr="00DD2D90">
        <w:rPr>
          <w:u w:val="single"/>
        </w:rPr>
        <w:t>.</w:t>
      </w:r>
      <w:r w:rsidRPr="009278EB">
        <w:rPr>
          <w:sz w:val="16"/>
        </w:rPr>
        <w:t xml:space="preserve"> </w:t>
      </w:r>
      <w:r w:rsidRPr="00DD2D90">
        <w:rPr>
          <w:u w:val="single"/>
        </w:rPr>
        <w:t>Many</w:t>
      </w:r>
      <w:r w:rsidRPr="009278EB">
        <w:rPr>
          <w:sz w:val="16"/>
        </w:rPr>
        <w:t xml:space="preserve"> people </w:t>
      </w:r>
      <w:r w:rsidRPr="00DD2D90">
        <w:rPr>
          <w:u w:val="single"/>
        </w:rPr>
        <w:t>struggle to pay for healthcare</w:t>
      </w:r>
      <w:r w:rsidRPr="009278EB">
        <w:rPr>
          <w:sz w:val="16"/>
        </w:rPr>
        <w:t xml:space="preserve">, and approximately 9% owe over $250 due to health costs. Nearly half of US adults find it difficult to afford healthcare, with uninsured individuals and those with lower incomes facing the most significant challenges. </w:t>
      </w:r>
      <w:r w:rsidRPr="00DD2D90">
        <w:rPr>
          <w:u w:val="single"/>
        </w:rPr>
        <w:t>Healthcare debt</w:t>
      </w:r>
      <w:r w:rsidRPr="009278EB">
        <w:rPr>
          <w:sz w:val="16"/>
        </w:rPr>
        <w:t xml:space="preserve"> in the United States</w:t>
      </w:r>
      <w:r w:rsidRPr="00DD2D90">
        <w:rPr>
          <w:u w:val="single"/>
        </w:rPr>
        <w:t xml:space="preserve"> is a problem with </w:t>
      </w:r>
      <w:r w:rsidRPr="00DD2D90">
        <w:rPr>
          <w:rStyle w:val="Emphasis"/>
        </w:rPr>
        <w:t>profound consequences</w:t>
      </w:r>
      <w:r w:rsidRPr="009278EB">
        <w:rPr>
          <w:sz w:val="16"/>
        </w:rPr>
        <w:t xml:space="preserve">. This debt encompasses expenses incurred for various medical services, from hospital stays and surgeries to doctor visits and medications. </w:t>
      </w:r>
      <w:r w:rsidRPr="00DD2D90">
        <w:rPr>
          <w:highlight w:val="green"/>
          <w:u w:val="single"/>
        </w:rPr>
        <w:t>Healthcare debt</w:t>
      </w:r>
      <w:r w:rsidRPr="00DD2D90">
        <w:rPr>
          <w:u w:val="single"/>
        </w:rPr>
        <w:t xml:space="preserve"> casts a long shadow, </w:t>
      </w:r>
      <w:r w:rsidRPr="00DD2D90">
        <w:rPr>
          <w:highlight w:val="green"/>
          <w:u w:val="single"/>
        </w:rPr>
        <w:t>adversely affecting physical and mental well-being and increasing stress, anxiety, and depression</w:t>
      </w:r>
      <w:r w:rsidRPr="009278EB">
        <w:rPr>
          <w:sz w:val="16"/>
        </w:rPr>
        <w:t xml:space="preserve">. </w:t>
      </w:r>
      <w:r w:rsidRPr="00DD2D90">
        <w:rPr>
          <w:highlight w:val="green"/>
          <w:u w:val="single"/>
        </w:rPr>
        <w:t>Unpaid</w:t>
      </w:r>
      <w:r w:rsidRPr="009278EB">
        <w:rPr>
          <w:sz w:val="16"/>
          <w:highlight w:val="green"/>
        </w:rPr>
        <w:t xml:space="preserve"> </w:t>
      </w:r>
      <w:r w:rsidRPr="00DD2D90">
        <w:rPr>
          <w:highlight w:val="green"/>
          <w:u w:val="single"/>
        </w:rPr>
        <w:t xml:space="preserve">bills lead to the </w:t>
      </w:r>
      <w:r w:rsidRPr="00DD2D90">
        <w:rPr>
          <w:rStyle w:val="Emphasis"/>
          <w:highlight w:val="green"/>
        </w:rPr>
        <w:t>avoidance of</w:t>
      </w:r>
      <w:r w:rsidRPr="009278EB">
        <w:rPr>
          <w:sz w:val="16"/>
        </w:rPr>
        <w:t xml:space="preserve"> necessary </w:t>
      </w:r>
      <w:r w:rsidRPr="00DD2D90">
        <w:rPr>
          <w:rStyle w:val="Emphasis"/>
          <w:highlight w:val="green"/>
        </w:rPr>
        <w:t>care</w:t>
      </w:r>
      <w:r w:rsidRPr="00DD2D90">
        <w:rPr>
          <w:u w:val="single"/>
        </w:rPr>
        <w:t>, perpetuating</w:t>
      </w:r>
      <w:r w:rsidRPr="009278EB">
        <w:rPr>
          <w:sz w:val="16"/>
        </w:rPr>
        <w:t xml:space="preserve"> health </w:t>
      </w:r>
      <w:r w:rsidRPr="00DD2D90">
        <w:rPr>
          <w:u w:val="single"/>
        </w:rPr>
        <w:t>issues and straining the healthcare system</w:t>
      </w:r>
      <w:r w:rsidRPr="009278EB">
        <w:rPr>
          <w:sz w:val="16"/>
        </w:rPr>
        <w:t xml:space="preserve">. Beyond health implications, it affects credit history, limits access to credit facilities, and hampers employment opportunities. So, comprehensive </w:t>
      </w:r>
      <w:r w:rsidRPr="00DD2D90">
        <w:rPr>
          <w:u w:val="single"/>
        </w:rPr>
        <w:t xml:space="preserve">healthcare </w:t>
      </w:r>
      <w:r w:rsidRPr="00DD2D90">
        <w:rPr>
          <w:highlight w:val="green"/>
          <w:u w:val="single"/>
        </w:rPr>
        <w:t xml:space="preserve">reform </w:t>
      </w:r>
      <w:r w:rsidRPr="00DD2D90">
        <w:rPr>
          <w:u w:val="single"/>
        </w:rPr>
        <w:t>emerges as a potential remedy, by</w:t>
      </w:r>
      <w:r w:rsidRPr="009278EB">
        <w:rPr>
          <w:sz w:val="16"/>
        </w:rPr>
        <w:t xml:space="preserve"> </w:t>
      </w:r>
      <w:r w:rsidRPr="00DD2D90">
        <w:rPr>
          <w:highlight w:val="green"/>
          <w:u w:val="single"/>
        </w:rPr>
        <w:t>expand</w:t>
      </w:r>
      <w:r w:rsidRPr="00DD2D90">
        <w:rPr>
          <w:u w:val="single"/>
        </w:rPr>
        <w:t xml:space="preserve">ing </w:t>
      </w:r>
      <w:r w:rsidRPr="00DD2D90">
        <w:rPr>
          <w:highlight w:val="green"/>
          <w:u w:val="single"/>
        </w:rPr>
        <w:t xml:space="preserve">access to affordable </w:t>
      </w:r>
      <w:r w:rsidRPr="00DD2D90">
        <w:rPr>
          <w:u w:val="single"/>
        </w:rPr>
        <w:t xml:space="preserve">health </w:t>
      </w:r>
      <w:r w:rsidRPr="00DD2D90">
        <w:rPr>
          <w:highlight w:val="green"/>
          <w:u w:val="single"/>
        </w:rPr>
        <w:t>insurance, regulating healthcare costs, and addressing coverage gaps could alleviate the impact of healthcare debts</w:t>
      </w:r>
      <w:r w:rsidRPr="009278EB">
        <w:rPr>
          <w:sz w:val="16"/>
        </w:rPr>
        <w:t xml:space="preserve">. Therefore, exploring the feasibility of </w:t>
      </w:r>
      <w:r w:rsidRPr="00DD2D90">
        <w:rPr>
          <w:highlight w:val="green"/>
          <w:u w:val="single"/>
        </w:rPr>
        <w:t xml:space="preserve">transitioning toward a universal healthcare </w:t>
      </w:r>
      <w:r w:rsidRPr="00DD2D90">
        <w:rPr>
          <w:u w:val="single"/>
        </w:rPr>
        <w:t xml:space="preserve">system </w:t>
      </w:r>
      <w:r w:rsidRPr="00DD2D90">
        <w:rPr>
          <w:highlight w:val="green"/>
          <w:u w:val="single"/>
        </w:rPr>
        <w:t xml:space="preserve">becomes </w:t>
      </w:r>
      <w:r w:rsidRPr="00DD2D90">
        <w:rPr>
          <w:rStyle w:val="Emphasis"/>
          <w:highlight w:val="green"/>
        </w:rPr>
        <w:t>crucial</w:t>
      </w:r>
      <w:r w:rsidRPr="00DD2D90">
        <w:rPr>
          <w:highlight w:val="green"/>
          <w:u w:val="single"/>
        </w:rPr>
        <w:t xml:space="preserve">, offering </w:t>
      </w:r>
      <w:r w:rsidRPr="00DD2D90">
        <w:rPr>
          <w:rStyle w:val="Emphasis"/>
          <w:highlight w:val="green"/>
        </w:rPr>
        <w:t>equitable</w:t>
      </w:r>
      <w:r w:rsidRPr="00DD2D90">
        <w:rPr>
          <w:highlight w:val="green"/>
          <w:u w:val="single"/>
        </w:rPr>
        <w:t xml:space="preserve"> access to essential medical services and mitigating financial burdens on individuals. As healthcare debts continue to profoundly influence health, economic stability, and social well-being, a holistic approach is </w:t>
      </w:r>
      <w:r w:rsidRPr="00DD2D90">
        <w:rPr>
          <w:rStyle w:val="Emphasis"/>
          <w:highlight w:val="green"/>
        </w:rPr>
        <w:t>imperative</w:t>
      </w:r>
      <w:r w:rsidRPr="00DD2D90">
        <w:rPr>
          <w:highlight w:val="green"/>
          <w:u w:val="single"/>
        </w:rPr>
        <w:t xml:space="preserve"> for a healthier and economically sound future for all Americans.  </w:t>
      </w:r>
      <w:r w:rsidRPr="009278EB">
        <w:rPr>
          <w:sz w:val="16"/>
        </w:rPr>
        <w:t xml:space="preserve">In the United States, </w:t>
      </w:r>
      <w:r w:rsidRPr="00DD2D90">
        <w:rPr>
          <w:u w:val="single"/>
        </w:rPr>
        <w:t xml:space="preserve">healthcare debt is a </w:t>
      </w:r>
      <w:r w:rsidRPr="00DD2D90">
        <w:rPr>
          <w:rStyle w:val="Emphasis"/>
        </w:rPr>
        <w:t>serious</w:t>
      </w:r>
      <w:r w:rsidRPr="00DD2D90">
        <w:rPr>
          <w:u w:val="single"/>
        </w:rPr>
        <w:t xml:space="preserve"> problem t</w:t>
      </w:r>
      <w:r w:rsidRPr="009278EB">
        <w:rPr>
          <w:sz w:val="16"/>
        </w:rPr>
        <w:t xml:space="preserve">hat affects millions of Americans. It encompasses the accumulated financial obligations incurred for medical services by individuals or families, including hospital stays, surgical procedures, doctor visits, medicines, and associated costs [1]. Many of the US adult population faces challenges with covering healthcare costs. Although most of these are reported by adults with low incomes or without insurance, there is no guarantee that they will be immune to high healthcare costs, as shown in Fig. 1 [2]. A recent analysis of government data reveals that approximately 9% of adults (roughly 23 million people) owe over $250 in healthcare debt [3].  A study [2] found that it is difficult for about half the US adults to afford healthcare costs, with 47% saying it is very or somewhat difficult. Uninsured adults under age 65 are significantly more likely to report difficulty affording healthcare costs (85%) compared to those with health insurance (47%), as illustrated in Fig. 2 [2]. Additionally, at least six in ten Black adults (60%) and Hispanic adults (65%) report difficulty affording healthcare costs compared to about four in ten White adults (39%) [2]. Adults in low-income households (annual income under $40 000) are more than three times as likely as those in high-income households (annual income over $90 000) to report difficulty affording healthcare costs (69% vs. 21%) [2]. </w:t>
      </w:r>
      <w:r w:rsidRPr="00DD2D90">
        <w:rPr>
          <w:u w:val="single"/>
        </w:rPr>
        <w:t>Healthcare debt is a complex problem that must be</w:t>
      </w:r>
      <w:r w:rsidRPr="009278EB">
        <w:rPr>
          <w:sz w:val="16"/>
        </w:rPr>
        <w:t xml:space="preserve"> effectively </w:t>
      </w:r>
      <w:r w:rsidRPr="00DD2D90">
        <w:rPr>
          <w:u w:val="single"/>
        </w:rPr>
        <w:t xml:space="preserve">solved by addressing the underlying causes </w:t>
      </w:r>
      <w:r w:rsidRPr="009278EB">
        <w:rPr>
          <w:sz w:val="16"/>
        </w:rPr>
        <w:t xml:space="preserve">and providing relief for patients struggling with financial difficulties, as shown in Fig. 3 [2].  This article seeks to critically evaluate the key factors contributing to healthcare debt in the United States, assess its impact on healthcare users, and propose actionable solutions. </w:t>
      </w:r>
    </w:p>
    <w:p w14:paraId="784F3CBE" w14:textId="77777777" w:rsidR="00EA6776" w:rsidRPr="009278EB" w:rsidRDefault="00EA6776">
      <w:pPr>
        <w:rPr>
          <w:rFonts w:eastAsiaTheme="majorEastAsia" w:cstheme="majorBidi"/>
          <w:b/>
          <w:iCs/>
          <w:sz w:val="16"/>
        </w:rPr>
      </w:pPr>
      <w:r w:rsidRPr="009278EB">
        <w:rPr>
          <w:sz w:val="16"/>
        </w:rPr>
        <w:br w:type="page"/>
      </w:r>
    </w:p>
    <w:p w14:paraId="0C2B805F" w14:textId="441BC487" w:rsidR="00E66FBA" w:rsidRPr="009278EB" w:rsidRDefault="00E66FBA" w:rsidP="00E66FBA">
      <w:pPr>
        <w:pStyle w:val="Heading4"/>
        <w:rPr>
          <w:szCs w:val="26"/>
        </w:rPr>
      </w:pPr>
      <w:r w:rsidRPr="009278EB">
        <w:rPr>
          <w:szCs w:val="26"/>
        </w:rPr>
        <w:t>Healthcare costs are a top cause of the consumer debt crisis</w:t>
      </w:r>
    </w:p>
    <w:p w14:paraId="7BE873BB" w14:textId="77777777" w:rsidR="00E66FBA" w:rsidRPr="00DD2D90" w:rsidRDefault="00E66FBA" w:rsidP="00E66FBA">
      <w:pPr>
        <w:pBdr>
          <w:top w:val="nil"/>
          <w:left w:val="nil"/>
          <w:bottom w:val="nil"/>
          <w:right w:val="nil"/>
          <w:between w:val="nil"/>
        </w:pBdr>
      </w:pPr>
      <w:r w:rsidRPr="009278EB">
        <w:rPr>
          <w:b/>
          <w:bCs/>
          <w:sz w:val="26"/>
          <w:szCs w:val="26"/>
        </w:rPr>
        <w:t>Sparks et al. 26</w:t>
      </w:r>
      <w:r w:rsidRPr="00DD2D90">
        <w:rPr>
          <w:b/>
          <w:bCs/>
        </w:rPr>
        <w:t xml:space="preserve"> </w:t>
      </w:r>
      <w:r w:rsidRPr="00DD2D90">
        <w:t>[Grace Sparks, survey analyst for the Public Opinion and Survey Research team of KFF, 01-19-2026, “Americans’ Challenges with Health Care Costs,” KFF, https://www.kff.org/health-costs/americans-challenges-with-health-care-costs/#:~:text=Health%20care%20debt%20is%20a,they%20have%20health%20care%20debt.]/Kankee</w:t>
      </w:r>
    </w:p>
    <w:p w14:paraId="1FACC81E" w14:textId="77777777" w:rsidR="00E66FBA" w:rsidRPr="009278EB" w:rsidRDefault="00E66FBA" w:rsidP="00E66FBA">
      <w:pPr>
        <w:pBdr>
          <w:top w:val="nil"/>
          <w:left w:val="nil"/>
          <w:bottom w:val="nil"/>
          <w:right w:val="nil"/>
          <w:between w:val="nil"/>
        </w:pBdr>
        <w:rPr>
          <w:sz w:val="16"/>
        </w:rPr>
      </w:pPr>
      <w:r w:rsidRPr="009278EB">
        <w:rPr>
          <w:sz w:val="16"/>
        </w:rPr>
        <w:t xml:space="preserve">For many years, </w:t>
      </w:r>
      <w:r w:rsidRPr="00DD2D90">
        <w:rPr>
          <w:u w:val="single"/>
        </w:rPr>
        <w:t xml:space="preserve">KFF polling has found that the high cost of </w:t>
      </w:r>
      <w:r w:rsidRPr="00DD2D90">
        <w:rPr>
          <w:highlight w:val="green"/>
          <w:u w:val="single"/>
        </w:rPr>
        <w:t>health care is a burden on</w:t>
      </w:r>
      <w:r w:rsidRPr="009278EB">
        <w:rPr>
          <w:sz w:val="16"/>
        </w:rPr>
        <w:t xml:space="preserve"> U.S. </w:t>
      </w:r>
      <w:r w:rsidRPr="00DD2D90">
        <w:rPr>
          <w:highlight w:val="green"/>
          <w:u w:val="single"/>
        </w:rPr>
        <w:t>families</w:t>
      </w:r>
      <w:r w:rsidRPr="009278EB">
        <w:rPr>
          <w:sz w:val="16"/>
        </w:rPr>
        <w:t xml:space="preserve">, and that health care costs factor into decisions about insurance coverage and care seeking. </w:t>
      </w:r>
      <w:r w:rsidRPr="00DD2D90">
        <w:rPr>
          <w:highlight w:val="green"/>
          <w:u w:val="single"/>
        </w:rPr>
        <w:t>These</w:t>
      </w:r>
      <w:r w:rsidRPr="009278EB">
        <w:rPr>
          <w:sz w:val="16"/>
        </w:rPr>
        <w:t xml:space="preserve"> costs also </w:t>
      </w:r>
      <w:r w:rsidRPr="00DD2D90">
        <w:rPr>
          <w:highlight w:val="green"/>
          <w:u w:val="single"/>
        </w:rPr>
        <w:t xml:space="preserve">rank as the </w:t>
      </w:r>
      <w:r w:rsidRPr="00DD2D90">
        <w:rPr>
          <w:rStyle w:val="Emphasis"/>
          <w:highlight w:val="green"/>
        </w:rPr>
        <w:t>top financial worry</w:t>
      </w:r>
      <w:r w:rsidRPr="00DD2D90">
        <w:rPr>
          <w:highlight w:val="green"/>
          <w:u w:val="single"/>
        </w:rPr>
        <w:t xml:space="preserve"> for adults</w:t>
      </w:r>
      <w:r w:rsidRPr="009278EB">
        <w:rPr>
          <w:sz w:val="16"/>
        </w:rPr>
        <w:t xml:space="preserve"> and their families. This data note summarizes recent KFF polling on the public’s experiences with health care costs. Main takeaways include:  Just under half of U.S. adults say it is difficult to afford health care costs, and about </w:t>
      </w:r>
      <w:r w:rsidRPr="00DD2D90">
        <w:rPr>
          <w:rStyle w:val="Emphasis"/>
          <w:highlight w:val="green"/>
        </w:rPr>
        <w:t>three in ten</w:t>
      </w:r>
      <w:r w:rsidRPr="00DD2D90">
        <w:rPr>
          <w:highlight w:val="green"/>
          <w:u w:val="single"/>
        </w:rPr>
        <w:t xml:space="preserve"> say they or a family member in their household had problems paying for health care in the past 12 months</w:t>
      </w:r>
      <w:r w:rsidRPr="00DD2D90">
        <w:rPr>
          <w:u w:val="single"/>
        </w:rPr>
        <w:t>. Hispanic adults, young adults, and the uninsured are particularly likely to report problems affording health care in the past year.</w:t>
      </w:r>
      <w:r w:rsidRPr="009278EB">
        <w:rPr>
          <w:sz w:val="16"/>
        </w:rPr>
        <w:t xml:space="preserve"> The </w:t>
      </w:r>
      <w:r w:rsidRPr="00DD2D90">
        <w:rPr>
          <w:highlight w:val="green"/>
          <w:u w:val="single"/>
        </w:rPr>
        <w:t>cost of health</w:t>
      </w:r>
      <w:r w:rsidRPr="009278EB">
        <w:rPr>
          <w:sz w:val="16"/>
        </w:rPr>
        <w:t xml:space="preserve"> care can </w:t>
      </w:r>
      <w:r w:rsidRPr="00DD2D90">
        <w:rPr>
          <w:highlight w:val="green"/>
          <w:u w:val="single"/>
        </w:rPr>
        <w:t>lead some to put off needed care</w:t>
      </w:r>
      <w:r w:rsidRPr="009278EB">
        <w:rPr>
          <w:sz w:val="16"/>
        </w:rPr>
        <w:t xml:space="preserve">. About one-third (36%) of adults say that in the past 12 months they have skipped or postponed getting health care they needed because of the cost. Notably three in four (75%) uninsured adults under age 65 say they went without needed care because of the cost. The cost of prescription drugs prevents some people from filling prescriptions. </w:t>
      </w:r>
      <w:r w:rsidRPr="00DD2D90">
        <w:rPr>
          <w:highlight w:val="green"/>
          <w:u w:val="single"/>
        </w:rPr>
        <w:t>About one in five adults</w:t>
      </w:r>
      <w:r w:rsidRPr="009278EB">
        <w:rPr>
          <w:sz w:val="16"/>
        </w:rPr>
        <w:t xml:space="preserve"> (21%) </w:t>
      </w:r>
      <w:r w:rsidRPr="00DD2D90">
        <w:rPr>
          <w:highlight w:val="green"/>
          <w:u w:val="single"/>
        </w:rPr>
        <w:t>say they have not filled a prescription because of the cost</w:t>
      </w:r>
      <w:r w:rsidRPr="009278EB">
        <w:rPr>
          <w:sz w:val="16"/>
        </w:rPr>
        <w:t xml:space="preserve"> while a similar share (23%) say they have instead opted for over-the-counter alternatives. About </w:t>
      </w:r>
      <w:r w:rsidRPr="00DD2D90">
        <w:rPr>
          <w:u w:val="single"/>
        </w:rPr>
        <w:t>one in seven</w:t>
      </w:r>
      <w:r w:rsidRPr="009278EB">
        <w:rPr>
          <w:sz w:val="16"/>
        </w:rPr>
        <w:t xml:space="preserve"> adults say they </w:t>
      </w:r>
      <w:r w:rsidRPr="00DD2D90">
        <w:rPr>
          <w:u w:val="single"/>
        </w:rPr>
        <w:t>have cut pills in half</w:t>
      </w:r>
      <w:r w:rsidRPr="009278EB">
        <w:rPr>
          <w:sz w:val="16"/>
        </w:rPr>
        <w:t xml:space="preserve"> or skipped doses of medicine in the last year because of the cost. </w:t>
      </w:r>
      <w:r w:rsidRPr="00DD2D90">
        <w:rPr>
          <w:u w:val="single"/>
        </w:rPr>
        <w:t>A third of all adults say they have taken</w:t>
      </w:r>
      <w:r w:rsidRPr="009278EB">
        <w:rPr>
          <w:sz w:val="16"/>
        </w:rPr>
        <w:t xml:space="preserve"> at least one of these </w:t>
      </w:r>
      <w:r w:rsidRPr="00DD2D90">
        <w:rPr>
          <w:u w:val="single"/>
        </w:rPr>
        <w:t>cost saving measures</w:t>
      </w:r>
      <w:r w:rsidRPr="009278EB">
        <w:rPr>
          <w:sz w:val="16"/>
        </w:rPr>
        <w:t xml:space="preserve"> in the past year, including larger shares of women and those with lower incomes. Health care debt is a burden for a large share of Americans. In 2022, about four in ten adults (</w:t>
      </w:r>
      <w:r w:rsidRPr="00DD2D90">
        <w:rPr>
          <w:highlight w:val="green"/>
          <w:u w:val="single"/>
        </w:rPr>
        <w:t>41</w:t>
      </w:r>
      <w:r w:rsidRPr="009278EB">
        <w:rPr>
          <w:sz w:val="16"/>
        </w:rPr>
        <w:t xml:space="preserve">%) </w:t>
      </w:r>
      <w:r w:rsidRPr="00DD2D90">
        <w:rPr>
          <w:highlight w:val="green"/>
          <w:u w:val="single"/>
        </w:rPr>
        <w:t>reported having debt due to medical</w:t>
      </w:r>
      <w:r w:rsidRPr="009278EB">
        <w:rPr>
          <w:sz w:val="16"/>
        </w:rPr>
        <w:t xml:space="preserve"> or dental </w:t>
      </w:r>
      <w:r w:rsidRPr="00DD2D90">
        <w:rPr>
          <w:highlight w:val="green"/>
          <w:u w:val="single"/>
        </w:rPr>
        <w:t>bills</w:t>
      </w:r>
      <w:r w:rsidRPr="009278EB">
        <w:rPr>
          <w:sz w:val="16"/>
        </w:rPr>
        <w:t xml:space="preserve"> including debts owed to credit cards, collections agencies, family and friends, banks, and other lenders to pay for their health care costs, </w:t>
      </w:r>
      <w:r w:rsidRPr="00DD2D90">
        <w:rPr>
          <w:highlight w:val="green"/>
          <w:u w:val="single"/>
        </w:rPr>
        <w:t>with disproportionate shares of Black and Hispanic adults</w:t>
      </w:r>
      <w:r w:rsidRPr="009278EB">
        <w:rPr>
          <w:sz w:val="16"/>
        </w:rPr>
        <w:t xml:space="preserve">, women, parents, those with low incomes, and uninsured adults </w:t>
      </w:r>
      <w:r w:rsidRPr="00DD2D90">
        <w:rPr>
          <w:highlight w:val="green"/>
          <w:u w:val="single"/>
        </w:rPr>
        <w:t>saying they have health care debt</w:t>
      </w:r>
      <w:r w:rsidRPr="009278EB">
        <w:rPr>
          <w:sz w:val="16"/>
        </w:rPr>
        <w:t xml:space="preserve">. Those who are covered by health insurance are not immune to the burden of health care costs. Almost </w:t>
      </w:r>
      <w:r w:rsidRPr="00DD2D90">
        <w:rPr>
          <w:highlight w:val="green"/>
          <w:u w:val="single"/>
        </w:rPr>
        <w:t>four in ten</w:t>
      </w:r>
      <w:r w:rsidRPr="009278EB">
        <w:rPr>
          <w:sz w:val="16"/>
        </w:rPr>
        <w:t xml:space="preserve"> insured adults under the age of 65 (38%) </w:t>
      </w:r>
      <w:r w:rsidRPr="00DD2D90">
        <w:rPr>
          <w:highlight w:val="green"/>
          <w:u w:val="single"/>
        </w:rPr>
        <w:t>worry about affording their monthly</w:t>
      </w:r>
      <w:r w:rsidRPr="009278EB">
        <w:rPr>
          <w:sz w:val="16"/>
        </w:rPr>
        <w:t xml:space="preserve"> health insurance </w:t>
      </w:r>
      <w:r w:rsidRPr="00DD2D90">
        <w:rPr>
          <w:highlight w:val="green"/>
          <w:u w:val="single"/>
        </w:rPr>
        <w:t>premium</w:t>
      </w:r>
      <w:r w:rsidRPr="009278EB">
        <w:rPr>
          <w:sz w:val="16"/>
        </w:rPr>
        <w:t xml:space="preserve"> and large shares of adults with employer-sponsored insurance (ESI) and those with Marketplace coverage rate their insurance as “fair” or “poor” when it comes to their monthly premium and to out-of-pocket costs to see a doctor. Notable shares of adults say they are worried about affording medical costs such as the cost of health care services (including the cost of health insurance and out-of-pocket costs for things like office visits and prescription drugs). Abou</w:t>
      </w:r>
      <w:r w:rsidRPr="00DD2D90">
        <w:rPr>
          <w:u w:val="single"/>
        </w:rPr>
        <w:t xml:space="preserve">t two-thirds of adults say they </w:t>
      </w:r>
      <w:r w:rsidRPr="009278EB">
        <w:rPr>
          <w:sz w:val="16"/>
        </w:rPr>
        <w:t xml:space="preserve">are either </w:t>
      </w:r>
      <w:r w:rsidRPr="00DD2D90">
        <w:rPr>
          <w:u w:val="single"/>
        </w:rPr>
        <w:t>“very worried”</w:t>
      </w:r>
      <w:r w:rsidRPr="009278EB">
        <w:rPr>
          <w:sz w:val="16"/>
        </w:rPr>
        <w:t xml:space="preserve"> (32%)</w:t>
      </w:r>
      <w:r w:rsidRPr="00DD2D90">
        <w:rPr>
          <w:u w:val="single"/>
        </w:rPr>
        <w:t xml:space="preserve"> or “somewhat worried” </w:t>
      </w:r>
      <w:r w:rsidRPr="009278EB">
        <w:rPr>
          <w:sz w:val="16"/>
        </w:rPr>
        <w:t xml:space="preserve">(34%) </w:t>
      </w:r>
      <w:r w:rsidRPr="00DD2D90">
        <w:rPr>
          <w:u w:val="single"/>
        </w:rPr>
        <w:t>about</w:t>
      </w:r>
      <w:r w:rsidRPr="009278EB">
        <w:rPr>
          <w:sz w:val="16"/>
        </w:rPr>
        <w:t xml:space="preserve"> being able to afford the </w:t>
      </w:r>
      <w:r w:rsidRPr="00DD2D90">
        <w:rPr>
          <w:u w:val="single"/>
        </w:rPr>
        <w:t>cost of health care</w:t>
      </w:r>
      <w:r w:rsidRPr="009278EB">
        <w:rPr>
          <w:sz w:val="16"/>
        </w:rPr>
        <w:t xml:space="preserve"> for themselves and their families. The cost of health care ranks at the top of the list when it comes to things that people worry about affording, followed by food, utilities, and other household expenses. Difficulty Affording Medical Costs Many U.S. adults have trouble affording health care costs. While </w:t>
      </w:r>
      <w:r w:rsidRPr="00DD2D90">
        <w:rPr>
          <w:u w:val="single"/>
        </w:rPr>
        <w:t>lower income and uninsured adults are the most likely to report this,</w:t>
      </w:r>
      <w:r w:rsidRPr="009278EB">
        <w:rPr>
          <w:sz w:val="16"/>
        </w:rPr>
        <w:t xml:space="preserve"> those with health insurance and those with higher incomes are not immune to the high cost of medical care. Just under half of U.S. adults say that it is very or somewhat difficult for them to afford their health care costs (44%). Uninsured adults under age 65 are much more likely to say affording health care costs is difficult (82%) compared to those with health insurance coverage (42%). Additionally, a slight majority of Hispanic adults (55%) and half of Black adults (49%) report difficulty affording health care costs compared to about four in ten White adults (39%). Adults in households with annual incomes under $40,000 are more likely than adults in households with higher incomes to say it is difficult to afford their health care costs. (Source: KFF Health Tracking Poll: May 2025) </w:t>
      </w:r>
    </w:p>
    <w:p w14:paraId="4285F20D" w14:textId="77777777" w:rsidR="00E66FBA" w:rsidRPr="009278EB" w:rsidRDefault="00E66FBA" w:rsidP="00E66FBA">
      <w:pPr>
        <w:pBdr>
          <w:top w:val="nil"/>
          <w:left w:val="nil"/>
          <w:bottom w:val="nil"/>
          <w:right w:val="nil"/>
          <w:between w:val="nil"/>
        </w:pBdr>
        <w:rPr>
          <w:sz w:val="16"/>
        </w:rPr>
      </w:pPr>
    </w:p>
    <w:p w14:paraId="27A3BDAF" w14:textId="77777777" w:rsidR="00E66FBA" w:rsidRPr="009278EB" w:rsidRDefault="00E66FBA" w:rsidP="00E66FBA">
      <w:pPr>
        <w:pBdr>
          <w:top w:val="nil"/>
          <w:left w:val="nil"/>
          <w:bottom w:val="nil"/>
          <w:right w:val="nil"/>
          <w:between w:val="nil"/>
        </w:pBdr>
        <w:rPr>
          <w:sz w:val="16"/>
        </w:rPr>
      </w:pPr>
    </w:p>
    <w:p w14:paraId="4FB097B3" w14:textId="77777777" w:rsidR="00E66FBA" w:rsidRPr="009278EB" w:rsidRDefault="00E66FBA" w:rsidP="00E66FBA">
      <w:pPr>
        <w:pBdr>
          <w:top w:val="nil"/>
          <w:left w:val="nil"/>
          <w:bottom w:val="nil"/>
          <w:right w:val="nil"/>
          <w:between w:val="nil"/>
        </w:pBdr>
        <w:rPr>
          <w:sz w:val="16"/>
        </w:rPr>
      </w:pPr>
    </w:p>
    <w:p w14:paraId="44B87F8D" w14:textId="77777777" w:rsidR="00E66FBA" w:rsidRPr="009278EB" w:rsidRDefault="00E66FBA" w:rsidP="00E66FBA">
      <w:pPr>
        <w:pBdr>
          <w:top w:val="nil"/>
          <w:left w:val="nil"/>
          <w:bottom w:val="nil"/>
          <w:right w:val="nil"/>
          <w:between w:val="nil"/>
        </w:pBdr>
        <w:rPr>
          <w:sz w:val="16"/>
        </w:rPr>
      </w:pPr>
    </w:p>
    <w:p w14:paraId="18204A41" w14:textId="77777777" w:rsidR="001756B0" w:rsidRPr="00DD2D90" w:rsidRDefault="001756B0" w:rsidP="001756B0">
      <w:pPr>
        <w:pStyle w:val="Heading4"/>
        <w:rPr>
          <w:sz w:val="22"/>
        </w:rPr>
      </w:pPr>
      <w:r w:rsidRPr="00DD2D90">
        <w:rPr>
          <w:sz w:val="22"/>
        </w:rPr>
        <w:t>The medical debt crisis is devastating black, poor, and disabled communities, and causing the self-rationing of care</w:t>
      </w:r>
    </w:p>
    <w:p w14:paraId="29CD51F7" w14:textId="77777777" w:rsidR="001756B0" w:rsidRPr="00DD2D90" w:rsidRDefault="001756B0" w:rsidP="001756B0">
      <w:r w:rsidRPr="00DD2D90">
        <w:rPr>
          <w:b/>
          <w:bCs/>
        </w:rPr>
        <w:t xml:space="preserve">Rakshit et al. 24 </w:t>
      </w:r>
      <w:r w:rsidRPr="00DD2D90">
        <w:t>[Shameek Rakshit, research associate at KFF for the Program on the ACA and the Peterson-KFF Health System Tracker, 02-12-2024, “The burden of medical debt in the United States,” KFF, https://www.healthsystemtracker.org/brief/the-burden-of-medical-debt-in-the-united-states/#Share%20of%20adults%20who%20have%20medical%20debt,%20by%20health%20status%20and%20disability%20status,%202021]/Kankee</w:t>
      </w:r>
    </w:p>
    <w:p w14:paraId="44CE4CF8" w14:textId="210F95A8" w:rsidR="001756B0" w:rsidRPr="009278EB" w:rsidRDefault="001756B0" w:rsidP="001756B0">
      <w:pPr>
        <w:rPr>
          <w:sz w:val="16"/>
        </w:rPr>
      </w:pPr>
      <w:r w:rsidRPr="00DD2D90">
        <w:rPr>
          <w:u w:val="single"/>
        </w:rPr>
        <w:t>Despite over 90% of the United States population having some form of health insurance,</w:t>
      </w:r>
      <w:r w:rsidRPr="009278EB">
        <w:rPr>
          <w:sz w:val="16"/>
        </w:rPr>
        <w:t xml:space="preserve"> </w:t>
      </w:r>
      <w:r w:rsidRPr="00DD2D90">
        <w:rPr>
          <w:u w:val="single"/>
        </w:rPr>
        <w:t>medical debt</w:t>
      </w:r>
      <w:r w:rsidRPr="009278EB">
        <w:rPr>
          <w:sz w:val="16"/>
        </w:rPr>
        <w:t xml:space="preserve"> </w:t>
      </w:r>
      <w:r w:rsidRPr="00DD2D90">
        <w:rPr>
          <w:u w:val="single"/>
        </w:rPr>
        <w:t xml:space="preserve">remains a </w:t>
      </w:r>
      <w:r w:rsidRPr="00DD2D90">
        <w:rPr>
          <w:rStyle w:val="Emphasis"/>
        </w:rPr>
        <w:t>persistent</w:t>
      </w:r>
      <w:r w:rsidRPr="00DD2D90">
        <w:rPr>
          <w:u w:val="single"/>
        </w:rPr>
        <w:t xml:space="preserve"> problem.</w:t>
      </w:r>
      <w:r w:rsidRPr="009278EB">
        <w:rPr>
          <w:sz w:val="16"/>
        </w:rPr>
        <w:t xml:space="preserve"> For people and families with limited assets, even </w:t>
      </w:r>
      <w:r w:rsidRPr="00DD2D90">
        <w:rPr>
          <w:highlight w:val="green"/>
          <w:u w:val="single"/>
        </w:rPr>
        <w:t>a</w:t>
      </w:r>
      <w:r w:rsidRPr="009278EB">
        <w:rPr>
          <w:sz w:val="16"/>
        </w:rPr>
        <w:t xml:space="preserve"> relatively </w:t>
      </w:r>
      <w:r w:rsidRPr="00DD2D90">
        <w:rPr>
          <w:highlight w:val="green"/>
          <w:u w:val="single"/>
        </w:rPr>
        <w:t>small</w:t>
      </w:r>
      <w:r w:rsidRPr="009278EB">
        <w:rPr>
          <w:sz w:val="16"/>
        </w:rPr>
        <w:t xml:space="preserve"> unexpected </w:t>
      </w:r>
      <w:r w:rsidRPr="00DD2D90">
        <w:rPr>
          <w:highlight w:val="green"/>
          <w:u w:val="single"/>
        </w:rPr>
        <w:t xml:space="preserve">medical expense can be </w:t>
      </w:r>
      <w:r w:rsidRPr="00DD2D90">
        <w:rPr>
          <w:rStyle w:val="Emphasis"/>
          <w:highlight w:val="green"/>
        </w:rPr>
        <w:t>unaffordable</w:t>
      </w:r>
      <w:r w:rsidRPr="009278EB">
        <w:rPr>
          <w:sz w:val="16"/>
        </w:rPr>
        <w:t xml:space="preserve">. For people with significant medical needs, </w:t>
      </w:r>
      <w:r w:rsidRPr="00DD2D90">
        <w:rPr>
          <w:u w:val="single"/>
        </w:rPr>
        <w:t>medical debt</w:t>
      </w:r>
      <w:r w:rsidRPr="009278EB">
        <w:rPr>
          <w:sz w:val="16"/>
        </w:rPr>
        <w:t xml:space="preserve"> may </w:t>
      </w:r>
      <w:r w:rsidRPr="00DD2D90">
        <w:rPr>
          <w:u w:val="single"/>
        </w:rPr>
        <w:t>build up over time</w:t>
      </w:r>
      <w:r w:rsidRPr="009278EB">
        <w:rPr>
          <w:sz w:val="16"/>
        </w:rPr>
        <w:t xml:space="preserve">. People living with cancer, for example, have higher levels of debt than individuals who have never had cancer.   </w:t>
      </w:r>
      <w:r w:rsidRPr="00DD2D90">
        <w:rPr>
          <w:highlight w:val="green"/>
          <w:u w:val="single"/>
        </w:rPr>
        <w:t>High deductibles</w:t>
      </w:r>
      <w:r w:rsidRPr="009278EB">
        <w:rPr>
          <w:sz w:val="16"/>
        </w:rPr>
        <w:t xml:space="preserve"> and other forms of cost sharing can </w:t>
      </w:r>
      <w:r w:rsidRPr="00DD2D90">
        <w:rPr>
          <w:highlight w:val="green"/>
          <w:u w:val="single"/>
        </w:rPr>
        <w:t xml:space="preserve">contribute </w:t>
      </w:r>
      <w:r w:rsidRPr="00DD2D90">
        <w:rPr>
          <w:u w:val="single"/>
        </w:rPr>
        <w:t>to individuals receiving medical</w:t>
      </w:r>
      <w:r w:rsidRPr="009278EB">
        <w:rPr>
          <w:sz w:val="16"/>
        </w:rPr>
        <w:t xml:space="preserve"> </w:t>
      </w:r>
      <w:r w:rsidRPr="00DD2D90">
        <w:rPr>
          <w:u w:val="single"/>
        </w:rPr>
        <w:t>bills</w:t>
      </w:r>
      <w:r w:rsidRPr="009278EB">
        <w:rPr>
          <w:sz w:val="16"/>
        </w:rPr>
        <w:t xml:space="preserve"> that </w:t>
      </w:r>
      <w:r w:rsidRPr="00DD2D90">
        <w:rPr>
          <w:u w:val="single"/>
        </w:rPr>
        <w:t>they are unable to pay</w:t>
      </w:r>
      <w:r w:rsidRPr="009278EB">
        <w:rPr>
          <w:sz w:val="16"/>
        </w:rPr>
        <w:t xml:space="preserve">, despite being insured. KFF polling shows that </w:t>
      </w:r>
      <w:r w:rsidRPr="00DD2D90">
        <w:rPr>
          <w:u w:val="single"/>
        </w:rPr>
        <w:t xml:space="preserve">people with medical debt report </w:t>
      </w:r>
      <w:r w:rsidRPr="00DD2D90">
        <w:rPr>
          <w:highlight w:val="green"/>
          <w:u w:val="single"/>
        </w:rPr>
        <w:t>cutting spending on food</w:t>
      </w:r>
      <w:r w:rsidRPr="00DD2D90">
        <w:rPr>
          <w:u w:val="single"/>
        </w:rPr>
        <w:t>, clothing, and other</w:t>
      </w:r>
      <w:r w:rsidRPr="009278EB">
        <w:rPr>
          <w:sz w:val="16"/>
        </w:rPr>
        <w:t xml:space="preserve"> household </w:t>
      </w:r>
      <w:r w:rsidRPr="00DD2D90">
        <w:rPr>
          <w:u w:val="single"/>
        </w:rPr>
        <w:t>items</w:t>
      </w:r>
      <w:r w:rsidRPr="009278EB">
        <w:rPr>
          <w:sz w:val="16"/>
        </w:rPr>
        <w:t xml:space="preserve">, </w:t>
      </w:r>
      <w:r w:rsidRPr="00DD2D90">
        <w:rPr>
          <w:rStyle w:val="StyleUnderline"/>
          <w:highlight w:val="green"/>
        </w:rPr>
        <w:t>spending down</w:t>
      </w:r>
      <w:r w:rsidRPr="009278EB">
        <w:rPr>
          <w:sz w:val="16"/>
        </w:rPr>
        <w:t xml:space="preserve"> their </w:t>
      </w:r>
      <w:r w:rsidRPr="00DD2D90">
        <w:rPr>
          <w:rStyle w:val="StyleUnderline"/>
          <w:highlight w:val="green"/>
        </w:rPr>
        <w:t>savings</w:t>
      </w:r>
      <w:r w:rsidRPr="009278EB">
        <w:rPr>
          <w:sz w:val="16"/>
        </w:rPr>
        <w:t xml:space="preserve"> to pay for medical bills, </w:t>
      </w:r>
      <w:r w:rsidRPr="00DD2D90">
        <w:rPr>
          <w:rStyle w:val="StyleUnderline"/>
        </w:rPr>
        <w:t xml:space="preserve">borrowing money from friends or family members, </w:t>
      </w:r>
      <w:r w:rsidRPr="00DD2D90">
        <w:rPr>
          <w:rStyle w:val="StyleUnderline"/>
          <w:highlight w:val="green"/>
        </w:rPr>
        <w:t>or taking on additional debts</w:t>
      </w:r>
      <w:r w:rsidRPr="009278EB">
        <w:rPr>
          <w:sz w:val="16"/>
        </w:rPr>
        <w:t xml:space="preserve">. (The KFF polling found that 41% of adults have health care debt according to a broader definition, which includes health care debt on credit cards or owed to family members.)    This brief analyzes data from the Survey of Income and Program Participation (SIPP) to understand how many people have medical debt and how much they owe. A recent Census Bureau analysis on medical debt at the household level found </w:t>
      </w:r>
      <w:r w:rsidRPr="00DD2D90">
        <w:rPr>
          <w:rStyle w:val="Emphasis"/>
        </w:rPr>
        <w:t xml:space="preserve">15% </w:t>
      </w:r>
      <w:r w:rsidRPr="00DD2D90">
        <w:rPr>
          <w:u w:val="single"/>
        </w:rPr>
        <w:t>of households owed medical debt</w:t>
      </w:r>
      <w:r w:rsidRPr="009278EB">
        <w:rPr>
          <w:sz w:val="16"/>
        </w:rPr>
        <w:t xml:space="preserve"> in 2021. In this analysis, SIPP data is summarized at the individual level for adults who reported owing over $250 in unpaid medical bills as of December 2021. This analysis focuses on people with</w:t>
      </w:r>
      <w:r w:rsidRPr="00DD2D90">
        <w:rPr>
          <w:u w:val="single"/>
        </w:rPr>
        <w:t xml:space="preserve"> over $250 </w:t>
      </w:r>
      <w:r w:rsidRPr="009278EB">
        <w:rPr>
          <w:sz w:val="16"/>
        </w:rPr>
        <w:t xml:space="preserve">in medical debt, a threshold defined as “significant” medical debt to distinguish from people who owe relatively small amounts.   This analysis shows that </w:t>
      </w:r>
      <w:r w:rsidRPr="00DD2D90">
        <w:rPr>
          <w:rStyle w:val="Emphasis"/>
          <w:highlight w:val="green"/>
        </w:rPr>
        <w:t>20 million</w:t>
      </w:r>
      <w:r w:rsidRPr="00DD2D90">
        <w:rPr>
          <w:highlight w:val="green"/>
          <w:u w:val="single"/>
        </w:rPr>
        <w:t xml:space="preserve"> people</w:t>
      </w:r>
      <w:r w:rsidRPr="009278EB">
        <w:rPr>
          <w:sz w:val="16"/>
        </w:rPr>
        <w:t xml:space="preserve"> (nearly 1 in 12 adults) </w:t>
      </w:r>
      <w:r w:rsidRPr="00DD2D90">
        <w:rPr>
          <w:u w:val="single"/>
        </w:rPr>
        <w:t>owe medical debt</w:t>
      </w:r>
      <w:r w:rsidRPr="009278EB">
        <w:rPr>
          <w:sz w:val="16"/>
        </w:rPr>
        <w:t>. The SIPP survey suggests</w:t>
      </w:r>
      <w:r w:rsidRPr="00DD2D90">
        <w:rPr>
          <w:u w:val="single"/>
        </w:rPr>
        <w:t xml:space="preserve"> people in the United States </w:t>
      </w:r>
      <w:r w:rsidRPr="00DD2D90">
        <w:rPr>
          <w:highlight w:val="green"/>
          <w:u w:val="single"/>
        </w:rPr>
        <w:t xml:space="preserve">owe at least </w:t>
      </w:r>
      <w:r w:rsidRPr="00DD2D90">
        <w:rPr>
          <w:rStyle w:val="Emphasis"/>
          <w:highlight w:val="green"/>
        </w:rPr>
        <w:t>$220 billion</w:t>
      </w:r>
      <w:r w:rsidRPr="00DD2D90">
        <w:rPr>
          <w:u w:val="single"/>
        </w:rPr>
        <w:t xml:space="preserve"> </w:t>
      </w:r>
      <w:r w:rsidRPr="00DD2D90">
        <w:rPr>
          <w:highlight w:val="green"/>
          <w:u w:val="single"/>
        </w:rPr>
        <w:t>in medical debt</w:t>
      </w:r>
      <w:r w:rsidRPr="009278EB">
        <w:rPr>
          <w:sz w:val="16"/>
        </w:rPr>
        <w:t xml:space="preserve">. Approximately 14 million people (6% of adults) in the U.S. owe over $1,000 in medical debt and about 3 million people (1% of adults) owe medical debt of more than $10,000. While medical debt occurs across demographic groups, people with disabilities or in worse health, lower-income people, and uninsured people are more likely to have medical debt.   People in worse health and those living with a disability are more likely to report medical debt   People with complex heath needs that require ongoing care can see medical bills pile up over time. </w:t>
      </w:r>
      <w:r w:rsidRPr="00DD2D90">
        <w:rPr>
          <w:rStyle w:val="StyleUnderline"/>
        </w:rPr>
        <w:t>Those</w:t>
      </w:r>
      <w:r w:rsidRPr="009278EB">
        <w:rPr>
          <w:sz w:val="16"/>
        </w:rPr>
        <w:t xml:space="preserve"> in worse health or those </w:t>
      </w:r>
      <w:r w:rsidRPr="00DD2D90">
        <w:rPr>
          <w:rStyle w:val="StyleUnderline"/>
        </w:rPr>
        <w:t>living with disabilities</w:t>
      </w:r>
      <w:r w:rsidRPr="009278EB">
        <w:rPr>
          <w:sz w:val="16"/>
        </w:rPr>
        <w:t xml:space="preserve"> may also </w:t>
      </w:r>
      <w:r w:rsidRPr="00DD2D90">
        <w:rPr>
          <w:rStyle w:val="StyleUnderline"/>
        </w:rPr>
        <w:t>experience unemployment or income</w:t>
      </w:r>
      <w:r w:rsidRPr="009278EB">
        <w:rPr>
          <w:sz w:val="16"/>
        </w:rPr>
        <w:t xml:space="preserve"> </w:t>
      </w:r>
      <w:r w:rsidRPr="00DD2D90">
        <w:rPr>
          <w:rStyle w:val="StyleUnderline"/>
        </w:rPr>
        <w:t>losses</w:t>
      </w:r>
      <w:r w:rsidRPr="009278EB">
        <w:rPr>
          <w:sz w:val="16"/>
        </w:rPr>
        <w:t xml:space="preserve">, further </w:t>
      </w:r>
      <w:r w:rsidRPr="00DD2D90">
        <w:rPr>
          <w:rStyle w:val="StyleUnderline"/>
        </w:rPr>
        <w:t>contributing to</w:t>
      </w:r>
      <w:r w:rsidRPr="009278EB">
        <w:rPr>
          <w:sz w:val="16"/>
        </w:rPr>
        <w:t xml:space="preserve"> their difficulty affording </w:t>
      </w:r>
      <w:r w:rsidRPr="00DD2D90">
        <w:rPr>
          <w:rStyle w:val="StyleUnderline"/>
        </w:rPr>
        <w:t>medical bills</w:t>
      </w:r>
      <w:r w:rsidRPr="009278EB">
        <w:rPr>
          <w:sz w:val="16"/>
        </w:rPr>
        <w:t xml:space="preserve">. </w:t>
      </w:r>
      <w:r w:rsidRPr="00DD2D90">
        <w:rPr>
          <w:rStyle w:val="StyleUnderline"/>
          <w:highlight w:val="green"/>
        </w:rPr>
        <w:t>Adults</w:t>
      </w:r>
      <w:r w:rsidRPr="00DD2D90">
        <w:rPr>
          <w:rStyle w:val="StyleUnderline"/>
        </w:rPr>
        <w:t xml:space="preserve"> living </w:t>
      </w:r>
      <w:r w:rsidRPr="00DD2D90">
        <w:rPr>
          <w:rStyle w:val="StyleUnderline"/>
          <w:highlight w:val="green"/>
        </w:rPr>
        <w:t>with a disability</w:t>
      </w:r>
      <w:r w:rsidRPr="00DD2D90">
        <w:rPr>
          <w:rStyle w:val="StyleUnderline"/>
        </w:rPr>
        <w:t xml:space="preserve"> are more likely than those without a disability to </w:t>
      </w:r>
      <w:r w:rsidRPr="00DD2D90">
        <w:rPr>
          <w:rStyle w:val="StyleUnderline"/>
          <w:highlight w:val="green"/>
        </w:rPr>
        <w:t>report</w:t>
      </w:r>
      <w:r w:rsidRPr="00DD2D90">
        <w:rPr>
          <w:rStyle w:val="StyleUnderline"/>
        </w:rPr>
        <w:t xml:space="preserve"> owing </w:t>
      </w:r>
      <w:r w:rsidRPr="00DD2D90">
        <w:rPr>
          <w:rStyle w:val="StyleUnderline"/>
          <w:highlight w:val="green"/>
        </w:rPr>
        <w:t>medical debt</w:t>
      </w:r>
      <w:r w:rsidRPr="009278EB">
        <w:rPr>
          <w:sz w:val="16"/>
        </w:rPr>
        <w:t xml:space="preserve"> (</w:t>
      </w:r>
      <w:r w:rsidRPr="00DD2D90">
        <w:rPr>
          <w:rStyle w:val="Emphasis"/>
          <w:highlight w:val="green"/>
        </w:rPr>
        <w:t>13%</w:t>
      </w:r>
      <w:r w:rsidRPr="00DD2D90">
        <w:rPr>
          <w:rStyle w:val="Emphasis"/>
        </w:rPr>
        <w:t xml:space="preserve"> </w:t>
      </w:r>
      <w:r w:rsidRPr="00DD2D90">
        <w:rPr>
          <w:rStyle w:val="StyleUnderline"/>
        </w:rPr>
        <w:t>vs.</w:t>
      </w:r>
      <w:r w:rsidRPr="00DD2D90">
        <w:rPr>
          <w:rStyle w:val="Emphasis"/>
        </w:rPr>
        <w:t xml:space="preserve"> 6%</w:t>
      </w:r>
      <w:r w:rsidRPr="009278EB">
        <w:rPr>
          <w:sz w:val="16"/>
        </w:rPr>
        <w:t xml:space="preserve">). Similarly, adults who report their health status is “fair” or “poor” are more likely to say they owe medical debt than those who say they are in “good” or better health.   Related Content:  Health Spending  How recent </w:t>
      </w:r>
      <w:r w:rsidRPr="00DD2D90">
        <w:rPr>
          <w:u w:val="single"/>
        </w:rPr>
        <w:t>manufacturer</w:t>
      </w:r>
      <w:r w:rsidRPr="009278EB">
        <w:rPr>
          <w:sz w:val="16"/>
        </w:rPr>
        <w:t xml:space="preserve"> savings </w:t>
      </w:r>
      <w:r w:rsidRPr="00DD2D90">
        <w:rPr>
          <w:u w:val="single"/>
        </w:rPr>
        <w:t>programs</w:t>
      </w:r>
      <w:r w:rsidRPr="009278EB">
        <w:rPr>
          <w:sz w:val="16"/>
        </w:rPr>
        <w:t xml:space="preserve"> may </w:t>
      </w:r>
      <w:r w:rsidRPr="00DD2D90">
        <w:rPr>
          <w:u w:val="single"/>
        </w:rPr>
        <w:t xml:space="preserve">impact individual out-of-pocket spending on asthma and COPD inhalers  </w:t>
      </w:r>
      <w:r w:rsidRPr="009278EB">
        <w:rPr>
          <w:sz w:val="16"/>
        </w:rPr>
        <w:t>Access &amp; Affordability  How does cost affect access to healthcare? Middle-aged adults and</w:t>
      </w:r>
      <w:r w:rsidRPr="00DD2D90">
        <w:rPr>
          <w:u w:val="single"/>
        </w:rPr>
        <w:t xml:space="preserve"> Black people are more likely to have medical debt</w:t>
      </w:r>
      <w:r w:rsidRPr="009278EB">
        <w:rPr>
          <w:sz w:val="16"/>
        </w:rPr>
        <w:t xml:space="preserve">   People typically use more health care and often have higher health care expenses and out-of-pocket costs as they age. Unsurprisingly, the share of adults with medical debt increases with age and middle-aged adults are more likely than young adults to have medical debt. However, the share of adults with medical debt decreases when people reach Medicare age. This analysis shows that </w:t>
      </w:r>
      <w:r w:rsidRPr="00DD2D90">
        <w:rPr>
          <w:u w:val="single"/>
        </w:rPr>
        <w:t>10% of adults ages 50 to 64 report having medical debt</w:t>
      </w:r>
      <w:r w:rsidRPr="009278EB">
        <w:rPr>
          <w:sz w:val="16"/>
        </w:rPr>
        <w:t xml:space="preserve">, compared to 6% of those ages 65 to 79.   </w:t>
      </w:r>
      <w:r w:rsidRPr="00DD2D90">
        <w:rPr>
          <w:u w:val="single"/>
        </w:rPr>
        <w:t>Black Americans are far more likely than people of other racial and ethnic groups to report having medical debt</w:t>
      </w:r>
      <w:r w:rsidRPr="009278EB">
        <w:rPr>
          <w:sz w:val="16"/>
        </w:rPr>
        <w:t xml:space="preserve">. This analysis shows that </w:t>
      </w:r>
      <w:r w:rsidRPr="00DD2D90">
        <w:rPr>
          <w:highlight w:val="green"/>
          <w:u w:val="single"/>
        </w:rPr>
        <w:t>13% of Black</w:t>
      </w:r>
      <w:r w:rsidRPr="00DD2D90">
        <w:rPr>
          <w:u w:val="single"/>
        </w:rPr>
        <w:t xml:space="preserve"> Americans report having medical debt, </w:t>
      </w:r>
      <w:r w:rsidRPr="00DD2D90">
        <w:rPr>
          <w:highlight w:val="green"/>
          <w:u w:val="single"/>
        </w:rPr>
        <w:t>compared to 8%</w:t>
      </w:r>
      <w:r w:rsidRPr="00DD2D90">
        <w:rPr>
          <w:u w:val="single"/>
        </w:rPr>
        <w:t xml:space="preserve"> </w:t>
      </w:r>
      <w:r w:rsidRPr="00DD2D90">
        <w:rPr>
          <w:highlight w:val="green"/>
          <w:u w:val="single"/>
        </w:rPr>
        <w:t>of White</w:t>
      </w:r>
      <w:r w:rsidRPr="00DD2D90">
        <w:rPr>
          <w:u w:val="single"/>
        </w:rPr>
        <w:t xml:space="preserve"> and 3% of Asian Americans</w:t>
      </w:r>
      <w:r w:rsidRPr="009278EB">
        <w:rPr>
          <w:sz w:val="16"/>
        </w:rPr>
        <w:t xml:space="preserve">.   </w:t>
      </w:r>
      <w:r w:rsidRPr="00DD2D90">
        <w:rPr>
          <w:rStyle w:val="StyleUnderline"/>
        </w:rPr>
        <w:t>Women are</w:t>
      </w:r>
      <w:r w:rsidRPr="009278EB">
        <w:rPr>
          <w:sz w:val="16"/>
        </w:rPr>
        <w:t xml:space="preserve"> also </w:t>
      </w:r>
      <w:r w:rsidRPr="00DD2D90">
        <w:rPr>
          <w:rStyle w:val="StyleUnderline"/>
        </w:rPr>
        <w:t>more likely to</w:t>
      </w:r>
      <w:r w:rsidRPr="009278EB">
        <w:rPr>
          <w:sz w:val="16"/>
        </w:rPr>
        <w:t xml:space="preserve"> </w:t>
      </w:r>
      <w:r w:rsidRPr="00DD2D90">
        <w:rPr>
          <w:rStyle w:val="StyleUnderline"/>
          <w:highlight w:val="green"/>
        </w:rPr>
        <w:t>report</w:t>
      </w:r>
      <w:r w:rsidRPr="00DD2D90">
        <w:rPr>
          <w:rStyle w:val="StyleUnderline"/>
        </w:rPr>
        <w:t xml:space="preserve"> having </w:t>
      </w:r>
      <w:r w:rsidRPr="00DD2D90">
        <w:rPr>
          <w:rStyle w:val="StyleUnderline"/>
          <w:highlight w:val="green"/>
        </w:rPr>
        <w:t>medical debt</w:t>
      </w:r>
      <w:r w:rsidRPr="009278EB">
        <w:rPr>
          <w:sz w:val="16"/>
        </w:rPr>
        <w:t xml:space="preserve"> (9%) than men (7%), on average. Some of this difference is likely related to childbirth expenses and lower average income among women than men.   </w:t>
      </w:r>
      <w:r w:rsidRPr="00DD2D90">
        <w:rPr>
          <w:rStyle w:val="StyleUnderline"/>
        </w:rPr>
        <w:t>Low</w:t>
      </w:r>
      <w:r w:rsidRPr="009278EB">
        <w:rPr>
          <w:sz w:val="16"/>
        </w:rPr>
        <w:t>- and middle-</w:t>
      </w:r>
      <w:r w:rsidRPr="00DD2D90">
        <w:rPr>
          <w:rStyle w:val="StyleUnderline"/>
        </w:rPr>
        <w:t>income adults</w:t>
      </w:r>
      <w:r w:rsidRPr="009278EB">
        <w:rPr>
          <w:sz w:val="16"/>
        </w:rPr>
        <w:t xml:space="preserve"> and those without health insurance </w:t>
      </w:r>
      <w:r w:rsidRPr="00DD2D90">
        <w:rPr>
          <w:rStyle w:val="StyleUnderline"/>
        </w:rPr>
        <w:t>are more likely to have medical debt</w:t>
      </w:r>
      <w:r w:rsidRPr="009278EB">
        <w:rPr>
          <w:sz w:val="16"/>
        </w:rPr>
        <w:t xml:space="preserve">   Adults with lower and modest incomes are more likely to have medical debt. This analysis shows that about 1 in 10 adults with incomes below 400% of the federal poverty level (FPL) report having medical debt. In 2021, the federal poverty line was $12,880 for a person living on their own and $26,500 for a family of four.   </w:t>
      </w:r>
      <w:r w:rsidRPr="00DD2D90">
        <w:rPr>
          <w:u w:val="single"/>
        </w:rPr>
        <w:t>Most people in the United States are insured, but adults who were uninsured for part of the year are more likely to report having medical debt (14%) than those who were insured the full year (8%) or uninsured for the whole year (11%).</w:t>
      </w:r>
      <w:r w:rsidRPr="009278EB">
        <w:rPr>
          <w:sz w:val="16"/>
        </w:rPr>
        <w:t xml:space="preserve">   People living in rural areas and in the South are more likely to have medical debt   The burden of medical debt is not distributed equally across the country. Adults living in rural areas and in the South are more likely to report having medical debt.   Health status and income are both key factors in medical debt   The chart above highlights the interaction between income and health status. Poor health status is associated with higher rates of medical debt even among people with higher incomes — adults with higher incomes in poor health are more likely to have medical debt than adults with lower incomes in good health. Adults in worse health are more likely to report medical debt when they are also lower- or middle-income. For example, 22% of adults in poor health with household incomes under 400% of the poverty line had medical debt, compared to 14% of adults in poor health with incomes at 400% or more of the poverty line.   Most people with medical debt owe over $1,000   Most of the 20 million adults with medical debt owe over $1,000, and about half (11 million people) owe over $2,000. Among the 20 million adults with medical debt, about 3 million (13%) have debt obligations between $5,001 and $10,000, and another 3 million (14%) owe more than $10,000.   Approximately </w:t>
      </w:r>
      <w:r w:rsidRPr="00DD2D90">
        <w:rPr>
          <w:u w:val="single"/>
        </w:rPr>
        <w:t>6% of adults</w:t>
      </w:r>
      <w:r w:rsidRPr="009278EB">
        <w:rPr>
          <w:sz w:val="16"/>
        </w:rPr>
        <w:t xml:space="preserve"> (14 million people) in the U.S. </w:t>
      </w:r>
      <w:r w:rsidRPr="00DD2D90">
        <w:rPr>
          <w:u w:val="single"/>
        </w:rPr>
        <w:t>owe more than $1,000</w:t>
      </w:r>
      <w:r w:rsidRPr="009278EB">
        <w:rPr>
          <w:sz w:val="16"/>
        </w:rPr>
        <w:t xml:space="preserve">, 2% (6 million people) owe more than $5,000 in medical debt, and 1% of adults (3 million people) in the U.S. owe more than $10,000 in medical debt.   </w:t>
      </w:r>
      <w:r w:rsidRPr="00DD2D90">
        <w:rPr>
          <w:u w:val="single"/>
        </w:rPr>
        <w:t xml:space="preserve">People in the U.S. owe at least </w:t>
      </w:r>
      <w:r w:rsidRPr="00DD2D90">
        <w:rPr>
          <w:rStyle w:val="Emphasis"/>
        </w:rPr>
        <w:t>$220 billion</w:t>
      </w:r>
      <w:r w:rsidRPr="00DD2D90">
        <w:rPr>
          <w:u w:val="single"/>
        </w:rPr>
        <w:t xml:space="preserve"> in medical debt</w:t>
      </w:r>
      <w:r w:rsidRPr="009278EB">
        <w:rPr>
          <w:sz w:val="16"/>
        </w:rPr>
        <w:t xml:space="preserve"> and the bulk of that debt is owed by people with over $10,000 in debt   The total amount of medical debt is difficult to estimate. While surveys capture a larger share of people and more types of medical debt than analyses of credit reports, there are challenges in capturing data from people who owe high levels of debt. A small share of adults accounts for a large share of the total; for example, 0.3% of adults account for well more than half of the total medical debt. In SIPP, the aggregate amount of medical debt owed among the highest debt holders varies considerably from year to year. To reduce the influence of the highest debt holders on the aggregate amount of medical debt, KFF used a conservative method to calculate the total medical debt for respondents with extremely high debt amounts in SIPP. This approach essentially removes the highest debt values from the calculation. See Methods below for details.   Using this approach, the SIPP survey suggests that </w:t>
      </w:r>
      <w:r w:rsidRPr="00DD2D90">
        <w:rPr>
          <w:u w:val="single"/>
        </w:rPr>
        <w:t>total medical debt owed was at least $220 billion at the end of 2021</w:t>
      </w:r>
      <w:r w:rsidRPr="009278EB">
        <w:rPr>
          <w:sz w:val="16"/>
        </w:rPr>
        <w:t>. This total represents the aggregate medical debt for people with over $250 and top coded up to $225,000 in medical debt. This is considerably less than the total medical debt reported in SIPP, but still much more than the total amounts estimated by others using credit reports.   The Consumer Financial Protection Bureau (CFPB) estimates that $88 billion in medical debt is reflected on Americans’ credit reports, though they acknowledge that the total amount of medical debt is likely higher because not all medical debt is visible to consumer reporting companies and those data only reflect debt among people with credit reports (not all adults). Medical debt can also be masked as other forms of debt, for example, when people pay for a medical expense on a credit card or fall behind on other payments to keep up with medical bills. On one hand, assessing total medical debt through surveys is difficult because a large share of total debt is held by a small share of people. On the other hand, surveys like SIPP may include medical debt that is not visible on credit reports or is otherwise disguised as another form of debt. This analysis suggests that the total amount of medical debt is likely much larger than the already large amount of medical debt reflected on credit reports.   The share of adults with medical debt varies considerably across the U.S.   To bolster the number of respondents when analyzing medical debt at the state level, the chart above presents an average of the three most recent years of SIPP data. Annually on average, 8.6% of adults reported having medical debt between 2019 and 2021.     The burden of medical debt varies considerably from state to state. Hawaii (2.3%) and D.C. (2.7%) have the lowest share of adults with medical debt. States with the highest share of adults with medical debt include South Dakota (17.7%), Mississippi (15.2%), North Carolina (13.4%), West Virginia (13.3%), and Georgia (12.7%).      Discussion  Medical debt remains a persistent problem even among people with insurance coverage.</w:t>
      </w:r>
      <w:r w:rsidRPr="00DD2D90">
        <w:rPr>
          <w:u w:val="single"/>
        </w:rPr>
        <w:t xml:space="preserve"> Most Americans have private health insurance, which generally requires payment of a deductible, coinsurance, and copays for medical services and prescriptions. </w:t>
      </w:r>
      <w:r w:rsidRPr="00DD2D90">
        <w:rPr>
          <w:highlight w:val="green"/>
          <w:u w:val="single"/>
        </w:rPr>
        <w:t xml:space="preserve">A serious injury or illness can cost </w:t>
      </w:r>
      <w:r w:rsidRPr="00DD2D90">
        <w:rPr>
          <w:rStyle w:val="Emphasis"/>
          <w:highlight w:val="green"/>
        </w:rPr>
        <w:t>thousands</w:t>
      </w:r>
      <w:r w:rsidRPr="00DD2D90">
        <w:rPr>
          <w:highlight w:val="green"/>
          <w:u w:val="single"/>
        </w:rPr>
        <w:t xml:space="preserve"> of dollars</w:t>
      </w:r>
      <w:r w:rsidRPr="009278EB">
        <w:rPr>
          <w:sz w:val="16"/>
        </w:rPr>
        <w:t xml:space="preserve"> out-of-pocket to meet these deductibles and other cost-sharing requirements. For people with a chronic illness, even smaller copays and other cost-sharing expenses can accumulate to unaffordable amounts. Insured patients can also incur medical debt from care that is not covered by insurance, including for denied claims, and for out-of-network care.    Many </w:t>
      </w:r>
      <w:r w:rsidRPr="00DD2D90">
        <w:rPr>
          <w:highlight w:val="green"/>
          <w:u w:val="single"/>
        </w:rPr>
        <w:t>Americans, even those with private health insurance, do not have enough</w:t>
      </w:r>
      <w:r w:rsidRPr="009278EB">
        <w:rPr>
          <w:sz w:val="16"/>
        </w:rPr>
        <w:t xml:space="preserve"> liquid </w:t>
      </w:r>
      <w:r w:rsidRPr="00DD2D90">
        <w:rPr>
          <w:highlight w:val="green"/>
          <w:u w:val="single"/>
        </w:rPr>
        <w:t>assets to meet deductibles or</w:t>
      </w:r>
      <w:r w:rsidRPr="00DD2D90">
        <w:rPr>
          <w:u w:val="single"/>
        </w:rPr>
        <w:t xml:space="preserve"> </w:t>
      </w:r>
      <w:r w:rsidRPr="00DD2D90">
        <w:rPr>
          <w:highlight w:val="green"/>
          <w:u w:val="single"/>
        </w:rPr>
        <w:t>o</w:t>
      </w:r>
      <w:r w:rsidRPr="00DD2D90">
        <w:rPr>
          <w:u w:val="single"/>
        </w:rPr>
        <w:t>ut-</w:t>
      </w:r>
      <w:r w:rsidRPr="00DD2D90">
        <w:rPr>
          <w:highlight w:val="green"/>
          <w:u w:val="single"/>
        </w:rPr>
        <w:t>o</w:t>
      </w:r>
      <w:r w:rsidRPr="00DD2D90">
        <w:rPr>
          <w:u w:val="single"/>
        </w:rPr>
        <w:t>f-</w:t>
      </w:r>
      <w:r w:rsidRPr="00DD2D90">
        <w:rPr>
          <w:highlight w:val="green"/>
          <w:u w:val="single"/>
        </w:rPr>
        <w:t>p</w:t>
      </w:r>
      <w:r w:rsidRPr="00DD2D90">
        <w:rPr>
          <w:u w:val="single"/>
        </w:rPr>
        <w:t xml:space="preserve">ocket </w:t>
      </w:r>
      <w:r w:rsidRPr="00DD2D90">
        <w:rPr>
          <w:highlight w:val="green"/>
          <w:u w:val="single"/>
        </w:rPr>
        <w:t>maximums</w:t>
      </w:r>
      <w:r w:rsidRPr="009278EB">
        <w:rPr>
          <w:sz w:val="16"/>
        </w:rPr>
        <w:t xml:space="preserve">. </w:t>
      </w:r>
      <w:r w:rsidRPr="00DD2D90">
        <w:rPr>
          <w:u w:val="single"/>
        </w:rPr>
        <w:t>Among single-person privately-insured households in 2019, 32% did not have over $2,000 saved</w:t>
      </w:r>
      <w:r w:rsidRPr="009278EB">
        <w:rPr>
          <w:sz w:val="16"/>
        </w:rPr>
        <w:t xml:space="preserve">. Among multi-person households where at least one household member has private insurance, 20% did not have savings over $2,000. Additionally, </w:t>
      </w:r>
      <w:r w:rsidRPr="00DD2D90">
        <w:rPr>
          <w:rStyle w:val="Emphasis"/>
          <w:highlight w:val="green"/>
        </w:rPr>
        <w:t>16%</w:t>
      </w:r>
      <w:r w:rsidRPr="00DD2D90">
        <w:rPr>
          <w:highlight w:val="green"/>
          <w:u w:val="single"/>
        </w:rPr>
        <w:t xml:space="preserve"> </w:t>
      </w:r>
      <w:r w:rsidRPr="00DD2D90">
        <w:rPr>
          <w:u w:val="single"/>
        </w:rPr>
        <w:t xml:space="preserve">of privately-insured adults </w:t>
      </w:r>
      <w:r w:rsidRPr="00DD2D90">
        <w:rPr>
          <w:highlight w:val="green"/>
          <w:u w:val="single"/>
        </w:rPr>
        <w:t xml:space="preserve">say they would need </w:t>
      </w:r>
      <w:r w:rsidRPr="00DD2D90">
        <w:rPr>
          <w:u w:val="single"/>
        </w:rPr>
        <w:t xml:space="preserve">to take on </w:t>
      </w:r>
      <w:r w:rsidRPr="00DD2D90">
        <w:rPr>
          <w:highlight w:val="green"/>
          <w:u w:val="single"/>
        </w:rPr>
        <w:t>credit card debt to meet an unexpected</w:t>
      </w:r>
      <w:r w:rsidRPr="00DD2D90">
        <w:rPr>
          <w:u w:val="single"/>
        </w:rPr>
        <w:t xml:space="preserve"> $400 </w:t>
      </w:r>
      <w:r w:rsidRPr="00DD2D90">
        <w:rPr>
          <w:highlight w:val="green"/>
          <w:u w:val="single"/>
        </w:rPr>
        <w:t>expense</w:t>
      </w:r>
      <w:r w:rsidRPr="009278EB">
        <w:rPr>
          <w:sz w:val="16"/>
        </w:rPr>
        <w:t xml:space="preserve">, while 7% would borrow money from friends or family. For these people, even a medical bill for a few hundred dollars can present major problems. A KFF poll suggests that </w:t>
      </w:r>
      <w:r w:rsidRPr="00DD2D90">
        <w:rPr>
          <w:rStyle w:val="StyleUnderline"/>
          <w:highlight w:val="green"/>
        </w:rPr>
        <w:t>people with unaffordable medical bills</w:t>
      </w:r>
      <w:r w:rsidRPr="00DD2D90">
        <w:rPr>
          <w:rStyle w:val="StyleUnderline"/>
        </w:rPr>
        <w:t xml:space="preserve"> are more likely to </w:t>
      </w:r>
      <w:r w:rsidRPr="00DD2D90">
        <w:rPr>
          <w:rStyle w:val="StyleUnderline"/>
          <w:highlight w:val="green"/>
        </w:rPr>
        <w:t>delay or skip needed care</w:t>
      </w:r>
      <w:r w:rsidRPr="00DD2D90">
        <w:rPr>
          <w:rStyle w:val="StyleUnderline"/>
        </w:rPr>
        <w:t xml:space="preserve"> to avoid incurring more medical debt</w:t>
      </w:r>
      <w:r w:rsidRPr="009278EB">
        <w:rPr>
          <w:sz w:val="16"/>
        </w:rPr>
        <w:t xml:space="preserve">, cut back on other basic household expenses, take money out of retirement or college savings, or increase credit card debt. People with medical debt are also more likely to have other forms of financial distress.   </w:t>
      </w:r>
      <w:r w:rsidRPr="00DD2D90">
        <w:rPr>
          <w:u w:val="single"/>
        </w:rPr>
        <w:t xml:space="preserve">Medical debt can happen to almost anyone in the United States, but this </w:t>
      </w:r>
      <w:r w:rsidRPr="00DD2D90">
        <w:rPr>
          <w:highlight w:val="green"/>
          <w:u w:val="single"/>
        </w:rPr>
        <w:t>debt is most pronounced among</w:t>
      </w:r>
      <w:r w:rsidRPr="00DD2D90">
        <w:rPr>
          <w:u w:val="single"/>
        </w:rPr>
        <w:t xml:space="preserve"> </w:t>
      </w:r>
      <w:r w:rsidRPr="00DD2D90">
        <w:rPr>
          <w:highlight w:val="green"/>
          <w:u w:val="single"/>
        </w:rPr>
        <w:t>people</w:t>
      </w:r>
      <w:r w:rsidRPr="00DD2D90">
        <w:rPr>
          <w:u w:val="single"/>
        </w:rPr>
        <w:t xml:space="preserve"> who are </w:t>
      </w:r>
      <w:r w:rsidRPr="00DD2D90">
        <w:rPr>
          <w:highlight w:val="green"/>
          <w:u w:val="single"/>
        </w:rPr>
        <w:t>already struggling</w:t>
      </w:r>
      <w:r w:rsidRPr="00DD2D90">
        <w:rPr>
          <w:u w:val="single"/>
        </w:rPr>
        <w:t xml:space="preserve"> with poor health, financial insecurity, or both.</w:t>
      </w:r>
      <w:r w:rsidRPr="009278EB">
        <w:rPr>
          <w:sz w:val="16"/>
        </w:rPr>
        <w:t xml:space="preserve"> People who are very ill or living with a disability are also at risk of losing their employment or income due to illness. </w:t>
      </w:r>
      <w:r w:rsidRPr="00DD2D90">
        <w:rPr>
          <w:rStyle w:val="StyleUnderline"/>
        </w:rPr>
        <w:t>Shortcomings in</w:t>
      </w:r>
      <w:r w:rsidRPr="009278EB">
        <w:rPr>
          <w:sz w:val="16"/>
        </w:rPr>
        <w:t xml:space="preserve"> both health insurance coverage and </w:t>
      </w:r>
      <w:r w:rsidRPr="00DD2D90">
        <w:rPr>
          <w:rStyle w:val="StyleUnderline"/>
        </w:rPr>
        <w:t>social safety net programs</w:t>
      </w:r>
      <w:r w:rsidRPr="009278EB">
        <w:rPr>
          <w:sz w:val="16"/>
        </w:rPr>
        <w:t xml:space="preserve"> aimed at replacing income during a time of illness </w:t>
      </w:r>
      <w:r w:rsidRPr="00DD2D90">
        <w:rPr>
          <w:rStyle w:val="StyleUnderline"/>
        </w:rPr>
        <w:t>can compound</w:t>
      </w:r>
      <w:r w:rsidRPr="009278EB">
        <w:rPr>
          <w:sz w:val="16"/>
        </w:rPr>
        <w:t xml:space="preserve"> to increase the likelihood that people with serious health care needs end up with large amounts of medical debt. There are also significant </w:t>
      </w:r>
      <w:r w:rsidRPr="00DD2D90">
        <w:rPr>
          <w:rStyle w:val="StyleUnderline"/>
        </w:rPr>
        <w:t>racial disparities</w:t>
      </w:r>
      <w:r w:rsidRPr="009278EB">
        <w:rPr>
          <w:sz w:val="16"/>
        </w:rPr>
        <w:t xml:space="preserve">, with Black Americans being much more likely than people of other racial or ethnic backgrounds to report owing medical debt.   The fact that medical debt is a struggle even among households with health insurance and middle incomes indicates that simply expanding coverage will not erase the financial burden caused by high cost-sharing amounts and high prices for medical services and prescription drugs. </w:t>
      </w:r>
    </w:p>
    <w:p w14:paraId="396B9093" w14:textId="77777777" w:rsidR="001756B0" w:rsidRPr="009278EB" w:rsidRDefault="001756B0" w:rsidP="001756B0">
      <w:pPr>
        <w:rPr>
          <w:sz w:val="16"/>
        </w:rPr>
      </w:pPr>
    </w:p>
    <w:p w14:paraId="56F29E08" w14:textId="77777777" w:rsidR="00EA6776" w:rsidRPr="00DD2D90" w:rsidRDefault="00EA6776">
      <w:pPr>
        <w:rPr>
          <w:rFonts w:eastAsiaTheme="majorEastAsia" w:cstheme="majorBidi"/>
          <w:b/>
          <w:iCs/>
        </w:rPr>
      </w:pPr>
      <w:bookmarkStart w:id="18" w:name="_jnx4tiu015z8" w:colFirst="0" w:colLast="0"/>
      <w:bookmarkStart w:id="19" w:name="_1nnvldotdme5" w:colFirst="0" w:colLast="0"/>
      <w:bookmarkStart w:id="20" w:name="_e9yk65k739l5" w:colFirst="0" w:colLast="0"/>
      <w:bookmarkStart w:id="21" w:name="_v9hvy79cu4xh" w:colFirst="0" w:colLast="0"/>
      <w:bookmarkEnd w:id="18"/>
      <w:bookmarkEnd w:id="19"/>
      <w:bookmarkEnd w:id="20"/>
      <w:bookmarkEnd w:id="21"/>
      <w:r w:rsidRPr="00DD2D90">
        <w:br w:type="page"/>
      </w:r>
    </w:p>
    <w:p w14:paraId="5D1E932C" w14:textId="12DA2CBA" w:rsidR="001756B0" w:rsidRPr="009278EB" w:rsidRDefault="001756B0" w:rsidP="001756B0">
      <w:pPr>
        <w:pStyle w:val="Heading4"/>
        <w:rPr>
          <w:szCs w:val="26"/>
        </w:rPr>
      </w:pPr>
      <w:r w:rsidRPr="009278EB">
        <w:rPr>
          <w:szCs w:val="26"/>
        </w:rPr>
        <w:t>Medical debt causes systemic poverty and inequality – poor personal finances cause worse health</w:t>
      </w:r>
      <w:r w:rsidR="00F62882" w:rsidRPr="009278EB">
        <w:rPr>
          <w:szCs w:val="26"/>
        </w:rPr>
        <w:t>, which harms income, making finances worse</w:t>
      </w:r>
    </w:p>
    <w:p w14:paraId="7900F598" w14:textId="77777777" w:rsidR="001756B0" w:rsidRPr="00DD2D90" w:rsidRDefault="001756B0" w:rsidP="001756B0">
      <w:r w:rsidRPr="009278EB">
        <w:rPr>
          <w:b/>
          <w:bCs/>
          <w:sz w:val="26"/>
          <w:szCs w:val="26"/>
        </w:rPr>
        <w:t>Myrie 26</w:t>
      </w:r>
      <w:r w:rsidRPr="00DD2D90">
        <w:rPr>
          <w:b/>
          <w:bCs/>
        </w:rPr>
        <w:t xml:space="preserve"> </w:t>
      </w:r>
      <w:r w:rsidRPr="00DD2D90">
        <w:t>[Donovan Myrie, Investigative Reporter &amp; Business Analyst at WKMG-TV, 04-10-2026, “Dollars &amp; Sense: The hidden healthcare debt trap,” Orlando News, https://www.clickorlando.com/news/local/2026/04/10/the-hidden-healthcare-debt-trap/]/Kankee</w:t>
      </w:r>
    </w:p>
    <w:p w14:paraId="34DAB6AA" w14:textId="77777777" w:rsidR="001756B0" w:rsidRPr="00DD2D90" w:rsidRDefault="001756B0" w:rsidP="001756B0">
      <w:pPr>
        <w:rPr>
          <w:rStyle w:val="StyleUnderline"/>
        </w:rPr>
      </w:pPr>
      <w:r w:rsidRPr="009278EB">
        <w:rPr>
          <w:sz w:val="16"/>
        </w:rPr>
        <w:t xml:space="preserve">Over 20 million people. That’s about the population of New York State. It’s more than the number of U.S. veterans – 18 million – but fewer than the roughly 24 million naturalized citizens in the country. America has about 267 million adults – meaning 20.4 million is roughly 7.5% of the adult population or about 1 in 13.  Why is this number so important?  </w:t>
      </w:r>
      <w:r w:rsidRPr="00DD2D90">
        <w:rPr>
          <w:rStyle w:val="Emphasis"/>
        </w:rPr>
        <w:t xml:space="preserve">One in 13 </w:t>
      </w:r>
      <w:r w:rsidRPr="00DD2D90">
        <w:rPr>
          <w:u w:val="single"/>
        </w:rPr>
        <w:t xml:space="preserve">adults, </w:t>
      </w:r>
      <w:r w:rsidRPr="00DD2D90">
        <w:rPr>
          <w:rStyle w:val="Emphasis"/>
        </w:rPr>
        <w:t>7.5%,</w:t>
      </w:r>
      <w:r w:rsidRPr="00DD2D90">
        <w:rPr>
          <w:u w:val="single"/>
        </w:rPr>
        <w:t xml:space="preserve"> or about </w:t>
      </w:r>
      <w:r w:rsidRPr="00DD2D90">
        <w:rPr>
          <w:rStyle w:val="Emphasis"/>
          <w:highlight w:val="green"/>
        </w:rPr>
        <w:t>20.4</w:t>
      </w:r>
      <w:r w:rsidRPr="00DD2D90">
        <w:rPr>
          <w:highlight w:val="green"/>
          <w:u w:val="single"/>
        </w:rPr>
        <w:t xml:space="preserve"> </w:t>
      </w:r>
      <w:r w:rsidRPr="00DD2D90">
        <w:rPr>
          <w:rStyle w:val="Emphasis"/>
          <w:highlight w:val="green"/>
        </w:rPr>
        <w:t>million</w:t>
      </w:r>
      <w:r w:rsidRPr="00DD2D90">
        <w:rPr>
          <w:highlight w:val="green"/>
          <w:u w:val="single"/>
        </w:rPr>
        <w:t xml:space="preserve"> people in </w:t>
      </w:r>
      <w:r w:rsidRPr="00DD2D90">
        <w:rPr>
          <w:u w:val="single"/>
        </w:rPr>
        <w:t xml:space="preserve">the United States </w:t>
      </w:r>
      <w:r w:rsidRPr="00DD2D90">
        <w:rPr>
          <w:highlight w:val="green"/>
          <w:u w:val="single"/>
        </w:rPr>
        <w:t>are living with medical debt</w:t>
      </w:r>
      <w:r w:rsidRPr="009278EB">
        <w:rPr>
          <w:sz w:val="16"/>
        </w:rPr>
        <w:t xml:space="preserve"> – debt </w:t>
      </w:r>
      <w:r w:rsidRPr="00DD2D90">
        <w:rPr>
          <w:rStyle w:val="StyleUnderline"/>
        </w:rPr>
        <w:t>that</w:t>
      </w:r>
      <w:r w:rsidRPr="009278EB">
        <w:rPr>
          <w:sz w:val="16"/>
        </w:rPr>
        <w:t xml:space="preserve"> one study says </w:t>
      </w:r>
      <w:r w:rsidRPr="00DD2D90">
        <w:rPr>
          <w:rStyle w:val="StyleUnderline"/>
        </w:rPr>
        <w:t xml:space="preserve">adds up to over </w:t>
      </w:r>
      <w:r w:rsidRPr="00DD2D90">
        <w:rPr>
          <w:rStyle w:val="Emphasis"/>
        </w:rPr>
        <w:t>$220 billion</w:t>
      </w:r>
      <w:r w:rsidRPr="009278EB">
        <w:rPr>
          <w:sz w:val="16"/>
        </w:rPr>
        <w:t xml:space="preserve">. </w:t>
      </w:r>
      <w:r w:rsidRPr="00DD2D90">
        <w:rPr>
          <w:rStyle w:val="StyleUnderline"/>
        </w:rPr>
        <w:t>Other</w:t>
      </w:r>
      <w:r w:rsidRPr="009278EB">
        <w:rPr>
          <w:sz w:val="16"/>
        </w:rPr>
        <w:t xml:space="preserve"> </w:t>
      </w:r>
      <w:r w:rsidRPr="00DD2D90">
        <w:rPr>
          <w:rStyle w:val="StyleUnderline"/>
        </w:rPr>
        <w:t>research suggests</w:t>
      </w:r>
      <w:r w:rsidRPr="009278EB">
        <w:rPr>
          <w:sz w:val="16"/>
        </w:rPr>
        <w:t xml:space="preserve"> medical debt figures are as high as </w:t>
      </w:r>
      <w:r w:rsidRPr="00DD2D90">
        <w:rPr>
          <w:rStyle w:val="StyleUnderline"/>
        </w:rPr>
        <w:t>1 in 10 adults, 9% of the adult population, or up to 23 million people</w:t>
      </w:r>
      <w:r w:rsidRPr="009278EB">
        <w:rPr>
          <w:sz w:val="16"/>
        </w:rPr>
        <w:t xml:space="preserve">. And across the data, </w:t>
      </w:r>
      <w:r w:rsidRPr="00DD2D90">
        <w:rPr>
          <w:highlight w:val="green"/>
          <w:u w:val="single"/>
        </w:rPr>
        <w:t>healthcare debt is</w:t>
      </w:r>
      <w:r w:rsidRPr="009278EB">
        <w:rPr>
          <w:sz w:val="16"/>
        </w:rPr>
        <w:t xml:space="preserve"> not only </w:t>
      </w:r>
      <w:r w:rsidRPr="00DD2D90">
        <w:rPr>
          <w:u w:val="single"/>
        </w:rPr>
        <w:t xml:space="preserve">one of </w:t>
      </w:r>
      <w:r w:rsidRPr="00DD2D90">
        <w:rPr>
          <w:highlight w:val="green"/>
          <w:u w:val="single"/>
        </w:rPr>
        <w:t xml:space="preserve">the </w:t>
      </w:r>
      <w:r w:rsidRPr="00DD2D90">
        <w:rPr>
          <w:rStyle w:val="Emphasis"/>
          <w:highlight w:val="green"/>
        </w:rPr>
        <w:t>leading causes of bankruptcy</w:t>
      </w:r>
      <w:r w:rsidRPr="009278EB">
        <w:rPr>
          <w:sz w:val="16"/>
        </w:rPr>
        <w:t xml:space="preserve"> – much of it is never paid down.  America’s health system doesn’t just produce quality medical care – it also churns out debt that reshapes lives.  </w:t>
      </w:r>
      <w:r w:rsidRPr="00DD2D90">
        <w:rPr>
          <w:u w:val="single"/>
        </w:rPr>
        <w:t xml:space="preserve">Medical Bills and Healthcare Costs Can Be Overwhelming  </w:t>
      </w:r>
      <w:r w:rsidRPr="009278EB">
        <w:rPr>
          <w:sz w:val="16"/>
        </w:rPr>
        <w:t xml:space="preserve">A recent U.S. Census Bureau’s Survey of Income and Program Participation (SIPP) report, using 2021 data, found that most medical debt is over $1,000. More than half the people in medical debt – 11 million – owe more than $2,000. Three million people have debt between $5,001 and $10,000. Over $10,000? That’s another 3 million people.  Not only is all of that debt hard to pay off – </w:t>
      </w:r>
      <w:r w:rsidRPr="00DD2D90">
        <w:rPr>
          <w:highlight w:val="green"/>
          <w:u w:val="single"/>
        </w:rPr>
        <w:t>high medical costs</w:t>
      </w:r>
      <w:r w:rsidRPr="009278EB">
        <w:rPr>
          <w:sz w:val="16"/>
        </w:rPr>
        <w:t xml:space="preserve"> also </w:t>
      </w:r>
      <w:r w:rsidRPr="00DD2D90">
        <w:rPr>
          <w:highlight w:val="green"/>
          <w:u w:val="single"/>
        </w:rPr>
        <w:t>adversely affect people’s ability to stay healthy</w:t>
      </w:r>
      <w:r w:rsidRPr="009278EB">
        <w:rPr>
          <w:sz w:val="16"/>
        </w:rPr>
        <w:t xml:space="preserve">. Many </w:t>
      </w:r>
      <w:r w:rsidRPr="00DD2D90">
        <w:rPr>
          <w:highlight w:val="green"/>
          <w:u w:val="single"/>
        </w:rPr>
        <w:t xml:space="preserve">Americans with medical debt report </w:t>
      </w:r>
      <w:r w:rsidRPr="00DD2D90">
        <w:rPr>
          <w:rStyle w:val="Emphasis"/>
          <w:highlight w:val="green"/>
        </w:rPr>
        <w:t>delaying</w:t>
      </w:r>
      <w:r w:rsidRPr="00DD2D90">
        <w:rPr>
          <w:highlight w:val="green"/>
          <w:u w:val="single"/>
        </w:rPr>
        <w:t xml:space="preserve"> doctor visits, </w:t>
      </w:r>
      <w:r w:rsidRPr="00DD2D90">
        <w:rPr>
          <w:rStyle w:val="Emphasis"/>
          <w:highlight w:val="green"/>
        </w:rPr>
        <w:t>skipping</w:t>
      </w:r>
      <w:r w:rsidRPr="00DD2D90">
        <w:rPr>
          <w:highlight w:val="green"/>
          <w:u w:val="single"/>
        </w:rPr>
        <w:t xml:space="preserve"> follow-up appointments, not filling prescriptions, or </w:t>
      </w:r>
      <w:r w:rsidRPr="00DD2D90">
        <w:rPr>
          <w:rStyle w:val="Emphasis"/>
          <w:highlight w:val="green"/>
        </w:rPr>
        <w:t>rationing</w:t>
      </w:r>
      <w:r w:rsidRPr="00DD2D90">
        <w:rPr>
          <w:highlight w:val="green"/>
          <w:u w:val="single"/>
        </w:rPr>
        <w:t xml:space="preserve"> medications because they cannot afford</w:t>
      </w:r>
      <w:r w:rsidRPr="00DD2D90">
        <w:rPr>
          <w:u w:val="single"/>
        </w:rPr>
        <w:t xml:space="preserve"> both their bills and their </w:t>
      </w:r>
      <w:r w:rsidRPr="00DD2D90">
        <w:rPr>
          <w:highlight w:val="green"/>
          <w:u w:val="single"/>
        </w:rPr>
        <w:t>treatment</w:t>
      </w:r>
      <w:r w:rsidRPr="009278EB">
        <w:rPr>
          <w:sz w:val="16"/>
        </w:rPr>
        <w:t xml:space="preserve">.  And the burden does not end with the bill – that pain is not distributed evenly. </w:t>
      </w:r>
      <w:r w:rsidRPr="00DD2D90">
        <w:rPr>
          <w:u w:val="single"/>
        </w:rPr>
        <w:t>Medical</w:t>
      </w:r>
      <w:r w:rsidRPr="009278EB">
        <w:rPr>
          <w:sz w:val="16"/>
        </w:rPr>
        <w:t xml:space="preserve"> </w:t>
      </w:r>
      <w:r w:rsidRPr="00DD2D90">
        <w:rPr>
          <w:highlight w:val="green"/>
          <w:u w:val="single"/>
        </w:rPr>
        <w:t>debt</w:t>
      </w:r>
      <w:r w:rsidRPr="009278EB">
        <w:rPr>
          <w:sz w:val="16"/>
        </w:rPr>
        <w:t xml:space="preserve"> and the cost of care hit </w:t>
      </w:r>
      <w:r w:rsidRPr="00DD2D90">
        <w:rPr>
          <w:highlight w:val="green"/>
          <w:u w:val="single"/>
        </w:rPr>
        <w:t xml:space="preserve">hardest in communities </w:t>
      </w:r>
      <w:r w:rsidRPr="00DD2D90">
        <w:rPr>
          <w:u w:val="single"/>
        </w:rPr>
        <w:t xml:space="preserve">already </w:t>
      </w:r>
      <w:r w:rsidRPr="00DD2D90">
        <w:rPr>
          <w:highlight w:val="green"/>
          <w:u w:val="single"/>
        </w:rPr>
        <w:t>facing low</w:t>
      </w:r>
      <w:r w:rsidRPr="00DD2D90">
        <w:rPr>
          <w:u w:val="single"/>
        </w:rPr>
        <w:t xml:space="preserve">er </w:t>
      </w:r>
      <w:r w:rsidRPr="00DD2D90">
        <w:rPr>
          <w:highlight w:val="green"/>
          <w:u w:val="single"/>
        </w:rPr>
        <w:t>incomes</w:t>
      </w:r>
      <w:r w:rsidRPr="009278EB">
        <w:rPr>
          <w:sz w:val="16"/>
        </w:rPr>
        <w:t xml:space="preserve"> and greater barriers to getting treatment.  According to KFF.org, </w:t>
      </w:r>
      <w:r w:rsidRPr="00DD2D90">
        <w:rPr>
          <w:u w:val="single"/>
        </w:rPr>
        <w:t xml:space="preserve">about </w:t>
      </w:r>
      <w:r w:rsidRPr="00DD2D90">
        <w:rPr>
          <w:rStyle w:val="Emphasis"/>
        </w:rPr>
        <w:t>half</w:t>
      </w:r>
      <w:r w:rsidRPr="00DD2D90">
        <w:rPr>
          <w:u w:val="single"/>
        </w:rPr>
        <w:t xml:space="preserve"> of </w:t>
      </w:r>
      <w:r w:rsidRPr="00DD2D90">
        <w:rPr>
          <w:rStyle w:val="Emphasis"/>
        </w:rPr>
        <w:t>African American</w:t>
      </w:r>
      <w:r w:rsidRPr="00DD2D90">
        <w:rPr>
          <w:u w:val="single"/>
        </w:rPr>
        <w:t xml:space="preserve"> adults (49%) report difficulty affording healthcare. That’s much higher than white adults (39%), but below Hispanic adults (55%). </w:t>
      </w:r>
      <w:r w:rsidRPr="009278EB">
        <w:rPr>
          <w:sz w:val="16"/>
        </w:rPr>
        <w:t>And</w:t>
      </w:r>
      <w:r w:rsidRPr="00DD2D90">
        <w:rPr>
          <w:u w:val="single"/>
        </w:rPr>
        <w:t xml:space="preserve"> if you’re living in a household that makes less than $40,000, you’re more likely to have financial difficulties with healthcare costs</w:t>
      </w:r>
      <w:r w:rsidRPr="009278EB">
        <w:rPr>
          <w:sz w:val="16"/>
        </w:rPr>
        <w:t xml:space="preserve"> than households making over $40,000. KFF also found that one in five adults aged 65 or older (about 22% of the older adult population) had some form of medical debt.  The problem does not stop at the bill itself. For many households, </w:t>
      </w:r>
      <w:r w:rsidRPr="00DD2D90">
        <w:rPr>
          <w:highlight w:val="green"/>
          <w:u w:val="single"/>
        </w:rPr>
        <w:t>medical debt</w:t>
      </w:r>
      <w:r w:rsidRPr="009278EB">
        <w:rPr>
          <w:sz w:val="16"/>
        </w:rPr>
        <w:t xml:space="preserve"> is the result of a health care system that still </w:t>
      </w:r>
      <w:r w:rsidRPr="00DD2D90">
        <w:rPr>
          <w:highlight w:val="green"/>
          <w:u w:val="single"/>
        </w:rPr>
        <w:t xml:space="preserve">leaves even insured patients vulnerable to high deductibles, copays, </w:t>
      </w:r>
      <w:r w:rsidRPr="00DD2D90">
        <w:rPr>
          <w:rStyle w:val="Emphasis"/>
          <w:highlight w:val="green"/>
        </w:rPr>
        <w:t>surprise</w:t>
      </w:r>
      <w:r w:rsidRPr="00DD2D90">
        <w:rPr>
          <w:highlight w:val="green"/>
          <w:u w:val="single"/>
        </w:rPr>
        <w:t xml:space="preserve"> charges, and denied claims.</w:t>
      </w:r>
      <w:r w:rsidRPr="009278EB">
        <w:rPr>
          <w:sz w:val="16"/>
        </w:rPr>
        <w:t xml:space="preserve"> </w:t>
      </w:r>
      <w:r w:rsidRPr="00DD2D90">
        <w:rPr>
          <w:rStyle w:val="StyleUnderline"/>
          <w:highlight w:val="green"/>
        </w:rPr>
        <w:t xml:space="preserve">Insurance often fails to shield people from </w:t>
      </w:r>
      <w:r w:rsidRPr="00DD2D90">
        <w:rPr>
          <w:rStyle w:val="Emphasis"/>
          <w:highlight w:val="green"/>
        </w:rPr>
        <w:t>financial ruin</w:t>
      </w:r>
      <w:r w:rsidRPr="009278EB">
        <w:rPr>
          <w:sz w:val="16"/>
        </w:rPr>
        <w:t>.  The coverage cliff  Medical debt often starts long before a bill is sent to collections –</w:t>
      </w:r>
      <w:r w:rsidRPr="00DD2D90">
        <w:rPr>
          <w:u w:val="single"/>
        </w:rPr>
        <w:t xml:space="preserve"> high deductibles, copays, surprise charges, denied claims, and out-of-network care can leave patients owing thousands of dollars out of pocket, even when they have insurance.</w:t>
      </w:r>
      <w:r w:rsidRPr="009278EB">
        <w:rPr>
          <w:sz w:val="16"/>
        </w:rPr>
        <w:t xml:space="preserve"> Coverage, in many cases, doesn’t eliminate risk – it redistributes it.  Over the past decade, that burden has steadily shifted toward patients.  Employer-sponsored plans now routinely carry deductibles in the thousands, meaning many families must pay significant costs upfront before insurance begins to help. At the same time, </w:t>
      </w:r>
      <w:r w:rsidRPr="00DD2D90">
        <w:rPr>
          <w:rStyle w:val="StyleUnderline"/>
        </w:rPr>
        <w:t xml:space="preserve">complex billing systems and narrow provider networks make it easier for routine care to become </w:t>
      </w:r>
      <w:r w:rsidRPr="00DD2D90">
        <w:rPr>
          <w:rStyle w:val="Emphasis"/>
        </w:rPr>
        <w:t>unexpectedly expensive</w:t>
      </w:r>
      <w:r w:rsidRPr="009278EB">
        <w:rPr>
          <w:sz w:val="16"/>
        </w:rPr>
        <w:t xml:space="preserve">.  The result is what some experts describe as a “coverage cliff”—the point where the promise of insurance starts to give way.  </w:t>
      </w:r>
      <w:r w:rsidRPr="00DD2D90">
        <w:rPr>
          <w:highlight w:val="green"/>
          <w:u w:val="single"/>
        </w:rPr>
        <w:t>A routine medical event</w:t>
      </w:r>
      <w:r w:rsidRPr="00DD2D90">
        <w:rPr>
          <w:u w:val="single"/>
        </w:rPr>
        <w:t xml:space="preserve"> – a broken bone, an ER visit, a diagnostic test – </w:t>
      </w:r>
      <w:r w:rsidRPr="00DD2D90">
        <w:rPr>
          <w:highlight w:val="green"/>
          <w:u w:val="single"/>
        </w:rPr>
        <w:t>can</w:t>
      </w:r>
      <w:r w:rsidRPr="00DD2D90">
        <w:rPr>
          <w:u w:val="single"/>
        </w:rPr>
        <w:t xml:space="preserve"> quickly </w:t>
      </w:r>
      <w:r w:rsidRPr="00DD2D90">
        <w:rPr>
          <w:highlight w:val="green"/>
          <w:u w:val="single"/>
        </w:rPr>
        <w:t xml:space="preserve">turn into a </w:t>
      </w:r>
      <w:r w:rsidRPr="00DD2D90">
        <w:rPr>
          <w:rStyle w:val="Emphasis"/>
          <w:highlight w:val="green"/>
        </w:rPr>
        <w:t>financial shock</w:t>
      </w:r>
      <w:r w:rsidRPr="00DD2D90">
        <w:rPr>
          <w:u w:val="single"/>
        </w:rPr>
        <w:t xml:space="preserve"> as high deductibles, copays, coinsurance, out-of-network care, and a claim denial.</w:t>
      </w:r>
      <w:r w:rsidRPr="009278EB">
        <w:rPr>
          <w:sz w:val="16"/>
        </w:rPr>
        <w:t xml:space="preserve"> For some households, that cliff comes sooner and hits harder because they are already living closer to the edge financially. A bill of </w:t>
      </w:r>
      <w:r w:rsidRPr="00DD2D90">
        <w:rPr>
          <w:rStyle w:val="StyleUnderline"/>
        </w:rPr>
        <w:t>a few thousand dollars</w:t>
      </w:r>
      <w:r w:rsidRPr="009278EB">
        <w:rPr>
          <w:sz w:val="16"/>
        </w:rPr>
        <w:t xml:space="preserve"> isn’t just an inconvenience – it can </w:t>
      </w:r>
      <w:r w:rsidRPr="00DD2D90">
        <w:rPr>
          <w:rStyle w:val="StyleUnderline"/>
        </w:rPr>
        <w:t>mean missed rent, mounting credit card balances, or delayed care</w:t>
      </w:r>
      <w:r w:rsidRPr="009278EB">
        <w:rPr>
          <w:sz w:val="16"/>
        </w:rPr>
        <w:t xml:space="preserve"> the next time something goes wrong.  </w:t>
      </w:r>
      <w:r w:rsidRPr="00DD2D90">
        <w:rPr>
          <w:highlight w:val="green"/>
          <w:u w:val="single"/>
        </w:rPr>
        <w:t>Once</w:t>
      </w:r>
      <w:r w:rsidRPr="009278EB">
        <w:rPr>
          <w:sz w:val="16"/>
        </w:rPr>
        <w:t xml:space="preserve"> that </w:t>
      </w:r>
      <w:r w:rsidRPr="00DD2D90">
        <w:rPr>
          <w:highlight w:val="green"/>
          <w:u w:val="single"/>
        </w:rPr>
        <w:t xml:space="preserve">debt begins to </w:t>
      </w:r>
      <w:r w:rsidRPr="00DD2D90">
        <w:rPr>
          <w:rStyle w:val="Emphasis"/>
          <w:highlight w:val="green"/>
        </w:rPr>
        <w:t>snowball</w:t>
      </w:r>
      <w:r w:rsidRPr="00DD2D90">
        <w:rPr>
          <w:highlight w:val="green"/>
          <w:u w:val="single"/>
        </w:rPr>
        <w:t xml:space="preserve">, it can </w:t>
      </w:r>
      <w:r w:rsidRPr="00DD2D90">
        <w:rPr>
          <w:rStyle w:val="Emphasis"/>
          <w:highlight w:val="green"/>
        </w:rPr>
        <w:t>follow</w:t>
      </w:r>
      <w:r w:rsidRPr="00DD2D90">
        <w:rPr>
          <w:highlight w:val="green"/>
          <w:u w:val="single"/>
        </w:rPr>
        <w:t xml:space="preserve"> patients</w:t>
      </w:r>
      <w:r w:rsidRPr="009278EB">
        <w:rPr>
          <w:sz w:val="16"/>
        </w:rPr>
        <w:t xml:space="preserve"> well beyond the hospital. Medical debt </w:t>
      </w:r>
      <w:r w:rsidRPr="00DD2D90">
        <w:rPr>
          <w:highlight w:val="green"/>
          <w:u w:val="single"/>
        </w:rPr>
        <w:t xml:space="preserve">influences credit reports, loan decisions, and can easily push a household deeper into financial </w:t>
      </w:r>
      <w:r w:rsidRPr="00DD2D90">
        <w:rPr>
          <w:rStyle w:val="Emphasis"/>
          <w:highlight w:val="green"/>
        </w:rPr>
        <w:t>instability</w:t>
      </w:r>
      <w:r w:rsidRPr="00DD2D90">
        <w:rPr>
          <w:u w:val="single"/>
        </w:rPr>
        <w:t xml:space="preserve">. </w:t>
      </w:r>
      <w:r w:rsidRPr="009278EB">
        <w:rPr>
          <w:sz w:val="16"/>
        </w:rPr>
        <w:t xml:space="preserve">Some relief from the credit bureaus  On March 1, 2022, a study by the Consumer Financial Protection Bureau (CFPB) found that Americans collectively had an estimated $88 billion in medical debt on their credit reports maintained by the three National Credit Reporting Agencies (NCRAs – Equifax, Experian and TransUnion). The report was critical of the credit agencies, but instead of attacking the CFPB study, the NCRAs acknowledged “medical collections debt often arises from unforeseen medical circumstances” and that they were taking steps to mitigate the effect of those debts. Collectively, the three would no longer report certain types of medical bills in collections. Specifically, the companies announced they would increase the time before medical bills in collections can appear on credit reports – from 180 days to one year. Second, the companies would stop reporting medical bills that had been in collections but were resolved. Third, the companies would remove medical bills below $500 from credit reports. The CFPB announcement was released March 1 – the NCRAs responded 16 days later. And for a brief moment, it looked as though Washington might also offer some relief for medical debt affecting people’s credit. In January 2025, </w:t>
      </w:r>
      <w:r w:rsidRPr="00DD2D90">
        <w:rPr>
          <w:rStyle w:val="StyleUnderline"/>
        </w:rPr>
        <w:t>the Consumer Financial Protection Bureau</w:t>
      </w:r>
      <w:r w:rsidRPr="009278EB">
        <w:rPr>
          <w:sz w:val="16"/>
        </w:rPr>
        <w:t xml:space="preserve"> finalized a </w:t>
      </w:r>
      <w:r w:rsidRPr="00DD2D90">
        <w:rPr>
          <w:rStyle w:val="StyleUnderline"/>
        </w:rPr>
        <w:t>rule</w:t>
      </w:r>
      <w:r w:rsidRPr="009278EB">
        <w:rPr>
          <w:sz w:val="16"/>
        </w:rPr>
        <w:t xml:space="preserve"> that would have kept medical debt off credit reports and barred lenders from using it in lending decisions, a move the agency said would help about 15 million people and remove roughly $49 billion in medical bills from credit files. The rule was originally drafted under the Biden administration, but when a lawsuit challenged the government’s authority, the newly installed Trump administration declined to defend the rule and instead sided with the plaintiff (July 2025). The CFPB protection </w:t>
      </w:r>
      <w:r w:rsidRPr="00DD2D90">
        <w:rPr>
          <w:rStyle w:val="StyleUnderline"/>
        </w:rPr>
        <w:t xml:space="preserve">was </w:t>
      </w:r>
      <w:r w:rsidRPr="00DD2D90">
        <w:rPr>
          <w:rStyle w:val="Emphasis"/>
        </w:rPr>
        <w:t>blocked</w:t>
      </w:r>
      <w:r w:rsidRPr="00DD2D90">
        <w:rPr>
          <w:rStyle w:val="StyleUnderline"/>
        </w:rPr>
        <w:t xml:space="preserve"> in court</w:t>
      </w:r>
      <w:r w:rsidRPr="009278EB">
        <w:rPr>
          <w:sz w:val="16"/>
        </w:rPr>
        <w:t xml:space="preserve">, leaving the issue unresolved and shifting more of the fight to the states. Some states have already put their own rules in place following the lead of the NCRAs. As of February 2026, 15 states outlaw many medical debts from being included on credit reports: California Colorado Connecticut Delaware Illinois Maine Maryland Minnesota New Jersey New York Oregon Rhode Island Vermont Virginia Washington What comes next? Even as </w:t>
      </w:r>
      <w:r w:rsidRPr="00DD2D90">
        <w:rPr>
          <w:rStyle w:val="StyleUnderline"/>
        </w:rPr>
        <w:t>credit bureaus</w:t>
      </w:r>
      <w:r w:rsidRPr="009278EB">
        <w:rPr>
          <w:sz w:val="16"/>
        </w:rPr>
        <w:t xml:space="preserve"> scale back how medical debt appears in reports and some states move to limit those impacts, these </w:t>
      </w:r>
      <w:r w:rsidRPr="00DD2D90">
        <w:rPr>
          <w:rStyle w:val="StyleUnderline"/>
        </w:rPr>
        <w:t>changes address only part of the problem</w:t>
      </w:r>
      <w:r w:rsidRPr="009278EB">
        <w:rPr>
          <w:sz w:val="16"/>
        </w:rPr>
        <w:t xml:space="preserve">. These changes may soften the consequences of medical debt – but they don’t prevent it in the first place. At its core, medical debt is not simply a credit issue – it is the result of a healthcare system where </w:t>
      </w:r>
      <w:r w:rsidRPr="00DD2D90">
        <w:rPr>
          <w:rStyle w:val="StyleUnderline"/>
        </w:rPr>
        <w:t>costs remain high, coverage remains uneven, and patients are often left</w:t>
      </w:r>
      <w:r w:rsidRPr="009278EB">
        <w:rPr>
          <w:sz w:val="16"/>
        </w:rPr>
        <w:t xml:space="preserve"> navigating complex billing and insurance rules at the worst possible moments. For many Americans, the financial risk begins the moment care is needed – not when the bill arrives. For the millions of Americans already </w:t>
      </w:r>
      <w:r w:rsidRPr="00DD2D90">
        <w:rPr>
          <w:rStyle w:val="StyleUnderline"/>
        </w:rPr>
        <w:t>carrying the burden of an unpaid medical bill,</w:t>
      </w:r>
      <w:r w:rsidRPr="009278EB">
        <w:rPr>
          <w:sz w:val="16"/>
        </w:rPr>
        <w:t xml:space="preserve"> the stakes remain deeply personal. </w:t>
      </w:r>
      <w:r w:rsidRPr="00DD2D90">
        <w:rPr>
          <w:rStyle w:val="StyleUnderline"/>
          <w:highlight w:val="green"/>
        </w:rPr>
        <w:t xml:space="preserve">Medical debt can shape decisions about housing, employment, and whether to seek care again. It can delay recovery, strain families, and create a </w:t>
      </w:r>
      <w:r w:rsidRPr="00DD2D90">
        <w:rPr>
          <w:rStyle w:val="Emphasis"/>
          <w:highlight w:val="green"/>
        </w:rPr>
        <w:t>cycle</w:t>
      </w:r>
      <w:r w:rsidRPr="00DD2D90">
        <w:rPr>
          <w:rStyle w:val="StyleUnderline"/>
          <w:highlight w:val="green"/>
        </w:rPr>
        <w:t xml:space="preserve"> where financial instability and health challenges reinforce one another</w:t>
      </w:r>
      <w:r w:rsidRPr="009278EB">
        <w:rPr>
          <w:sz w:val="16"/>
        </w:rPr>
        <w:t xml:space="preserve">. </w:t>
      </w:r>
      <w:r w:rsidRPr="00DD2D90">
        <w:rPr>
          <w:rStyle w:val="StyleUnderline"/>
        </w:rPr>
        <w:t>What comes next will depend</w:t>
      </w:r>
      <w:r w:rsidRPr="009278EB">
        <w:rPr>
          <w:sz w:val="16"/>
        </w:rPr>
        <w:t xml:space="preserve"> </w:t>
      </w:r>
      <w:r w:rsidRPr="00DD2D90">
        <w:rPr>
          <w:rStyle w:val="StyleUnderline"/>
        </w:rPr>
        <w:t>on</w:t>
      </w:r>
      <w:r w:rsidRPr="009278EB">
        <w:rPr>
          <w:sz w:val="16"/>
        </w:rPr>
        <w:t xml:space="preserve"> whether reforms move beyond credit reporting and begin to address the underlying drivers of medical debt itself: the cost of care, </w:t>
      </w:r>
      <w:r w:rsidRPr="00DD2D90">
        <w:rPr>
          <w:rStyle w:val="StyleUnderline"/>
        </w:rPr>
        <w:t>the design of insurance</w:t>
      </w:r>
      <w:r w:rsidRPr="009278EB">
        <w:rPr>
          <w:sz w:val="16"/>
        </w:rPr>
        <w:t xml:space="preserve">, and the systems patients must navigate to access care and coverage. For millions of Americans, </w:t>
      </w:r>
      <w:r w:rsidRPr="00DD2D90">
        <w:rPr>
          <w:rStyle w:val="StyleUnderline"/>
        </w:rPr>
        <w:t>having insurance is no longer the same as being protected.</w:t>
      </w:r>
    </w:p>
    <w:p w14:paraId="459E67B5" w14:textId="77777777" w:rsidR="001756B0" w:rsidRPr="009278EB" w:rsidRDefault="001756B0" w:rsidP="001756B0">
      <w:pPr>
        <w:rPr>
          <w:sz w:val="16"/>
        </w:rPr>
      </w:pPr>
    </w:p>
    <w:p w14:paraId="4AD9736E" w14:textId="77777777" w:rsidR="00EA6776" w:rsidRPr="009278EB" w:rsidRDefault="00EA6776">
      <w:pPr>
        <w:rPr>
          <w:rFonts w:eastAsiaTheme="majorEastAsia" w:cstheme="majorBidi"/>
          <w:b/>
          <w:iCs/>
          <w:sz w:val="16"/>
        </w:rPr>
      </w:pPr>
      <w:bookmarkStart w:id="22" w:name="_hezn35v6ltex" w:colFirst="0" w:colLast="0"/>
      <w:bookmarkEnd w:id="22"/>
      <w:r w:rsidRPr="009278EB">
        <w:rPr>
          <w:sz w:val="16"/>
        </w:rPr>
        <w:br w:type="page"/>
      </w:r>
    </w:p>
    <w:p w14:paraId="68FD5D53" w14:textId="34A5772B" w:rsidR="001756B0" w:rsidRPr="009278EB" w:rsidRDefault="001756B0" w:rsidP="001756B0">
      <w:pPr>
        <w:pStyle w:val="Heading4"/>
        <w:rPr>
          <w:szCs w:val="26"/>
        </w:rPr>
      </w:pPr>
      <w:r w:rsidRPr="009278EB">
        <w:rPr>
          <w:szCs w:val="26"/>
        </w:rPr>
        <w:t xml:space="preserve">Wage garnishment from medical debt puts </w:t>
      </w:r>
      <w:r w:rsidR="00F62882" w:rsidRPr="009278EB">
        <w:rPr>
          <w:szCs w:val="26"/>
        </w:rPr>
        <w:t xml:space="preserve">thousands of </w:t>
      </w:r>
      <w:r w:rsidRPr="009278EB">
        <w:rPr>
          <w:szCs w:val="26"/>
        </w:rPr>
        <w:t>families into impossible situations.</w:t>
      </w:r>
    </w:p>
    <w:p w14:paraId="5AF2196F" w14:textId="77777777" w:rsidR="001756B0" w:rsidRPr="00DD2D90" w:rsidRDefault="001756B0" w:rsidP="001756B0">
      <w:r w:rsidRPr="009278EB">
        <w:rPr>
          <w:b/>
          <w:bCs/>
          <w:sz w:val="26"/>
          <w:szCs w:val="26"/>
        </w:rPr>
        <w:t>Bichell 25</w:t>
      </w:r>
      <w:r w:rsidRPr="00DD2D90">
        <w:rPr>
          <w:b/>
          <w:bCs/>
        </w:rPr>
        <w:t xml:space="preserve"> </w:t>
      </w:r>
      <w:r w:rsidRPr="00DD2D90">
        <w:t>[Rae Ellen Bichell, Colorado correspondent for KFF Health News, 09-29-2025, “Health care providers and debt collectors are biting from people’s paychecks to cover old medical bills,” Fortune, https://fortune.com/2025/09/29/medical-debt-wage-garnishment-paychecks-old-medical-bills/]/Kankee</w:t>
      </w:r>
    </w:p>
    <w:p w14:paraId="14C6A0D4" w14:textId="77777777" w:rsidR="001756B0" w:rsidRPr="009278EB" w:rsidRDefault="001756B0" w:rsidP="001756B0">
      <w:pPr>
        <w:rPr>
          <w:sz w:val="16"/>
        </w:rPr>
      </w:pPr>
      <w:r w:rsidRPr="009278EB">
        <w:rPr>
          <w:sz w:val="16"/>
        </w:rPr>
        <w:t xml:space="preserve">Stacey Knoll thought the court summons she received was a scam. She didn’t remember getting any medical bills from Montrose Regional Health, a nonprofit hospital, after a 2020 emergency room visit.  So she was shocked when, three years after the trip to the hospital, her employer received court orders requiring it to start funneling a chunk of her paychecks to a debt collector for an unpaid $881 medical bill — which had grown to $1,155.26 from interest and court fees.  The timing was terrible. After leaving a bad marriage and staying in a shelter, she had just gotten full custody of her three children, steady housing in Montrose, Colorado, and a job at a gas station.   “And that’s when I got that garnishment from the court,” she said. “It was really scary. I’d never been on my own or raised kids on my own.”  KFF Health News reviewed </w:t>
      </w:r>
      <w:r w:rsidRPr="00DD2D90">
        <w:rPr>
          <w:u w:val="single"/>
        </w:rPr>
        <w:t>1,200 Colorado cases</w:t>
      </w:r>
      <w:r w:rsidRPr="009278EB">
        <w:rPr>
          <w:sz w:val="16"/>
        </w:rPr>
        <w:t xml:space="preserve"> in which judges, over a two-year period from Feb. 1, 2022, through Feb. 1, 2024, </w:t>
      </w:r>
      <w:r w:rsidRPr="00DD2D90">
        <w:rPr>
          <w:u w:val="single"/>
        </w:rPr>
        <w:t>gave permission to garnish wages over unpaid bills</w:t>
      </w:r>
      <w:r w:rsidRPr="009278EB">
        <w:rPr>
          <w:sz w:val="16"/>
        </w:rPr>
        <w:t>.</w:t>
      </w:r>
      <w:r w:rsidRPr="00DD2D90">
        <w:rPr>
          <w:u w:val="single"/>
        </w:rPr>
        <w:t xml:space="preserve"> At least </w:t>
      </w:r>
      <w:r w:rsidRPr="00DD2D90">
        <w:rPr>
          <w:rStyle w:val="Emphasis"/>
          <w:highlight w:val="green"/>
        </w:rPr>
        <w:t>30%</w:t>
      </w:r>
      <w:r w:rsidRPr="00DD2D90">
        <w:rPr>
          <w:highlight w:val="green"/>
          <w:u w:val="single"/>
        </w:rPr>
        <w:t xml:space="preserve"> of</w:t>
      </w:r>
      <w:r w:rsidRPr="00DD2D90">
        <w:rPr>
          <w:u w:val="single"/>
        </w:rPr>
        <w:t xml:space="preserve"> the </w:t>
      </w:r>
      <w:r w:rsidRPr="00DD2D90">
        <w:rPr>
          <w:highlight w:val="green"/>
          <w:u w:val="single"/>
        </w:rPr>
        <w:t>cases</w:t>
      </w:r>
      <w:r w:rsidRPr="00DD2D90">
        <w:rPr>
          <w:u w:val="single"/>
        </w:rPr>
        <w:t xml:space="preserve"> </w:t>
      </w:r>
      <w:r w:rsidRPr="00DD2D90">
        <w:rPr>
          <w:highlight w:val="green"/>
          <w:u w:val="single"/>
        </w:rPr>
        <w:t>stemmed from medical</w:t>
      </w:r>
      <w:r w:rsidRPr="00DD2D90">
        <w:rPr>
          <w:u w:val="single"/>
        </w:rPr>
        <w:t xml:space="preserve"> </w:t>
      </w:r>
      <w:r w:rsidRPr="00DD2D90">
        <w:rPr>
          <w:highlight w:val="green"/>
          <w:u w:val="single"/>
        </w:rPr>
        <w:t>care</w:t>
      </w:r>
      <w:r w:rsidRPr="009278EB">
        <w:rPr>
          <w:sz w:val="16"/>
        </w:rPr>
        <w:t xml:space="preserve"> — </w:t>
      </w:r>
      <w:r w:rsidRPr="00DD2D90">
        <w:rPr>
          <w:rStyle w:val="StyleUnderline"/>
        </w:rPr>
        <w:t>even when patients’ bills should have been covered by Medicaid</w:t>
      </w:r>
      <w:r w:rsidRPr="009278EB">
        <w:rPr>
          <w:sz w:val="16"/>
        </w:rPr>
        <w:t xml:space="preserve">, the public insurance program for those with low incomes or disabilities. That </w:t>
      </w:r>
      <w:r w:rsidRPr="00DD2D90">
        <w:rPr>
          <w:rStyle w:val="StyleUnderline"/>
        </w:rPr>
        <w:t>30% is</w:t>
      </w:r>
      <w:r w:rsidRPr="009278EB">
        <w:rPr>
          <w:sz w:val="16"/>
        </w:rPr>
        <w:t xml:space="preserve"> likely </w:t>
      </w:r>
      <w:r w:rsidRPr="00DD2D90">
        <w:rPr>
          <w:rStyle w:val="StyleUnderline"/>
          <w:highlight w:val="green"/>
        </w:rPr>
        <w:t xml:space="preserve">an </w:t>
      </w:r>
      <w:r w:rsidRPr="00DD2D90">
        <w:rPr>
          <w:rStyle w:val="Emphasis"/>
          <w:highlight w:val="green"/>
        </w:rPr>
        <w:t>underestimate</w:t>
      </w:r>
      <w:r w:rsidRPr="009278EB">
        <w:rPr>
          <w:sz w:val="16"/>
        </w:rPr>
        <w:t xml:space="preserve"> since medical debt is often hidden behind other types of debt, such as from credit cards or payday loans. But even that minimum would translate to roughly </w:t>
      </w:r>
      <w:r w:rsidRPr="00DD2D90">
        <w:rPr>
          <w:rStyle w:val="Emphasis"/>
        </w:rPr>
        <w:t xml:space="preserve">14,000 </w:t>
      </w:r>
      <w:r w:rsidRPr="00DD2D90">
        <w:rPr>
          <w:rStyle w:val="StyleUnderline"/>
        </w:rPr>
        <w:t>cases a year in Colorado</w:t>
      </w:r>
      <w:r w:rsidRPr="009278EB">
        <w:rPr>
          <w:sz w:val="16"/>
        </w:rPr>
        <w:t xml:space="preserve"> in which courts approved taking people’s wages because of unpaid medical bills.  Among the other findings:  </w:t>
      </w:r>
      <w:r w:rsidRPr="00DD2D90">
        <w:rPr>
          <w:u w:val="single"/>
        </w:rPr>
        <w:t xml:space="preserve">Patients were pursued for medical bills ranging from under $30 to over $30,000, with most of the bills amounting to less than $2,400. As the cases rolled through the legal system, </w:t>
      </w:r>
      <w:r w:rsidRPr="00DD2D90">
        <w:rPr>
          <w:highlight w:val="green"/>
          <w:u w:val="single"/>
        </w:rPr>
        <w:t>accumulating interest and court fees</w:t>
      </w:r>
      <w:r w:rsidRPr="00DD2D90">
        <w:rPr>
          <w:u w:val="single"/>
        </w:rPr>
        <w:t xml:space="preserve">, </w:t>
      </w:r>
      <w:r w:rsidRPr="00DD2D90">
        <w:rPr>
          <w:highlight w:val="green"/>
          <w:u w:val="single"/>
        </w:rPr>
        <w:t>the</w:t>
      </w:r>
      <w:r w:rsidRPr="00DD2D90">
        <w:rPr>
          <w:u w:val="single"/>
        </w:rPr>
        <w:t xml:space="preserve"> </w:t>
      </w:r>
      <w:r w:rsidRPr="00DD2D90">
        <w:rPr>
          <w:highlight w:val="green"/>
          <w:u w:val="single"/>
        </w:rPr>
        <w:t>amount</w:t>
      </w:r>
      <w:r w:rsidRPr="009278EB">
        <w:rPr>
          <w:sz w:val="16"/>
        </w:rPr>
        <w:t xml:space="preserve"> </w:t>
      </w:r>
      <w:r w:rsidRPr="00DD2D90">
        <w:rPr>
          <w:u w:val="single"/>
        </w:rPr>
        <w:t>that</w:t>
      </w:r>
      <w:r w:rsidRPr="009278EB">
        <w:rPr>
          <w:sz w:val="16"/>
        </w:rPr>
        <w:t xml:space="preserve"> </w:t>
      </w:r>
      <w:r w:rsidRPr="00DD2D90">
        <w:rPr>
          <w:u w:val="single"/>
        </w:rPr>
        <w:t xml:space="preserve">patients owed often </w:t>
      </w:r>
      <w:r w:rsidRPr="00DD2D90">
        <w:rPr>
          <w:rStyle w:val="Emphasis"/>
          <w:highlight w:val="green"/>
        </w:rPr>
        <w:t>grew</w:t>
      </w:r>
      <w:r w:rsidRPr="00DD2D90">
        <w:rPr>
          <w:highlight w:val="green"/>
          <w:u w:val="single"/>
        </w:rPr>
        <w:t xml:space="preserve"> by </w:t>
      </w:r>
      <w:r w:rsidRPr="00DD2D90">
        <w:rPr>
          <w:rStyle w:val="Emphasis"/>
          <w:highlight w:val="green"/>
        </w:rPr>
        <w:t>25%.</w:t>
      </w:r>
      <w:r w:rsidRPr="009278EB">
        <w:rPr>
          <w:sz w:val="16"/>
        </w:rPr>
        <w:t xml:space="preserve"> In one case, </w:t>
      </w:r>
      <w:r w:rsidRPr="00DD2D90">
        <w:rPr>
          <w:rStyle w:val="StyleUnderline"/>
        </w:rPr>
        <w:t xml:space="preserve">it snowballed by more than </w:t>
      </w:r>
      <w:r w:rsidRPr="00DD2D90">
        <w:rPr>
          <w:rStyle w:val="Emphasis"/>
        </w:rPr>
        <w:t>400%</w:t>
      </w:r>
      <w:r w:rsidRPr="00DD2D90">
        <w:rPr>
          <w:rStyle w:val="StyleUnderline"/>
        </w:rPr>
        <w:t>.</w:t>
      </w:r>
      <w:r w:rsidRPr="009278EB">
        <w:rPr>
          <w:sz w:val="16"/>
        </w:rPr>
        <w:t xml:space="preserve"> </w:t>
      </w:r>
      <w:r w:rsidRPr="00DD2D90">
        <w:rPr>
          <w:rStyle w:val="StyleUnderline"/>
        </w:rPr>
        <w:t>Cases trailed people for</w:t>
      </w:r>
      <w:r w:rsidRPr="009278EB">
        <w:rPr>
          <w:sz w:val="16"/>
        </w:rPr>
        <w:t xml:space="preserve"> up to </w:t>
      </w:r>
      <w:r w:rsidRPr="00DD2D90">
        <w:rPr>
          <w:rStyle w:val="Emphasis"/>
        </w:rPr>
        <w:t>14 years</w:t>
      </w:r>
      <w:r w:rsidRPr="009278EB">
        <w:rPr>
          <w:sz w:val="16"/>
        </w:rPr>
        <w:t xml:space="preserve"> after they received medical care, with debt collectors reviving their cases even as they moved from job to job. Medical providers of all stripes are behind these bills — big health care chains, small rural hospitals, physician groups, public ambulance services, and more. In several cases, hospitals won permission to take the pay of their own employees who had unpaid bills from treatment at the facilities. Colorado has company. It is one of </w:t>
      </w:r>
      <w:r w:rsidRPr="00DD2D90">
        <w:rPr>
          <w:rStyle w:val="Emphasis"/>
          <w:highlight w:val="green"/>
        </w:rPr>
        <w:t>45 states</w:t>
      </w:r>
      <w:r w:rsidRPr="009278EB">
        <w:rPr>
          <w:sz w:val="16"/>
        </w:rPr>
        <w:t xml:space="preserve"> that </w:t>
      </w:r>
      <w:r w:rsidRPr="00DD2D90">
        <w:rPr>
          <w:highlight w:val="green"/>
          <w:u w:val="single"/>
        </w:rPr>
        <w:t>allow wage garnishment for unpaid medical bills</w:t>
      </w:r>
      <w:r w:rsidRPr="00DD2D90">
        <w:rPr>
          <w:u w:val="single"/>
        </w:rPr>
        <w:t xml:space="preserve">. Only Delaware, New York, North Carolina, Pennsylvania, and Texas have banned wage garnishment for medical debt.  </w:t>
      </w:r>
      <w:r w:rsidRPr="009278EB">
        <w:rPr>
          <w:sz w:val="16"/>
        </w:rPr>
        <w:t xml:space="preserve"> As KFF Health News has reported, </w:t>
      </w:r>
      <w:r w:rsidRPr="00DD2D90">
        <w:rPr>
          <w:highlight w:val="green"/>
          <w:u w:val="single"/>
        </w:rPr>
        <w:t xml:space="preserve">medical debt is </w:t>
      </w:r>
      <w:r w:rsidRPr="00DD2D90">
        <w:rPr>
          <w:rStyle w:val="Emphasis"/>
          <w:highlight w:val="green"/>
        </w:rPr>
        <w:t>devastating</w:t>
      </w:r>
      <w:r w:rsidRPr="00DD2D90">
        <w:rPr>
          <w:highlight w:val="green"/>
          <w:u w:val="single"/>
        </w:rPr>
        <w:t xml:space="preserve"> for </w:t>
      </w:r>
      <w:r w:rsidRPr="00DD2D90">
        <w:rPr>
          <w:rStyle w:val="Emphasis"/>
          <w:highlight w:val="green"/>
        </w:rPr>
        <w:t>millions</w:t>
      </w:r>
      <w:r w:rsidRPr="009278EB">
        <w:rPr>
          <w:sz w:val="16"/>
        </w:rPr>
        <w:t xml:space="preserve"> of people across the country. And now </w:t>
      </w:r>
      <w:r w:rsidRPr="00DD2D90">
        <w:rPr>
          <w:u w:val="single"/>
        </w:rPr>
        <w:t>the problem is likely to grow more pressing</w:t>
      </w:r>
      <w:r w:rsidRPr="009278EB">
        <w:rPr>
          <w:sz w:val="16"/>
        </w:rPr>
        <w:t xml:space="preserve"> nationwide.</w:t>
      </w:r>
      <w:r w:rsidRPr="00DD2D90">
        <w:rPr>
          <w:u w:val="single"/>
        </w:rPr>
        <w:t xml:space="preserve"> Millions of Americans are expected to lose health insurance in the coming years due to Medicaid changes in </w:t>
      </w:r>
      <w:r w:rsidRPr="009278EB">
        <w:rPr>
          <w:sz w:val="16"/>
        </w:rPr>
        <w:t>President Donald</w:t>
      </w:r>
      <w:r w:rsidRPr="00DD2D90">
        <w:rPr>
          <w:u w:val="single"/>
        </w:rPr>
        <w:t xml:space="preserve"> Trump’s tax and spending law and if Congress allows some Affordable Care Act subsidies to expire. That means health crises for the newly uninsured could lead them, too, into a </w:t>
      </w:r>
      <w:r w:rsidRPr="00DD2D90">
        <w:rPr>
          <w:rStyle w:val="Emphasis"/>
        </w:rPr>
        <w:t>spiral</w:t>
      </w:r>
      <w:r w:rsidRPr="00DD2D90">
        <w:rPr>
          <w:u w:val="single"/>
        </w:rPr>
        <w:t xml:space="preserve"> of medical debt.  </w:t>
      </w:r>
      <w:r w:rsidRPr="009278EB">
        <w:rPr>
          <w:sz w:val="16"/>
        </w:rPr>
        <w:t xml:space="preserve">And the hurt will linger: Large unpaid medical bills are staying on credit reports in most states after a July decision from a federal judge reversed a new rule aimed at protecting consumers.   </w:t>
      </w:r>
      <w:r w:rsidRPr="00DD2D90">
        <w:rPr>
          <w:u w:val="single"/>
        </w:rPr>
        <w:t>“</w:t>
      </w:r>
      <w:r w:rsidRPr="00DD2D90">
        <w:rPr>
          <w:highlight w:val="green"/>
          <w:u w:val="single"/>
        </w:rPr>
        <w:t>If you can’t maintain your health, how are you going to</w:t>
      </w:r>
      <w:r w:rsidRPr="00DD2D90">
        <w:rPr>
          <w:u w:val="single"/>
        </w:rPr>
        <w:t xml:space="preserve"> work to </w:t>
      </w:r>
      <w:r w:rsidRPr="00DD2D90">
        <w:rPr>
          <w:highlight w:val="green"/>
          <w:u w:val="single"/>
        </w:rPr>
        <w:t>pay back a debt</w:t>
      </w:r>
      <w:r w:rsidRPr="009278EB">
        <w:rPr>
          <w:sz w:val="16"/>
        </w:rPr>
        <w:t>?” said Adam Fox, deputy director of the Colorado Consumer Health Initiative, a nonprofit aimed at lowering health costs. “</w:t>
      </w:r>
      <w:r w:rsidRPr="00DD2D90">
        <w:rPr>
          <w:u w:val="single"/>
        </w:rPr>
        <w:t>And if you fundamentally can’t pay the bill</w:t>
      </w:r>
      <w:r w:rsidRPr="009278EB">
        <w:rPr>
          <w:sz w:val="16"/>
        </w:rPr>
        <w:t>,</w:t>
      </w:r>
      <w:r w:rsidRPr="00DD2D90">
        <w:rPr>
          <w:u w:val="single"/>
        </w:rPr>
        <w:t xml:space="preserve"> </w:t>
      </w:r>
      <w:r w:rsidRPr="00DD2D90">
        <w:rPr>
          <w:highlight w:val="green"/>
          <w:u w:val="single"/>
        </w:rPr>
        <w:t>wage garnishment</w:t>
      </w:r>
      <w:r w:rsidRPr="009278EB">
        <w:rPr>
          <w:sz w:val="16"/>
        </w:rPr>
        <w:t xml:space="preserve"> isn’t going to help you do that. It’s going </w:t>
      </w:r>
      <w:r w:rsidRPr="00DD2D90">
        <w:rPr>
          <w:u w:val="single"/>
        </w:rPr>
        <w:t xml:space="preserve">to </w:t>
      </w:r>
      <w:r w:rsidRPr="00DD2D90">
        <w:rPr>
          <w:highlight w:val="green"/>
          <w:u w:val="single"/>
        </w:rPr>
        <w:t>put you in more</w:t>
      </w:r>
      <w:r w:rsidRPr="00DD2D90">
        <w:rPr>
          <w:u w:val="single"/>
        </w:rPr>
        <w:t xml:space="preserve"> </w:t>
      </w:r>
      <w:r w:rsidRPr="00DD2D90">
        <w:rPr>
          <w:highlight w:val="green"/>
          <w:u w:val="single"/>
        </w:rPr>
        <w:t xml:space="preserve">financial </w:t>
      </w:r>
      <w:r w:rsidRPr="00DD2D90">
        <w:rPr>
          <w:rStyle w:val="Emphasis"/>
          <w:highlight w:val="green"/>
        </w:rPr>
        <w:t>distress</w:t>
      </w:r>
      <w:r w:rsidRPr="009278EB">
        <w:rPr>
          <w:sz w:val="16"/>
        </w:rPr>
        <w:t xml:space="preserve">.”  Flying blind on medical debt </w:t>
      </w:r>
      <w:r w:rsidRPr="00DD2D90">
        <w:rPr>
          <w:u w:val="single"/>
        </w:rPr>
        <w:t>When someone fails to pay a bill, the creditor</w:t>
      </w:r>
      <w:r w:rsidRPr="009278EB">
        <w:rPr>
          <w:sz w:val="16"/>
        </w:rPr>
        <w:t xml:space="preserve"> that provided the service — whether for a garage door repair, a car loan, or medical care — </w:t>
      </w:r>
      <w:r w:rsidRPr="00DD2D90">
        <w:rPr>
          <w:u w:val="single"/>
        </w:rPr>
        <w:t xml:space="preserve">can take the debtor to court. Creditors can also pass the debt to a debt collector or debt buyer, who can do the same.  </w:t>
      </w:r>
      <w:r w:rsidRPr="009278EB">
        <w:rPr>
          <w:sz w:val="16"/>
        </w:rPr>
        <w:t xml:space="preserve">“At any given point, </w:t>
      </w:r>
      <w:r w:rsidRPr="00DD2D90">
        <w:rPr>
          <w:u w:val="single"/>
        </w:rPr>
        <w:t>about 1% of working adults are being garnished for some reason</w:t>
      </w:r>
      <w:r w:rsidRPr="009278EB">
        <w:rPr>
          <w:sz w:val="16"/>
        </w:rPr>
        <w:t xml:space="preserve">,” said Anthony DeFusco, an economist at the University of Wisconsin-Madison, who studied paycheck data from ADP, a payroll processor that distributes paychecks to about a fifth of private sector U.S. workers. “That’s a big chunk of the population.”  But specific research into the practice of garnishing wages over medical debt is scant. Studies in North Carolina, Virginia, and New York have found that nonprofit hospitals commonly garnish wages from indebted patients, with some studies finding those patients tend to work in low-wage occupations.  Marty Makary, who led research on medical debt wage garnishment in Virginia at Johns Hopkins University before joining Trump’s cabinet as Food and Drug Administration commissioner, has called the practice “aggressive.” He co-authored a study that found 36% of </w:t>
      </w:r>
      <w:r w:rsidRPr="00DD2D90">
        <w:rPr>
          <w:u w:val="single"/>
        </w:rPr>
        <w:t>Virginia hospitals</w:t>
      </w:r>
      <w:r w:rsidRPr="009278EB">
        <w:rPr>
          <w:sz w:val="16"/>
        </w:rPr>
        <w:t xml:space="preserve">, mostly nonprofit and mostly in urban areas, </w:t>
      </w:r>
      <w:r w:rsidRPr="00DD2D90">
        <w:rPr>
          <w:u w:val="single"/>
        </w:rPr>
        <w:t xml:space="preserve">were using garnishment to collect unpaid debts in 2017, affecting </w:t>
      </w:r>
      <w:r w:rsidRPr="00DD2D90">
        <w:rPr>
          <w:rStyle w:val="Emphasis"/>
        </w:rPr>
        <w:t>thousands</w:t>
      </w:r>
      <w:r w:rsidRPr="00DD2D90">
        <w:rPr>
          <w:u w:val="single"/>
        </w:rPr>
        <w:t xml:space="preserve"> of patients.  </w:t>
      </w:r>
      <w:r w:rsidRPr="009278EB">
        <w:rPr>
          <w:sz w:val="16"/>
        </w:rPr>
        <w:t xml:space="preserve">The Colorado findings from KFF Health News show that </w:t>
      </w:r>
      <w:r w:rsidRPr="00DD2D90">
        <w:rPr>
          <w:u w:val="single"/>
        </w:rPr>
        <w:t>hospitals are far from the only medical providers going after patients’ paychecks</w:t>
      </w:r>
      <w:r w:rsidRPr="009278EB">
        <w:rPr>
          <w:sz w:val="16"/>
        </w:rPr>
        <w:t>, though.   Researchers and advocates say that, in addition to a dearth of court case data, another phenomenon tends to obscure how often this happens. “</w:t>
      </w:r>
      <w:r w:rsidRPr="00DD2D90">
        <w:rPr>
          <w:rStyle w:val="StyleUnderline"/>
        </w:rPr>
        <w:t>People find debt shameful</w:t>
      </w:r>
      <w:r w:rsidRPr="009278EB">
        <w:rPr>
          <w:sz w:val="16"/>
        </w:rPr>
        <w:t xml:space="preserve">,” said Lester Bird, a senior manager at the Pew Charitable Trusts who specializes in courts. “A lot of this exists in the shadows.”  </w:t>
      </w:r>
      <w:r w:rsidRPr="00DD2D90">
        <w:rPr>
          <w:rStyle w:val="StyleUnderline"/>
        </w:rPr>
        <w:t>Without data on how often this tactic is employed, lawmakers are flying blind</w:t>
      </w:r>
      <w:r w:rsidRPr="009278EB">
        <w:rPr>
          <w:sz w:val="16"/>
        </w:rPr>
        <w:t xml:space="preserve"> — even as a 2024 Associated Press-NORC poll showed about 4 in 5 U.S. adults believe it’s important for the federal government to provide medical debt relief.  ‘Blood from a turnip’ Colorado was among the first of 15 states to scratch medical debt from credit reports. Debt buyers in the state aren’t allowed to foreclose on a patient’s home. If qualified patients opt to pay in monthly installments, those payments shouldn’t exceed 6% of their household income — and the remaining debt gets wiped after about three years of paying.  But if they don’t agree to a payment plan, Coloradans can have up to 20% of their disposable earnings garnished. The National Consumer Law Center gave the state a “D” grade for state protections of family finances.  Consumer advocates said they aren’t sure how well even those Colorado requirements are being followed. And people wrote letters to the courts saying </w:t>
      </w:r>
      <w:r w:rsidRPr="00DD2D90">
        <w:rPr>
          <w:rStyle w:val="StyleUnderline"/>
        </w:rPr>
        <w:t xml:space="preserve">wage garnishment would </w:t>
      </w:r>
      <w:r w:rsidRPr="00DD2D90">
        <w:rPr>
          <w:rStyle w:val="Emphasis"/>
        </w:rPr>
        <w:t>exacerbate</w:t>
      </w:r>
      <w:r w:rsidRPr="00DD2D90">
        <w:rPr>
          <w:rStyle w:val="StyleUnderline"/>
        </w:rPr>
        <w:t xml:space="preserve"> their already dire financial situations</w:t>
      </w:r>
      <w:r w:rsidRPr="009278EB">
        <w:rPr>
          <w:sz w:val="16"/>
        </w:rPr>
        <w:t>.  “</w:t>
      </w:r>
      <w:r w:rsidRPr="00DD2D90">
        <w:rPr>
          <w:rStyle w:val="StyleUnderline"/>
          <w:highlight w:val="green"/>
        </w:rPr>
        <w:t>I have begun to</w:t>
      </w:r>
      <w:r w:rsidRPr="00DD2D90">
        <w:rPr>
          <w:rStyle w:val="StyleUnderline"/>
        </w:rPr>
        <w:t xml:space="preserve"> </w:t>
      </w:r>
      <w:r w:rsidRPr="00DD2D90">
        <w:rPr>
          <w:rStyle w:val="StyleUnderline"/>
          <w:highlight w:val="green"/>
        </w:rPr>
        <w:t>fall behind on my electricity, my gas, my water my credit cards</w:t>
      </w:r>
      <w:r w:rsidRPr="009278EB">
        <w:rPr>
          <w:sz w:val="16"/>
        </w:rPr>
        <w:t>,” wrote a man in western Colorado in a letter to a judge that KFF Health News obtained in the court filings. Court records show he was working in construction and at a rent-to-own store, with about $8,000 in medical debt. He wrote to the judge that he was paying close to $1,000 a month. “</w:t>
      </w:r>
      <w:r w:rsidRPr="00DD2D90">
        <w:rPr>
          <w:rStyle w:val="StyleUnderline"/>
        </w:rPr>
        <w:t xml:space="preserve">The way things are going now </w:t>
      </w:r>
      <w:r w:rsidRPr="00DD2D90">
        <w:rPr>
          <w:rStyle w:val="Emphasis"/>
          <w:highlight w:val="green"/>
        </w:rPr>
        <w:t>I will lose everything</w:t>
      </w:r>
      <w:r w:rsidRPr="009278EB">
        <w:rPr>
          <w:sz w:val="16"/>
        </w:rPr>
        <w:t xml:space="preserve">.”   The people being sued in KFF Health News’ Colorado review worked in a wide array of jobs. They worked in school districts, ranching, mining, construction, local government, even health care. Several worked at stores such as Walmart and Family Dollar, or at gas stations, restaurants, or grocery stores.  “You’re really kicking people when they’re down,” said Lois Lupica, a former attorney working with the Denver-based Community Economic Defense Project and the Debt Collection Lab at Princeton. “They’re basically suing the you-can’t-get-blood-from-a-turnip population.”  In 2022, court records show, Valley View health system based in Glenwood Springs was allowed to garnish the wages of one of its patients over a $400 medical bill. The patient was working at a local organization that the health system supported as part of the community benefits it provides to keep its tax-exempt status. Nonprofit hospitals like Valley View are required to provide community benefits, which can also include charity care that covers patients’ bills.  Stacey Gavrell, the health system’s chief community relations officer, said it offers options such as interest-free payment plans and care at reduced or no cost to families with incomes up to 500% of the federal poverty level.  “As our rural region’s largest healthcare provider, it is imperative to the health and well-being of our community that Valley View remains a financially viable organization,” she said. “Most of our patients work with us to develop a payment plan or pursue financial assistance.”  The collection agency that took the employee to court, A-1 Collection Agency, advertises itself on its website as empathetic: “We understand times are tough and money is tight.”   Pilar Mank, who oversees operations at A-1’s parent company, Healthcare Management, said it accepts payment plans as small as $50 a month and that most of the hospitals it works with allow it to offer a discount if patients pay all at once.  “Suing a patient is the absolute last resort,” she said. “We try everything we can to work with the patient.”  Hospitals sometimes also garnish wages from their own employees for care they provided them. In one case, a hospital employee worked her way up from housekeeper to registrar to quality analyst. She even participated in public events representing her employer and appeared on the hospital’s website as a featured employee — while the court issued writs of garnishment until her $10,000 in medical bills from the hospital was paid off.  “Hospital care costs money to deliver,” said Colorado Hospital Association spokesperson Julie Lonborg about hospitals’ garnishing their own employees’ wages. “In some ways, I think it’s funny to be asked the question. I would understand if someone said, ‘Why aren’t you garnishing their wages?’”  Studies show that hospital debt collection efforts through wage garnishment bring in only about 0.2% of hospital revenues, said April Kuehnhoff, a senior attorney with the National Consumer Law Center, which advocates for people with low incomes.  “We also know that there are states that don’t allow this at all,” she said. “Hospitals are continuing to provide medical care to consumers.”   </w:t>
      </w:r>
      <w:r w:rsidRPr="00DD2D90">
        <w:rPr>
          <w:u w:val="single"/>
        </w:rPr>
        <w:t xml:space="preserve">Smooth sailing for collectors — but not for patients </w:t>
      </w:r>
      <w:r w:rsidRPr="009278EB">
        <w:rPr>
          <w:sz w:val="16"/>
        </w:rPr>
        <w:t xml:space="preserve">Health care providers appeared as the plaintiffs in only 2% of the medical debt cases. Instead, </w:t>
      </w:r>
      <w:r w:rsidRPr="00DD2D90">
        <w:rPr>
          <w:u w:val="single"/>
        </w:rPr>
        <w:t>cases</w:t>
      </w:r>
      <w:r w:rsidRPr="009278EB">
        <w:rPr>
          <w:sz w:val="16"/>
        </w:rPr>
        <w:t xml:space="preserve"> were </w:t>
      </w:r>
      <w:r w:rsidRPr="00DD2D90">
        <w:rPr>
          <w:u w:val="single"/>
        </w:rPr>
        <w:t xml:space="preserve">filed almost entirely by </w:t>
      </w:r>
      <w:r w:rsidRPr="00DD2D90">
        <w:rPr>
          <w:rStyle w:val="Emphasis"/>
        </w:rPr>
        <w:t>third-party</w:t>
      </w:r>
      <w:r w:rsidRPr="00DD2D90">
        <w:rPr>
          <w:u w:val="single"/>
        </w:rPr>
        <w:t xml:space="preserve"> debt collectors and buyers</w:t>
      </w:r>
      <w:r w:rsidRPr="009278EB">
        <w:rPr>
          <w:sz w:val="16"/>
        </w:rPr>
        <w:t xml:space="preserve">, with BC Services and Professional Finance Company behind more than half of the cases, followed by A-1 Collection Agency and Wakefield &amp; Associates.  Debt buyers make money by buying debt from providers who’ve given up on getting paid then collecting what they can of the money owed, plus interest. Debt collectors get paid a percentage of what they recover. Some companies do a bit of both.  BC Services declined to comment, and Wakefield &amp; Associates did not respond to questions.  Charlie Shoop, president of Professional Finance Company, said his company initiates wage garnishment on less than 1% of all accounts placed with it for collection.  Health care providers in Colorado can no longer hide behind debt collectors’ names when they sue people, according to a 2024 state law prompted by a 9News-Colorado Sun investigation in partnership with a Colorado News Collaborative-KFF Health News reporting project.  In many states, the path for filing a case against a </w:t>
      </w:r>
      <w:r w:rsidRPr="00DD2D90">
        <w:rPr>
          <w:u w:val="single"/>
        </w:rPr>
        <w:t xml:space="preserve">debtor and </w:t>
      </w:r>
      <w:r w:rsidRPr="00DD2D90">
        <w:rPr>
          <w:highlight w:val="green"/>
          <w:u w:val="single"/>
        </w:rPr>
        <w:t xml:space="preserve">garnishing </w:t>
      </w:r>
      <w:r w:rsidRPr="00DD2D90">
        <w:rPr>
          <w:u w:val="single"/>
        </w:rPr>
        <w:t xml:space="preserve">their </w:t>
      </w:r>
      <w:r w:rsidRPr="00DD2D90">
        <w:rPr>
          <w:highlight w:val="green"/>
          <w:u w:val="single"/>
        </w:rPr>
        <w:t xml:space="preserve">wages is </w:t>
      </w:r>
      <w:r w:rsidRPr="00DD2D90">
        <w:rPr>
          <w:u w:val="single"/>
        </w:rPr>
        <w:t>relatively smooth</w:t>
      </w:r>
      <w:r w:rsidRPr="009278EB">
        <w:rPr>
          <w:sz w:val="16"/>
        </w:rPr>
        <w:t xml:space="preserve"> — </w:t>
      </w:r>
      <w:r w:rsidRPr="00DD2D90">
        <w:rPr>
          <w:u w:val="single"/>
        </w:rPr>
        <w:t>especially if the debtor doesn’t appear in court</w:t>
      </w:r>
      <w:r w:rsidRPr="009278EB">
        <w:rPr>
          <w:sz w:val="16"/>
        </w:rPr>
        <w:t xml:space="preserve">.   </w:t>
      </w:r>
      <w:r w:rsidRPr="00DD2D90">
        <w:rPr>
          <w:u w:val="single"/>
        </w:rPr>
        <w:t xml:space="preserve">“It’s </w:t>
      </w:r>
      <w:r w:rsidRPr="00DD2D90">
        <w:rPr>
          <w:rStyle w:val="Emphasis"/>
          <w:highlight w:val="green"/>
        </w:rPr>
        <w:t>unbelievably easy</w:t>
      </w:r>
      <w:r w:rsidRPr="00DD2D90">
        <w:rPr>
          <w:u w:val="single"/>
        </w:rPr>
        <w:t>,”</w:t>
      </w:r>
      <w:r w:rsidRPr="009278EB">
        <w:rPr>
          <w:sz w:val="16"/>
        </w:rPr>
        <w:t xml:space="preserve"> said Dan Vedra, a lawyer in Colorado who often represents consumers in debt cases. “</w:t>
      </w:r>
      <w:r w:rsidRPr="00DD2D90">
        <w:rPr>
          <w:u w:val="single"/>
        </w:rPr>
        <w:t>If you have a word processor and a spreadsheet</w:t>
      </w:r>
      <w:r w:rsidRPr="009278EB">
        <w:rPr>
          <w:sz w:val="16"/>
        </w:rPr>
        <w:t xml:space="preserve">, </w:t>
      </w:r>
      <w:r w:rsidRPr="00DD2D90">
        <w:rPr>
          <w:highlight w:val="green"/>
          <w:u w:val="single"/>
        </w:rPr>
        <w:t xml:space="preserve">you can mass-produce </w:t>
      </w:r>
      <w:r w:rsidRPr="00DD2D90">
        <w:rPr>
          <w:rStyle w:val="Emphasis"/>
          <w:highlight w:val="green"/>
        </w:rPr>
        <w:t>thousands</w:t>
      </w:r>
      <w:r w:rsidRPr="00DD2D90">
        <w:rPr>
          <w:highlight w:val="green"/>
          <w:u w:val="single"/>
        </w:rPr>
        <w:t xml:space="preserve"> of lawsuits in a matter of</w:t>
      </w:r>
      <w:r w:rsidRPr="009278EB">
        <w:rPr>
          <w:sz w:val="16"/>
        </w:rPr>
        <w:t xml:space="preserve"> hours or </w:t>
      </w:r>
      <w:r w:rsidRPr="00DD2D90">
        <w:rPr>
          <w:rStyle w:val="Emphasis"/>
          <w:highlight w:val="green"/>
        </w:rPr>
        <w:t>minutes</w:t>
      </w:r>
      <w:r w:rsidRPr="009278EB">
        <w:rPr>
          <w:sz w:val="16"/>
        </w:rPr>
        <w:t>.”  Within KFF Health News’ sample, nearly all the medical debt cases were default judgments, meaning the patient did not defend themselves in court or in writing.</w:t>
      </w:r>
      <w:r w:rsidRPr="00DD2D90">
        <w:rPr>
          <w:u w:val="single"/>
        </w:rPr>
        <w:t xml:space="preserve"> Missing a court date can happen for a variety of reasons, such as not receiving the notice in the mail, assuming it was a scam, knowingly ignoring it, or not having the time to take off from work.  </w:t>
      </w:r>
    </w:p>
    <w:p w14:paraId="23148EE7" w14:textId="77777777" w:rsidR="001756B0" w:rsidRPr="009278EB" w:rsidRDefault="001756B0" w:rsidP="001756B0">
      <w:pPr>
        <w:rPr>
          <w:sz w:val="16"/>
        </w:rPr>
      </w:pPr>
    </w:p>
    <w:p w14:paraId="66BAFBFF" w14:textId="77777777" w:rsidR="001756B0" w:rsidRPr="009278EB" w:rsidRDefault="001756B0" w:rsidP="001756B0">
      <w:pPr>
        <w:rPr>
          <w:sz w:val="16"/>
        </w:rPr>
      </w:pPr>
    </w:p>
    <w:p w14:paraId="2E625BCD" w14:textId="77777777" w:rsidR="001756B0" w:rsidRPr="009278EB" w:rsidRDefault="001756B0" w:rsidP="001756B0">
      <w:pPr>
        <w:rPr>
          <w:sz w:val="16"/>
        </w:rPr>
      </w:pPr>
    </w:p>
    <w:p w14:paraId="69112D4B" w14:textId="77777777" w:rsidR="00EA6776" w:rsidRPr="009278EB" w:rsidRDefault="00EA6776">
      <w:pPr>
        <w:rPr>
          <w:rFonts w:eastAsiaTheme="majorEastAsia" w:cstheme="majorBidi"/>
          <w:b/>
          <w:iCs/>
          <w:sz w:val="16"/>
        </w:rPr>
      </w:pPr>
      <w:bookmarkStart w:id="23" w:name="_6x8qzqg47l96" w:colFirst="0" w:colLast="0"/>
      <w:bookmarkEnd w:id="23"/>
      <w:r w:rsidRPr="009278EB">
        <w:rPr>
          <w:sz w:val="16"/>
        </w:rPr>
        <w:br w:type="page"/>
      </w:r>
    </w:p>
    <w:p w14:paraId="0E688C1C" w14:textId="132E0F64" w:rsidR="001756B0" w:rsidRPr="009278EB" w:rsidRDefault="001756B0" w:rsidP="001756B0">
      <w:pPr>
        <w:pStyle w:val="Heading4"/>
        <w:rPr>
          <w:szCs w:val="26"/>
        </w:rPr>
      </w:pPr>
      <w:r w:rsidRPr="009278EB">
        <w:rPr>
          <w:szCs w:val="26"/>
        </w:rPr>
        <w:t>Healthcare debt spirals into more debt, sinking people further into poverty</w:t>
      </w:r>
      <w:r w:rsidR="00437601" w:rsidRPr="009278EB">
        <w:rPr>
          <w:szCs w:val="26"/>
        </w:rPr>
        <w:t xml:space="preserve"> – public involvement key</w:t>
      </w:r>
    </w:p>
    <w:p w14:paraId="5BD3D055" w14:textId="77777777" w:rsidR="001756B0" w:rsidRPr="00DD2D90" w:rsidRDefault="001756B0" w:rsidP="001756B0">
      <w:r w:rsidRPr="009278EB">
        <w:rPr>
          <w:b/>
          <w:bCs/>
          <w:sz w:val="26"/>
          <w:szCs w:val="26"/>
        </w:rPr>
        <w:t>Kornblatt-Stier 23</w:t>
      </w:r>
      <w:r w:rsidRPr="00DD2D90">
        <w:rPr>
          <w:b/>
          <w:bCs/>
        </w:rPr>
        <w:t xml:space="preserve"> </w:t>
      </w:r>
      <w:r w:rsidRPr="00DD2D90">
        <w:t>[Ruthie Kornblatt-Stier, writer with a BA from Barnard College, 03-11-2023, “America’s Healthcare Debt Is Deepening,” Worth, https://worth.com/americas-healthcare-debt-is-deepening/]/Kankee</w:t>
      </w:r>
    </w:p>
    <w:p w14:paraId="67EC35A0" w14:textId="77777777" w:rsidR="001756B0" w:rsidRPr="00DD2D90" w:rsidRDefault="001756B0" w:rsidP="001756B0">
      <w:pPr>
        <w:rPr>
          <w:u w:val="single"/>
        </w:rPr>
      </w:pPr>
      <w:r w:rsidRPr="00DD2D90">
        <w:rPr>
          <w:u w:val="single"/>
        </w:rPr>
        <w:t xml:space="preserve">The </w:t>
      </w:r>
      <w:r w:rsidRPr="00DD2D90">
        <w:rPr>
          <w:highlight w:val="green"/>
          <w:u w:val="single"/>
        </w:rPr>
        <w:t>U</w:t>
      </w:r>
      <w:r w:rsidRPr="00DD2D90">
        <w:rPr>
          <w:u w:val="single"/>
        </w:rPr>
        <w:t xml:space="preserve">nited </w:t>
      </w:r>
      <w:r w:rsidRPr="00DD2D90">
        <w:rPr>
          <w:highlight w:val="green"/>
          <w:u w:val="single"/>
        </w:rPr>
        <w:t>S</w:t>
      </w:r>
      <w:r w:rsidRPr="00DD2D90">
        <w:rPr>
          <w:u w:val="single"/>
        </w:rPr>
        <w:t xml:space="preserve">tates’ profusion of </w:t>
      </w:r>
      <w:r w:rsidRPr="00DD2D90">
        <w:rPr>
          <w:highlight w:val="green"/>
          <w:u w:val="single"/>
        </w:rPr>
        <w:t>healthcare</w:t>
      </w:r>
      <w:r w:rsidRPr="00DD2D90">
        <w:rPr>
          <w:u w:val="single"/>
        </w:rPr>
        <w:t xml:space="preserve"> facilities, technologies, and therapies </w:t>
      </w:r>
      <w:r w:rsidRPr="00DD2D90">
        <w:rPr>
          <w:highlight w:val="green"/>
          <w:u w:val="single"/>
        </w:rPr>
        <w:t xml:space="preserve">are </w:t>
      </w:r>
      <w:r w:rsidRPr="00DD2D90">
        <w:rPr>
          <w:rStyle w:val="Emphasis"/>
          <w:highlight w:val="green"/>
        </w:rPr>
        <w:t>unavailable</w:t>
      </w:r>
      <w:r w:rsidRPr="00DD2D90">
        <w:rPr>
          <w:highlight w:val="green"/>
          <w:u w:val="single"/>
        </w:rPr>
        <w:t xml:space="preserve"> to most of the world</w:t>
      </w:r>
      <w:r w:rsidRPr="00DD2D90">
        <w:rPr>
          <w:u w:val="single"/>
        </w:rPr>
        <w:t xml:space="preserve">. </w:t>
      </w:r>
      <w:r w:rsidRPr="009278EB">
        <w:rPr>
          <w:sz w:val="16"/>
        </w:rPr>
        <w:t xml:space="preserve">Yet, for most Americans who need medical care, our country’s </w:t>
      </w:r>
      <w:r w:rsidRPr="00DD2D90">
        <w:rPr>
          <w:u w:val="single"/>
        </w:rPr>
        <w:t>unparalleled resources</w:t>
      </w:r>
      <w:r w:rsidRPr="009278EB">
        <w:rPr>
          <w:sz w:val="16"/>
        </w:rPr>
        <w:t xml:space="preserve"> quickly </w:t>
      </w:r>
      <w:r w:rsidRPr="00DD2D90">
        <w:rPr>
          <w:u w:val="single"/>
        </w:rPr>
        <w:t>become a curse</w:t>
      </w:r>
      <w:r w:rsidRPr="009278EB">
        <w:rPr>
          <w:sz w:val="16"/>
        </w:rPr>
        <w:t xml:space="preserve">. It’s no secret that the </w:t>
      </w:r>
      <w:r w:rsidRPr="00DD2D90">
        <w:rPr>
          <w:u w:val="single"/>
        </w:rPr>
        <w:t>U.S. health</w:t>
      </w:r>
      <w:r w:rsidRPr="00DD2D90">
        <w:rPr>
          <w:highlight w:val="green"/>
          <w:u w:val="single"/>
        </w:rPr>
        <w:t xml:space="preserve">care </w:t>
      </w:r>
      <w:r w:rsidRPr="00DD2D90">
        <w:rPr>
          <w:u w:val="single"/>
        </w:rPr>
        <w:t>system</w:t>
      </w:r>
      <w:r w:rsidRPr="009278EB">
        <w:rPr>
          <w:sz w:val="16"/>
        </w:rPr>
        <w:t xml:space="preserve"> often </w:t>
      </w:r>
      <w:r w:rsidRPr="00DD2D90">
        <w:rPr>
          <w:highlight w:val="green"/>
          <w:u w:val="single"/>
        </w:rPr>
        <w:t xml:space="preserve">leaves </w:t>
      </w:r>
      <w:r w:rsidRPr="00DD2D90">
        <w:rPr>
          <w:u w:val="single"/>
        </w:rPr>
        <w:t xml:space="preserve">its </w:t>
      </w:r>
      <w:r w:rsidRPr="00DD2D90">
        <w:rPr>
          <w:highlight w:val="green"/>
          <w:u w:val="single"/>
        </w:rPr>
        <w:t xml:space="preserve">patients with </w:t>
      </w:r>
      <w:r w:rsidRPr="00DD2D90">
        <w:rPr>
          <w:rStyle w:val="Emphasis"/>
          <w:highlight w:val="green"/>
        </w:rPr>
        <w:t>unwieldy</w:t>
      </w:r>
      <w:r w:rsidRPr="00DD2D90">
        <w:rPr>
          <w:u w:val="single"/>
        </w:rPr>
        <w:t xml:space="preserve"> </w:t>
      </w:r>
      <w:r w:rsidRPr="00DD2D90">
        <w:rPr>
          <w:highlight w:val="green"/>
          <w:u w:val="single"/>
        </w:rPr>
        <w:t>o</w:t>
      </w:r>
      <w:r w:rsidRPr="00DD2D90">
        <w:rPr>
          <w:u w:val="single"/>
        </w:rPr>
        <w:t>ut-</w:t>
      </w:r>
      <w:r w:rsidRPr="00DD2D90">
        <w:rPr>
          <w:highlight w:val="green"/>
          <w:u w:val="single"/>
        </w:rPr>
        <w:t>o</w:t>
      </w:r>
      <w:r w:rsidRPr="00DD2D90">
        <w:rPr>
          <w:u w:val="single"/>
        </w:rPr>
        <w:t>f-</w:t>
      </w:r>
      <w:r w:rsidRPr="00DD2D90">
        <w:rPr>
          <w:highlight w:val="green"/>
          <w:u w:val="single"/>
        </w:rPr>
        <w:t>p</w:t>
      </w:r>
      <w:r w:rsidRPr="00DD2D90">
        <w:rPr>
          <w:u w:val="single"/>
        </w:rPr>
        <w:t xml:space="preserve">ocket </w:t>
      </w:r>
      <w:r w:rsidRPr="00DD2D90">
        <w:rPr>
          <w:highlight w:val="green"/>
          <w:u w:val="single"/>
        </w:rPr>
        <w:t>costs</w:t>
      </w:r>
      <w:r w:rsidRPr="009278EB">
        <w:rPr>
          <w:sz w:val="16"/>
        </w:rPr>
        <w:t xml:space="preserve">. And for </w:t>
      </w:r>
      <w:r w:rsidRPr="00DD2D90">
        <w:rPr>
          <w:rStyle w:val="StyleUnderline"/>
        </w:rPr>
        <w:t>those</w:t>
      </w:r>
      <w:r w:rsidRPr="009278EB">
        <w:rPr>
          <w:sz w:val="16"/>
        </w:rPr>
        <w:t xml:space="preserve"> who lack the proper financial funds, </w:t>
      </w:r>
      <w:r w:rsidRPr="00DD2D90">
        <w:rPr>
          <w:highlight w:val="green"/>
          <w:u w:val="single"/>
        </w:rPr>
        <w:t xml:space="preserve">these </w:t>
      </w:r>
      <w:r w:rsidRPr="00DD2D90">
        <w:rPr>
          <w:u w:val="single"/>
        </w:rPr>
        <w:t xml:space="preserve">costs can </w:t>
      </w:r>
      <w:r w:rsidRPr="00DD2D90">
        <w:rPr>
          <w:rStyle w:val="Emphasis"/>
          <w:highlight w:val="green"/>
        </w:rPr>
        <w:t>quickly spiral</w:t>
      </w:r>
      <w:r w:rsidRPr="00DD2D90">
        <w:rPr>
          <w:highlight w:val="green"/>
          <w:u w:val="single"/>
        </w:rPr>
        <w:t xml:space="preserve"> into medical debt</w:t>
      </w:r>
      <w:r w:rsidRPr="009278EB">
        <w:rPr>
          <w:sz w:val="16"/>
        </w:rPr>
        <w:t xml:space="preserve">. But what is the true extent of medical debt in the U.S.? How does it affect both individuals and communities? And how can those fortunate enough not to suffer from medical debt work to ameliorate the problem for those who do?   The more likely one is to need medical care, the more likely one is to suffer from medical debt. </w:t>
      </w:r>
      <w:r w:rsidRPr="00DD2D90">
        <w:rPr>
          <w:u w:val="single"/>
        </w:rPr>
        <w:t>Unlike other kinds of debt</w:t>
      </w:r>
      <w:r w:rsidRPr="009278EB">
        <w:rPr>
          <w:sz w:val="16"/>
        </w:rPr>
        <w:t xml:space="preserve">, accrued from things like purchasing a house, buying a car, or even going to college, </w:t>
      </w:r>
      <w:r w:rsidRPr="00DD2D90">
        <w:rPr>
          <w:u w:val="single"/>
        </w:rPr>
        <w:t>medical debt is not incurred voluntarily</w:t>
      </w:r>
      <w:r w:rsidRPr="009278EB">
        <w:rPr>
          <w:sz w:val="16"/>
        </w:rPr>
        <w:t xml:space="preserve">. </w:t>
      </w:r>
      <w:r w:rsidRPr="00DD2D90">
        <w:rPr>
          <w:rStyle w:val="StyleUnderline"/>
        </w:rPr>
        <w:t xml:space="preserve">Those in higher income brackets are better able to pay off unexpected bills whereas, </w:t>
      </w:r>
      <w:r w:rsidRPr="00DD2D90">
        <w:rPr>
          <w:rStyle w:val="StyleUnderline"/>
          <w:highlight w:val="green"/>
        </w:rPr>
        <w:t>for people with limited</w:t>
      </w:r>
      <w:r w:rsidRPr="00DD2D90">
        <w:rPr>
          <w:rStyle w:val="StyleUnderline"/>
        </w:rPr>
        <w:t xml:space="preserve"> financial </w:t>
      </w:r>
      <w:r w:rsidRPr="00DD2D90">
        <w:rPr>
          <w:rStyle w:val="StyleUnderline"/>
          <w:highlight w:val="green"/>
        </w:rPr>
        <w:t>resources</w:t>
      </w:r>
      <w:r w:rsidRPr="00DD2D90">
        <w:rPr>
          <w:rStyle w:val="StyleUnderline"/>
        </w:rPr>
        <w:t xml:space="preserve">, </w:t>
      </w:r>
      <w:r w:rsidRPr="00DD2D90">
        <w:rPr>
          <w:rStyle w:val="StyleUnderline"/>
          <w:highlight w:val="green"/>
        </w:rPr>
        <w:t>even the smallest</w:t>
      </w:r>
      <w:r w:rsidRPr="00DD2D90">
        <w:rPr>
          <w:rStyle w:val="StyleUnderline"/>
        </w:rPr>
        <w:t xml:space="preserve">, unforeseen medical </w:t>
      </w:r>
      <w:r w:rsidRPr="00DD2D90">
        <w:rPr>
          <w:rStyle w:val="StyleUnderline"/>
          <w:highlight w:val="green"/>
        </w:rPr>
        <w:t>expense can be</w:t>
      </w:r>
      <w:r w:rsidRPr="00DD2D90">
        <w:rPr>
          <w:rStyle w:val="StyleUnderline"/>
        </w:rPr>
        <w:t xml:space="preserve"> </w:t>
      </w:r>
      <w:r w:rsidRPr="00DD2D90">
        <w:rPr>
          <w:rStyle w:val="Emphasis"/>
          <w:highlight w:val="green"/>
        </w:rPr>
        <w:t>unmanageable</w:t>
      </w:r>
      <w:r w:rsidRPr="009278EB">
        <w:rPr>
          <w:sz w:val="16"/>
        </w:rPr>
        <w:t xml:space="preserve">. Thus, </w:t>
      </w:r>
      <w:r w:rsidRPr="00DD2D90">
        <w:rPr>
          <w:highlight w:val="green"/>
          <w:u w:val="single"/>
        </w:rPr>
        <w:t xml:space="preserve">rates of medical debt are </w:t>
      </w:r>
      <w:r w:rsidRPr="00DD2D90">
        <w:rPr>
          <w:u w:val="single"/>
        </w:rPr>
        <w:t xml:space="preserve">at </w:t>
      </w:r>
      <w:r w:rsidRPr="00DD2D90">
        <w:rPr>
          <w:highlight w:val="green"/>
          <w:u w:val="single"/>
        </w:rPr>
        <w:t xml:space="preserve">their </w:t>
      </w:r>
      <w:r w:rsidRPr="00DD2D90">
        <w:rPr>
          <w:rStyle w:val="Emphasis"/>
          <w:highlight w:val="green"/>
        </w:rPr>
        <w:t>highest</w:t>
      </w:r>
      <w:r w:rsidRPr="00DD2D90">
        <w:rPr>
          <w:highlight w:val="green"/>
          <w:u w:val="single"/>
        </w:rPr>
        <w:t xml:space="preserve"> in</w:t>
      </w:r>
      <w:r w:rsidRPr="00DD2D90">
        <w:rPr>
          <w:u w:val="single"/>
        </w:rPr>
        <w:t xml:space="preserve"> </w:t>
      </w:r>
      <w:r w:rsidRPr="00DD2D90">
        <w:rPr>
          <w:highlight w:val="green"/>
          <w:u w:val="single"/>
        </w:rPr>
        <w:t>low</w:t>
      </w:r>
      <w:r w:rsidRPr="00DD2D90">
        <w:rPr>
          <w:u w:val="single"/>
        </w:rPr>
        <w:t>er-</w:t>
      </w:r>
      <w:r w:rsidRPr="00DD2D90">
        <w:rPr>
          <w:highlight w:val="green"/>
          <w:u w:val="single"/>
        </w:rPr>
        <w:t xml:space="preserve">income zip codes, </w:t>
      </w:r>
      <w:r w:rsidRPr="00DD2D90">
        <w:rPr>
          <w:rStyle w:val="Emphasis"/>
          <w:highlight w:val="green"/>
        </w:rPr>
        <w:t>disproportionately</w:t>
      </w:r>
      <w:r w:rsidRPr="00DD2D90">
        <w:rPr>
          <w:highlight w:val="green"/>
          <w:u w:val="single"/>
        </w:rPr>
        <w:t xml:space="preserve"> affecting areas that </w:t>
      </w:r>
      <w:r w:rsidRPr="00DD2D90">
        <w:rPr>
          <w:u w:val="single"/>
        </w:rPr>
        <w:t xml:space="preserve">often are already </w:t>
      </w:r>
      <w:r w:rsidRPr="00DD2D90">
        <w:rPr>
          <w:highlight w:val="green"/>
          <w:u w:val="single"/>
        </w:rPr>
        <w:t xml:space="preserve">suffering from </w:t>
      </w:r>
      <w:r w:rsidRPr="00DD2D90">
        <w:rPr>
          <w:u w:val="single"/>
        </w:rPr>
        <w:t xml:space="preserve">the brunt of </w:t>
      </w:r>
      <w:r w:rsidRPr="00DD2D90">
        <w:rPr>
          <w:rStyle w:val="Emphasis"/>
          <w:highlight w:val="green"/>
        </w:rPr>
        <w:t>systemic oppression</w:t>
      </w:r>
      <w:r w:rsidRPr="00DD2D90">
        <w:rPr>
          <w:highlight w:val="green"/>
          <w:u w:val="single"/>
        </w:rPr>
        <w:t xml:space="preserve">.  </w:t>
      </w:r>
      <w:r w:rsidRPr="00DD2D90">
        <w:rPr>
          <w:u w:val="single"/>
        </w:rPr>
        <w:t xml:space="preserve">The costs of healthcare have </w:t>
      </w:r>
      <w:r w:rsidRPr="00DD2D90">
        <w:rPr>
          <w:rStyle w:val="Emphasis"/>
        </w:rPr>
        <w:t>skyrocketed</w:t>
      </w:r>
      <w:r w:rsidRPr="00DD2D90">
        <w:rPr>
          <w:u w:val="single"/>
        </w:rPr>
        <w:t xml:space="preserve"> over the past fifteen years</w:t>
      </w:r>
      <w:r w:rsidRPr="009278EB">
        <w:rPr>
          <w:sz w:val="16"/>
        </w:rPr>
        <w:t xml:space="preserve">. According to a 2018 report by the Health Care Cost Institute, </w:t>
      </w:r>
      <w:r w:rsidRPr="00DD2D90">
        <w:rPr>
          <w:u w:val="single"/>
        </w:rPr>
        <w:t>the cost of medical care increased by 16 percent from 2012 to 2016</w:t>
      </w:r>
      <w:r w:rsidRPr="009278EB">
        <w:rPr>
          <w:sz w:val="16"/>
        </w:rPr>
        <w:t>—</w:t>
      </w:r>
      <w:r w:rsidRPr="00DD2D90">
        <w:rPr>
          <w:rStyle w:val="StyleUnderline"/>
        </w:rPr>
        <w:t>an unduly excessive growth in comparison to the inflation rate of 4.5 percent</w:t>
      </w:r>
      <w:r w:rsidRPr="009278EB">
        <w:rPr>
          <w:sz w:val="16"/>
        </w:rPr>
        <w:t xml:space="preserve"> for the same period. </w:t>
      </w:r>
      <w:r w:rsidRPr="00DD2D90">
        <w:rPr>
          <w:rStyle w:val="StyleUnderline"/>
        </w:rPr>
        <w:t>In</w:t>
      </w:r>
      <w:r w:rsidRPr="009278EB">
        <w:rPr>
          <w:sz w:val="16"/>
        </w:rPr>
        <w:t xml:space="preserve"> </w:t>
      </w:r>
      <w:r w:rsidRPr="00DD2D90">
        <w:rPr>
          <w:rStyle w:val="StyleUnderline"/>
        </w:rPr>
        <w:t>cities</w:t>
      </w:r>
      <w:r w:rsidRPr="009278EB">
        <w:rPr>
          <w:sz w:val="16"/>
        </w:rPr>
        <w:t xml:space="preserve"> such as New York and Tampa, </w:t>
      </w:r>
      <w:r w:rsidRPr="00DD2D90">
        <w:rPr>
          <w:rStyle w:val="StyleUnderline"/>
        </w:rPr>
        <w:t>medical care prices surged by</w:t>
      </w:r>
      <w:r w:rsidRPr="009278EB">
        <w:rPr>
          <w:sz w:val="16"/>
        </w:rPr>
        <w:t xml:space="preserve"> almost </w:t>
      </w:r>
      <w:r w:rsidRPr="00DD2D90">
        <w:rPr>
          <w:rStyle w:val="Emphasis"/>
        </w:rPr>
        <w:t>22 percent</w:t>
      </w:r>
      <w:r w:rsidRPr="009278EB">
        <w:rPr>
          <w:sz w:val="16"/>
        </w:rPr>
        <w:t xml:space="preserve">. In a 2021 annual employer survey, the Henry J. Kaiser Family Foundation (KFF) found that </w:t>
      </w:r>
      <w:r w:rsidRPr="00DD2D90">
        <w:rPr>
          <w:rStyle w:val="StyleUnderline"/>
        </w:rPr>
        <w:t xml:space="preserve">the average annual insurance deductible for single workers is $1,669, </w:t>
      </w:r>
      <w:r w:rsidRPr="00DD2D90">
        <w:rPr>
          <w:rStyle w:val="Emphasis"/>
        </w:rPr>
        <w:t>four times</w:t>
      </w:r>
      <w:r w:rsidRPr="00DD2D90">
        <w:rPr>
          <w:rStyle w:val="StyleUnderline"/>
        </w:rPr>
        <w:t xml:space="preserve"> the average deductible cost in 2006</w:t>
      </w:r>
      <w:r w:rsidRPr="009278EB">
        <w:rPr>
          <w:sz w:val="16"/>
        </w:rPr>
        <w:t xml:space="preserve">. The combined weight of </w:t>
      </w:r>
      <w:r w:rsidRPr="00DD2D90">
        <w:rPr>
          <w:rStyle w:val="StyleUnderline"/>
        </w:rPr>
        <w:t xml:space="preserve">escalated medical prices and rapidly rising insurance rates have exploded into a </w:t>
      </w:r>
      <w:r w:rsidRPr="00DD2D90">
        <w:rPr>
          <w:rStyle w:val="Emphasis"/>
        </w:rPr>
        <w:t>debt crisis</w:t>
      </w:r>
      <w:r w:rsidRPr="009278EB">
        <w:rPr>
          <w:sz w:val="16"/>
        </w:rPr>
        <w:t xml:space="preserve"> for everyday Americans.  A study by JAMA, released in 2021 and published by the American Medical Association found that almost 18 percent of </w:t>
      </w:r>
      <w:r w:rsidRPr="00DD2D90">
        <w:rPr>
          <w:rStyle w:val="StyleUnderline"/>
        </w:rPr>
        <w:t>Americans</w:t>
      </w:r>
      <w:r w:rsidRPr="009278EB">
        <w:rPr>
          <w:sz w:val="16"/>
        </w:rPr>
        <w:t xml:space="preserve"> owed $140 billion in </w:t>
      </w:r>
      <w:r w:rsidRPr="00DD2D90">
        <w:rPr>
          <w:rStyle w:val="StyleUnderline"/>
        </w:rPr>
        <w:t>medical debt</w:t>
      </w:r>
      <w:r w:rsidRPr="009278EB">
        <w:rPr>
          <w:sz w:val="16"/>
        </w:rPr>
        <w:t xml:space="preserve"> to debt collectors—a number that does not include data from the pandemic and </w:t>
      </w:r>
      <w:r w:rsidRPr="00DD2D90">
        <w:rPr>
          <w:rStyle w:val="StyleUnderline"/>
        </w:rPr>
        <w:t>is</w:t>
      </w:r>
      <w:r w:rsidRPr="009278EB">
        <w:rPr>
          <w:sz w:val="16"/>
        </w:rPr>
        <w:t xml:space="preserve"> nevertheless almost </w:t>
      </w:r>
      <w:r w:rsidRPr="00DD2D90">
        <w:rPr>
          <w:rStyle w:val="Emphasis"/>
        </w:rPr>
        <w:t>double</w:t>
      </w:r>
      <w:r w:rsidRPr="009278EB">
        <w:rPr>
          <w:sz w:val="16"/>
        </w:rPr>
        <w:t xml:space="preserve"> </w:t>
      </w:r>
      <w:r w:rsidRPr="00DD2D90">
        <w:rPr>
          <w:rStyle w:val="StyleUnderline"/>
        </w:rPr>
        <w:t>the $81 billion that JAMA estimated Americans owed in 2016</w:t>
      </w:r>
      <w:r w:rsidRPr="009278EB">
        <w:rPr>
          <w:sz w:val="16"/>
        </w:rPr>
        <w:t xml:space="preserve">. Another study done by KFF, investigating different federal data from the 2020 Survey of Income and Program Participation, gauged that Americans owed more than $195 billion in medical debt as of 2019.    The Burden of Medical Debt, Photo via Peterson-KFF Health System Tracker    One of </w:t>
      </w:r>
      <w:r w:rsidRPr="00DD2D90">
        <w:rPr>
          <w:u w:val="single"/>
        </w:rPr>
        <w:t xml:space="preserve">the most </w:t>
      </w:r>
      <w:r w:rsidRPr="00DD2D90">
        <w:rPr>
          <w:rStyle w:val="Emphasis"/>
        </w:rPr>
        <w:t>pernicious</w:t>
      </w:r>
      <w:r w:rsidRPr="00DD2D90">
        <w:rPr>
          <w:u w:val="single"/>
        </w:rPr>
        <w:t xml:space="preserve"> effects of </w:t>
      </w:r>
      <w:r w:rsidRPr="00DD2D90">
        <w:rPr>
          <w:highlight w:val="green"/>
          <w:u w:val="single"/>
        </w:rPr>
        <w:t xml:space="preserve">medical debt </w:t>
      </w:r>
      <w:r w:rsidRPr="00DD2D90">
        <w:rPr>
          <w:u w:val="single"/>
        </w:rPr>
        <w:t xml:space="preserve">is the </w:t>
      </w:r>
      <w:r w:rsidRPr="00DD2D90">
        <w:rPr>
          <w:rStyle w:val="Emphasis"/>
          <w:highlight w:val="green"/>
        </w:rPr>
        <w:t>cyclical</w:t>
      </w:r>
      <w:r w:rsidRPr="00DD2D90">
        <w:rPr>
          <w:highlight w:val="green"/>
          <w:u w:val="single"/>
        </w:rPr>
        <w:t xml:space="preserve"> nature </w:t>
      </w:r>
      <w:r w:rsidRPr="00DD2D90">
        <w:rPr>
          <w:u w:val="single"/>
        </w:rPr>
        <w:t xml:space="preserve">in which it simultaneously </w:t>
      </w:r>
      <w:r w:rsidRPr="00DD2D90">
        <w:rPr>
          <w:rStyle w:val="Emphasis"/>
          <w:highlight w:val="green"/>
        </w:rPr>
        <w:t>entraps</w:t>
      </w:r>
      <w:r w:rsidRPr="00DD2D90">
        <w:rPr>
          <w:highlight w:val="green"/>
          <w:u w:val="single"/>
        </w:rPr>
        <w:t xml:space="preserve"> patients while </w:t>
      </w:r>
      <w:r w:rsidRPr="00DD2D90">
        <w:rPr>
          <w:rStyle w:val="Emphasis"/>
          <w:highlight w:val="green"/>
        </w:rPr>
        <w:t>preventing</w:t>
      </w:r>
      <w:r w:rsidRPr="00DD2D90">
        <w:rPr>
          <w:highlight w:val="green"/>
          <w:u w:val="single"/>
        </w:rPr>
        <w:t xml:space="preserve"> them from receiving the care they need</w:t>
      </w:r>
      <w:r w:rsidRPr="009278EB">
        <w:rPr>
          <w:sz w:val="16"/>
        </w:rPr>
        <w:t xml:space="preserve">. For </w:t>
      </w:r>
      <w:r w:rsidRPr="00DD2D90">
        <w:rPr>
          <w:rStyle w:val="Emphasis"/>
          <w:highlight w:val="green"/>
        </w:rPr>
        <w:t>fear</w:t>
      </w:r>
      <w:r w:rsidRPr="00DD2D90">
        <w:rPr>
          <w:highlight w:val="green"/>
          <w:u w:val="single"/>
        </w:rPr>
        <w:t xml:space="preserve"> of being unable to pay </w:t>
      </w:r>
      <w:r w:rsidRPr="00DD2D90">
        <w:rPr>
          <w:u w:val="single"/>
        </w:rPr>
        <w:t>for care due to inflated deductibles or other factors,</w:t>
      </w:r>
      <w:r w:rsidRPr="009278EB">
        <w:rPr>
          <w:sz w:val="16"/>
        </w:rPr>
        <w:t xml:space="preserve"> </w:t>
      </w:r>
      <w:r w:rsidRPr="00DD2D90">
        <w:rPr>
          <w:highlight w:val="green"/>
          <w:u w:val="single"/>
        </w:rPr>
        <w:t xml:space="preserve">individuals are </w:t>
      </w:r>
      <w:r w:rsidRPr="00DD2D90">
        <w:rPr>
          <w:rStyle w:val="Emphasis"/>
          <w:highlight w:val="green"/>
        </w:rPr>
        <w:t>discouraged</w:t>
      </w:r>
      <w:r w:rsidRPr="00DD2D90">
        <w:rPr>
          <w:highlight w:val="green"/>
          <w:u w:val="single"/>
        </w:rPr>
        <w:t xml:space="preserve"> from seeking</w:t>
      </w:r>
      <w:r w:rsidRPr="009278EB">
        <w:rPr>
          <w:sz w:val="16"/>
        </w:rPr>
        <w:t xml:space="preserve"> preventative </w:t>
      </w:r>
      <w:r w:rsidRPr="00DD2D90">
        <w:rPr>
          <w:highlight w:val="green"/>
          <w:u w:val="single"/>
        </w:rPr>
        <w:t>treatments</w:t>
      </w:r>
      <w:r w:rsidRPr="009278EB">
        <w:rPr>
          <w:sz w:val="16"/>
        </w:rPr>
        <w:t xml:space="preserve">—treatments that could help avert emergency situations. </w:t>
      </w:r>
      <w:r w:rsidRPr="00DD2D90">
        <w:rPr>
          <w:highlight w:val="green"/>
          <w:u w:val="single"/>
        </w:rPr>
        <w:t xml:space="preserve">When emergencies do arise, however, this lack of preventative care often </w:t>
      </w:r>
      <w:r w:rsidRPr="00DD2D90">
        <w:rPr>
          <w:rStyle w:val="Emphasis"/>
          <w:highlight w:val="green"/>
        </w:rPr>
        <w:t>snowballs</w:t>
      </w:r>
      <w:r w:rsidRPr="00DD2D90">
        <w:rPr>
          <w:highlight w:val="green"/>
          <w:u w:val="single"/>
        </w:rPr>
        <w:t xml:space="preserve"> into the </w:t>
      </w:r>
      <w:r w:rsidRPr="00DD2D90">
        <w:rPr>
          <w:rStyle w:val="Emphasis"/>
          <w:highlight w:val="green"/>
        </w:rPr>
        <w:t>extreme costs</w:t>
      </w:r>
      <w:r w:rsidRPr="00DD2D90">
        <w:rPr>
          <w:highlight w:val="green"/>
          <w:u w:val="single"/>
        </w:rPr>
        <w:t xml:space="preserve"> and ensuing debt that patients were attempting to avoid in the first place</w:t>
      </w:r>
      <w:r w:rsidRPr="009278EB">
        <w:rPr>
          <w:sz w:val="16"/>
        </w:rPr>
        <w:t xml:space="preserve">. George Halvorson Kaiser Permanente’s former chief executive explained in an investigation done by Kaiser Health News (KHN) that </w:t>
      </w:r>
      <w:r w:rsidRPr="00DD2D90">
        <w:rPr>
          <w:highlight w:val="green"/>
          <w:u w:val="single"/>
        </w:rPr>
        <w:t xml:space="preserve">“people are getting </w:t>
      </w:r>
      <w:r w:rsidRPr="00DD2D90">
        <w:rPr>
          <w:rStyle w:val="Emphasis"/>
          <w:highlight w:val="green"/>
        </w:rPr>
        <w:t>bankrupted</w:t>
      </w:r>
      <w:r w:rsidRPr="00DD2D90">
        <w:rPr>
          <w:highlight w:val="green"/>
          <w:u w:val="single"/>
        </w:rPr>
        <w:t xml:space="preserve"> when they get care, even if they have insurance.</w:t>
      </w:r>
      <w:r w:rsidRPr="009278EB">
        <w:rPr>
          <w:sz w:val="16"/>
        </w:rPr>
        <w:t xml:space="preserve">”   In addition to deterring people from seeking the care and treatments they need, the U.S. healthcare system also actively denies care to those who have already incurred medical debt. According to KHN’s study, </w:t>
      </w:r>
      <w:r w:rsidRPr="00DD2D90">
        <w:rPr>
          <w:highlight w:val="green"/>
          <w:u w:val="single"/>
        </w:rPr>
        <w:t>1 in 7</w:t>
      </w:r>
      <w:r w:rsidRPr="00DD2D90">
        <w:rPr>
          <w:u w:val="single"/>
        </w:rPr>
        <w:t xml:space="preserve"> people with medical debt </w:t>
      </w:r>
      <w:r w:rsidRPr="00DD2D90">
        <w:rPr>
          <w:highlight w:val="green"/>
          <w:u w:val="single"/>
        </w:rPr>
        <w:t>say</w:t>
      </w:r>
      <w:r w:rsidRPr="00DD2D90">
        <w:rPr>
          <w:u w:val="single"/>
        </w:rPr>
        <w:t xml:space="preserve"> that </w:t>
      </w:r>
      <w:r w:rsidRPr="00DD2D90">
        <w:rPr>
          <w:highlight w:val="green"/>
          <w:u w:val="single"/>
        </w:rPr>
        <w:t>they have been denied access to care because of unpaid bills</w:t>
      </w:r>
      <w:r w:rsidRPr="00DD2D90">
        <w:rPr>
          <w:u w:val="single"/>
        </w:rPr>
        <w:t>.</w:t>
      </w:r>
      <w:r w:rsidRPr="009278EB">
        <w:rPr>
          <w:sz w:val="16"/>
        </w:rPr>
        <w:t xml:space="preserve"> The study also revealed that major health systems such as Northwell Health, Trinity Health, Mayo Clinic, and Kaiser Permanente will take legal action against patients who are unable to pay. In fact, Over two-thirds of hospitals have policies that allow them to sue patients or even garnish their wages.   The burden of medical debt is felt not only in the lives of individuals but also across communities, deepening systemic inequalities. According to the KFF analysis, </w:t>
      </w:r>
      <w:r w:rsidRPr="00DD2D90">
        <w:rPr>
          <w:highlight w:val="green"/>
          <w:u w:val="single"/>
        </w:rPr>
        <w:t xml:space="preserve">Hispanic adults are </w:t>
      </w:r>
      <w:r w:rsidRPr="00DD2D90">
        <w:rPr>
          <w:rStyle w:val="Emphasis"/>
          <w:highlight w:val="green"/>
        </w:rPr>
        <w:t>35 percent</w:t>
      </w:r>
      <w:r w:rsidRPr="00DD2D90">
        <w:rPr>
          <w:highlight w:val="green"/>
          <w:u w:val="single"/>
        </w:rPr>
        <w:t xml:space="preserve"> more likely, and Black adults are </w:t>
      </w:r>
      <w:r w:rsidRPr="00DD2D90">
        <w:rPr>
          <w:rStyle w:val="Emphasis"/>
          <w:highlight w:val="green"/>
        </w:rPr>
        <w:t>50 percent</w:t>
      </w:r>
      <w:r w:rsidRPr="00DD2D90">
        <w:rPr>
          <w:highlight w:val="green"/>
          <w:u w:val="single"/>
        </w:rPr>
        <w:t xml:space="preserve"> more likely to struggle</w:t>
      </w:r>
      <w:r w:rsidRPr="00DD2D90">
        <w:rPr>
          <w:u w:val="single"/>
        </w:rPr>
        <w:t xml:space="preserve"> with outstanding healthcare costs than white adults. </w:t>
      </w:r>
      <w:r w:rsidRPr="009278EB">
        <w:rPr>
          <w:sz w:val="16"/>
        </w:rPr>
        <w:t xml:space="preserve">Women also report more medical debt than men due to expenses related to childbirth in combination with lower average incomes. Additionally, adults under the age of 30 are almost twice as likely to suffer from medical debt than those ages 65 and older. </w:t>
      </w:r>
      <w:r w:rsidRPr="00DD2D90">
        <w:rPr>
          <w:rStyle w:val="StyleUnderline"/>
          <w:highlight w:val="green"/>
        </w:rPr>
        <w:t>In</w:t>
      </w:r>
      <w:r w:rsidRPr="00DD2D90">
        <w:rPr>
          <w:rStyle w:val="StyleUnderline"/>
        </w:rPr>
        <w:t xml:space="preserve"> </w:t>
      </w:r>
      <w:r w:rsidRPr="00DD2D90">
        <w:rPr>
          <w:rStyle w:val="StyleUnderline"/>
          <w:highlight w:val="green"/>
        </w:rPr>
        <w:t>exacerbating</w:t>
      </w:r>
      <w:r w:rsidRPr="00DD2D90">
        <w:rPr>
          <w:rStyle w:val="StyleUnderline"/>
        </w:rPr>
        <w:t xml:space="preserve"> and reinforcing longstanding, pervasive </w:t>
      </w:r>
      <w:r w:rsidRPr="00DD2D90">
        <w:rPr>
          <w:rStyle w:val="StyleUnderline"/>
          <w:highlight w:val="green"/>
        </w:rPr>
        <w:t xml:space="preserve">social </w:t>
      </w:r>
      <w:r w:rsidRPr="00DD2D90">
        <w:rPr>
          <w:rStyle w:val="Emphasis"/>
          <w:highlight w:val="green"/>
        </w:rPr>
        <w:t>inequalities</w:t>
      </w:r>
      <w:r w:rsidRPr="00DD2D90">
        <w:rPr>
          <w:rStyle w:val="StyleUnderline"/>
        </w:rPr>
        <w:t xml:space="preserve">, </w:t>
      </w:r>
      <w:r w:rsidRPr="00DD2D90">
        <w:rPr>
          <w:rStyle w:val="StyleUnderline"/>
          <w:highlight w:val="green"/>
        </w:rPr>
        <w:t>medical debt is</w:t>
      </w:r>
      <w:r w:rsidRPr="00DD2D90">
        <w:rPr>
          <w:rStyle w:val="StyleUnderline"/>
        </w:rPr>
        <w:t xml:space="preserve">, at its core, a </w:t>
      </w:r>
      <w:r w:rsidRPr="00DD2D90">
        <w:rPr>
          <w:rStyle w:val="Emphasis"/>
          <w:highlight w:val="green"/>
        </w:rPr>
        <w:t>discriminatory</w:t>
      </w:r>
      <w:r w:rsidRPr="00DD2D90">
        <w:rPr>
          <w:rStyle w:val="StyleUnderline"/>
        </w:rPr>
        <w:t xml:space="preserve"> practice</w:t>
      </w:r>
      <w:r w:rsidRPr="009278EB">
        <w:rPr>
          <w:sz w:val="16"/>
        </w:rPr>
        <w:t xml:space="preserve">.   Medical Debt by Demographic, Photo via Peterson-KFF Health System Tracker    Despite the insidious nature of medical debt, </w:t>
      </w:r>
      <w:r w:rsidRPr="00DD2D90">
        <w:rPr>
          <w:u w:val="single"/>
        </w:rPr>
        <w:t>efforts in the past</w:t>
      </w:r>
      <w:r w:rsidRPr="009278EB">
        <w:rPr>
          <w:sz w:val="16"/>
        </w:rPr>
        <w:t xml:space="preserve"> number of </w:t>
      </w:r>
      <w:r w:rsidRPr="00DD2D90">
        <w:rPr>
          <w:u w:val="single"/>
        </w:rPr>
        <w:t>years</w:t>
      </w:r>
      <w:r w:rsidRPr="009278EB">
        <w:rPr>
          <w:sz w:val="16"/>
        </w:rPr>
        <w:t xml:space="preserve"> to curb rates </w:t>
      </w:r>
      <w:r w:rsidRPr="00DD2D90">
        <w:rPr>
          <w:u w:val="single"/>
        </w:rPr>
        <w:t>have</w:t>
      </w:r>
      <w:r w:rsidRPr="009278EB">
        <w:rPr>
          <w:sz w:val="16"/>
        </w:rPr>
        <w:t xml:space="preserve"> </w:t>
      </w:r>
      <w:r w:rsidRPr="00DD2D90">
        <w:rPr>
          <w:u w:val="single"/>
        </w:rPr>
        <w:t>shown both improvements in healthcare access and economic benefits</w:t>
      </w:r>
      <w:r w:rsidRPr="009278EB">
        <w:rPr>
          <w:sz w:val="16"/>
        </w:rPr>
        <w:t xml:space="preserve">. The 2013 </w:t>
      </w:r>
      <w:r w:rsidRPr="00DD2D90">
        <w:rPr>
          <w:rStyle w:val="StyleUnderline"/>
          <w:highlight w:val="green"/>
        </w:rPr>
        <w:t>expansion of Medicaid</w:t>
      </w:r>
      <w:r w:rsidRPr="009278EB">
        <w:rPr>
          <w:sz w:val="16"/>
        </w:rPr>
        <w:t xml:space="preserve"> under the Affordable Care Act </w:t>
      </w:r>
      <w:r w:rsidRPr="00DD2D90">
        <w:rPr>
          <w:rStyle w:val="StyleUnderline"/>
          <w:highlight w:val="green"/>
        </w:rPr>
        <w:t>proved</w:t>
      </w:r>
      <w:r w:rsidRPr="00DD2D90">
        <w:rPr>
          <w:rStyle w:val="StyleUnderline"/>
        </w:rPr>
        <w:t xml:space="preserve"> to be one of </w:t>
      </w:r>
      <w:r w:rsidRPr="00DD2D90">
        <w:rPr>
          <w:rStyle w:val="StyleUnderline"/>
          <w:highlight w:val="green"/>
        </w:rPr>
        <w:t xml:space="preserve">the </w:t>
      </w:r>
      <w:r w:rsidRPr="00DD2D90">
        <w:rPr>
          <w:rStyle w:val="Emphasis"/>
          <w:highlight w:val="green"/>
        </w:rPr>
        <w:t>most effective</w:t>
      </w:r>
      <w:r w:rsidRPr="00DD2D90">
        <w:rPr>
          <w:rStyle w:val="StyleUnderline"/>
          <w:highlight w:val="green"/>
        </w:rPr>
        <w:t xml:space="preserve"> combatants of medical debt</w:t>
      </w:r>
      <w:r w:rsidRPr="009278EB">
        <w:rPr>
          <w:sz w:val="16"/>
        </w:rPr>
        <w:t xml:space="preserve"> in the U.S. In fact, the Medicaid expansion was so effective that as of 2020, </w:t>
      </w:r>
      <w:r w:rsidRPr="00DD2D90">
        <w:rPr>
          <w:rStyle w:val="StyleUnderline"/>
          <w:highlight w:val="green"/>
        </w:rPr>
        <w:t>rates of medical debt in</w:t>
      </w:r>
      <w:r w:rsidRPr="00DD2D90">
        <w:rPr>
          <w:rStyle w:val="StyleUnderline"/>
        </w:rPr>
        <w:t xml:space="preserve"> the eleven </w:t>
      </w:r>
      <w:r w:rsidRPr="00DD2D90">
        <w:rPr>
          <w:rStyle w:val="StyleUnderline"/>
          <w:highlight w:val="green"/>
        </w:rPr>
        <w:t xml:space="preserve">states that declined participation were over </w:t>
      </w:r>
      <w:r w:rsidRPr="00DD2D90">
        <w:rPr>
          <w:rStyle w:val="Emphasis"/>
          <w:highlight w:val="green"/>
        </w:rPr>
        <w:t>30 percent higher</w:t>
      </w:r>
      <w:r w:rsidRPr="00DD2D90">
        <w:rPr>
          <w:rStyle w:val="StyleUnderline"/>
          <w:highlight w:val="green"/>
        </w:rPr>
        <w:t xml:space="preserve"> than in the states that did participat</w:t>
      </w:r>
      <w:r w:rsidRPr="00DD2D90">
        <w:rPr>
          <w:rStyle w:val="StyleUnderline"/>
        </w:rPr>
        <w:t>e</w:t>
      </w:r>
      <w:r w:rsidRPr="009278EB">
        <w:rPr>
          <w:sz w:val="16"/>
        </w:rPr>
        <w:t xml:space="preserve">. As population wellness is a concern closely aligned with the nation’s economic well-being, a KFF investigation of numerous studies found that Medicaid not only benefited patients but also had “overwhelmingly positive effects of expansion on [healthcare] providers.” The same detailed analysis discovered that </w:t>
      </w:r>
      <w:r w:rsidRPr="00DD2D90">
        <w:rPr>
          <w:rStyle w:val="StyleUnderline"/>
        </w:rPr>
        <w:t>the financial impact of Medicaid expansion on states additionally had “positive effects, including budget savings, revenue gains, and overall economic growth</w:t>
      </w:r>
      <w:r w:rsidRPr="009278EB">
        <w:rPr>
          <w:sz w:val="16"/>
        </w:rPr>
        <w:t>.”  In addition to the 2013 Medicaid expansion, from startups to nonprofits, there are a number of independent businesses and organizations working to both forgive medical debt and make the process of paying for healthcare more transparent. Ribbon Health, a startup and API data platform, works to aggregate data in order to help patients find high-quality, affordable care. Turquoise Health, a similar venture, has collected over one billion records of pricing data from over 4,000 hospitals. On its website, it also provides an easy and convenient search engine for patients to investigate what costs might look like at their local hospitals. On the nonprofit end, RIP Medical Debt is an impressive 501 charity that simply buys medical debt from the debt collection market and then promptly forgives it. As of August 2022, the group has relieved 3.6 million people of $6.7 billion of medical debt.   The ever-</w:t>
      </w:r>
      <w:r w:rsidRPr="00DD2D90">
        <w:rPr>
          <w:u w:val="single"/>
        </w:rPr>
        <w:t>climbing rates of medical debt</w:t>
      </w:r>
      <w:r w:rsidRPr="009278EB">
        <w:rPr>
          <w:sz w:val="16"/>
        </w:rPr>
        <w:t xml:space="preserve">—that even conservative estimates consider alarming— </w:t>
      </w:r>
      <w:r w:rsidRPr="00DD2D90">
        <w:rPr>
          <w:u w:val="single"/>
        </w:rPr>
        <w:t>reveal</w:t>
      </w:r>
      <w:r w:rsidRPr="009278EB">
        <w:rPr>
          <w:sz w:val="16"/>
        </w:rPr>
        <w:t xml:space="preserve"> </w:t>
      </w:r>
      <w:r w:rsidRPr="00DD2D90">
        <w:rPr>
          <w:u w:val="single"/>
        </w:rPr>
        <w:t>that the cost of healthcare</w:t>
      </w:r>
      <w:r w:rsidRPr="009278EB">
        <w:rPr>
          <w:sz w:val="16"/>
        </w:rPr>
        <w:t xml:space="preserve"> in the United States </w:t>
      </w:r>
      <w:r w:rsidRPr="00DD2D90">
        <w:rPr>
          <w:u w:val="single"/>
        </w:rPr>
        <w:t xml:space="preserve">is </w:t>
      </w:r>
      <w:r w:rsidRPr="00DD2D90">
        <w:rPr>
          <w:rStyle w:val="Emphasis"/>
        </w:rPr>
        <w:t>out of control</w:t>
      </w:r>
      <w:r w:rsidRPr="009278EB">
        <w:rPr>
          <w:sz w:val="16"/>
        </w:rPr>
        <w:t>.</w:t>
      </w:r>
      <w:r w:rsidRPr="00DD2D90">
        <w:rPr>
          <w:u w:val="single"/>
        </w:rPr>
        <w:t xml:space="preserve"> Despite the evident benefits of debt forgiveness, cost transparency, and expanded Medicaid coverage, the underlying issue of cost remains, leaving the future of medical debt a concerning problem. </w:t>
      </w:r>
      <w:bookmarkStart w:id="24" w:name="_annq2453u4df" w:colFirst="0" w:colLast="0"/>
      <w:bookmarkEnd w:id="24"/>
    </w:p>
    <w:p w14:paraId="15BB5D6D" w14:textId="77777777" w:rsidR="001756B0" w:rsidRPr="009278EB" w:rsidRDefault="001756B0" w:rsidP="001756B0">
      <w:pPr>
        <w:pBdr>
          <w:top w:val="nil"/>
          <w:left w:val="nil"/>
          <w:bottom w:val="nil"/>
          <w:right w:val="nil"/>
          <w:between w:val="nil"/>
        </w:pBdr>
        <w:rPr>
          <w:sz w:val="16"/>
        </w:rPr>
      </w:pPr>
      <w:bookmarkStart w:id="25" w:name="_1ez1cxk0y3lx" w:colFirst="0" w:colLast="0"/>
      <w:bookmarkEnd w:id="25"/>
    </w:p>
    <w:p w14:paraId="472EDF4F" w14:textId="77777777" w:rsidR="00EA6776" w:rsidRPr="009278EB" w:rsidRDefault="00EA6776">
      <w:pPr>
        <w:rPr>
          <w:rFonts w:eastAsiaTheme="majorEastAsia" w:cstheme="majorBidi"/>
          <w:b/>
          <w:iCs/>
          <w:sz w:val="16"/>
        </w:rPr>
      </w:pPr>
      <w:r w:rsidRPr="009278EB">
        <w:rPr>
          <w:sz w:val="16"/>
        </w:rPr>
        <w:br w:type="page"/>
      </w:r>
    </w:p>
    <w:p w14:paraId="437EE772" w14:textId="53037867" w:rsidR="001A1B5D" w:rsidRPr="009278EB" w:rsidRDefault="001A1B5D" w:rsidP="001A1B5D">
      <w:pPr>
        <w:pStyle w:val="Heading4"/>
        <w:rPr>
          <w:szCs w:val="26"/>
        </w:rPr>
      </w:pPr>
      <w:proofErr w:type="gramStart"/>
      <w:r w:rsidRPr="009278EB">
        <w:rPr>
          <w:szCs w:val="26"/>
        </w:rPr>
        <w:t>Corporations</w:t>
      </w:r>
      <w:proofErr w:type="gramEnd"/>
      <w:r w:rsidRPr="009278EB">
        <w:rPr>
          <w:szCs w:val="26"/>
        </w:rPr>
        <w:t xml:space="preserve"> private profits and socialize the costs – they have governments pay for </w:t>
      </w:r>
      <w:r w:rsidR="00FF3588" w:rsidRPr="009278EB">
        <w:rPr>
          <w:szCs w:val="26"/>
        </w:rPr>
        <w:t>poor people</w:t>
      </w:r>
      <w:r w:rsidRPr="009278EB">
        <w:rPr>
          <w:szCs w:val="26"/>
        </w:rPr>
        <w:t xml:space="preserve"> they don’t </w:t>
      </w:r>
      <w:r w:rsidR="000B6E1D" w:rsidRPr="009278EB">
        <w:rPr>
          <w:szCs w:val="26"/>
        </w:rPr>
        <w:t>find profitable</w:t>
      </w:r>
      <w:r w:rsidR="00FF3588" w:rsidRPr="009278EB">
        <w:rPr>
          <w:szCs w:val="26"/>
        </w:rPr>
        <w:t xml:space="preserve"> enough to heal</w:t>
      </w:r>
    </w:p>
    <w:p w14:paraId="7681C951" w14:textId="77777777" w:rsidR="001A1B5D" w:rsidRPr="00DD2D90" w:rsidRDefault="001A1B5D" w:rsidP="001A1B5D">
      <w:r w:rsidRPr="009278EB">
        <w:rPr>
          <w:b/>
          <w:bCs/>
          <w:sz w:val="26"/>
          <w:szCs w:val="26"/>
        </w:rPr>
        <w:t>Fox 25</w:t>
      </w:r>
      <w:r w:rsidRPr="00DD2D90">
        <w:t xml:space="preserve"> [Nick J Fox, researcher at the department of Social and Psychological Sciences at the University of Huddersfield, 01-19-2025, "Commercial and Corporate Provision of Healthcare, Capitalism and the State", PubMed Central (PMC), </w:t>
      </w:r>
      <w:hyperlink r:id="rId22" w:history="1">
        <w:r w:rsidRPr="00DD2D90">
          <w:rPr>
            <w:rStyle w:val="Hyperlink"/>
          </w:rPr>
          <w:t>https://pmc.ncbi.nlm.nih.gov/articles/PMC12963035/]/Kankee</w:t>
        </w:r>
      </w:hyperlink>
    </w:p>
    <w:p w14:paraId="6C151E83" w14:textId="77777777" w:rsidR="001A1B5D" w:rsidRPr="00DD2D90" w:rsidRDefault="001A1B5D" w:rsidP="001A1B5D">
      <w:r w:rsidRPr="00DD2D90">
        <w:t>*CCPH: Commercial and Corporate Provision of Healthcare</w:t>
      </w:r>
    </w:p>
    <w:p w14:paraId="01406BA0" w14:textId="77777777" w:rsidR="001A1B5D" w:rsidRPr="009278EB" w:rsidRDefault="001A1B5D" w:rsidP="001A1B5D">
      <w:pPr>
        <w:rPr>
          <w:sz w:val="16"/>
        </w:rPr>
      </w:pPr>
      <w:r w:rsidRPr="009278EB">
        <w:rPr>
          <w:sz w:val="16"/>
        </w:rPr>
        <w:t xml:space="preserve">2.5. Benefits and Shortcomings of CCPH Studies suggest that private providers can be more efficient due to competition, leading to better resource allocation and innovation. Private providers can be more agile, especially in the adoption of new technologies and in responding to consumer need/demand, and thereby reducing waiting times (Acuna et al. 2022; Colombo and Tapay 2004). A significant body of research has addressed inequities and inequalities linked to CCPH (Balarajan et al. 2011; Dickman et al. 2017; Mackintosh et al. 2016, 600–601; Morgan et al. 2016, 607). </w:t>
      </w:r>
      <w:r w:rsidRPr="00DD2D90">
        <w:rPr>
          <w:rStyle w:val="StyleUnderline"/>
          <w:highlight w:val="green"/>
        </w:rPr>
        <w:t>Market</w:t>
      </w:r>
      <w:r w:rsidRPr="00DD2D90">
        <w:rPr>
          <w:rStyle w:val="StyleUnderline"/>
        </w:rPr>
        <w:t xml:space="preserve">‐driven </w:t>
      </w:r>
      <w:r w:rsidRPr="009278EB">
        <w:rPr>
          <w:sz w:val="16"/>
        </w:rPr>
        <w:t>healthcare</w:t>
      </w:r>
      <w:r w:rsidRPr="00DD2D90">
        <w:rPr>
          <w:rStyle w:val="StyleUnderline"/>
        </w:rPr>
        <w:t xml:space="preserve"> </w:t>
      </w:r>
      <w:r w:rsidRPr="00DD2D90">
        <w:rPr>
          <w:rStyle w:val="StyleUnderline"/>
          <w:highlight w:val="green"/>
        </w:rPr>
        <w:t>systems</w:t>
      </w:r>
      <w:r w:rsidRPr="009278EB">
        <w:rPr>
          <w:sz w:val="16"/>
        </w:rPr>
        <w:t xml:space="preserve"> </w:t>
      </w:r>
      <w:r w:rsidRPr="00DD2D90">
        <w:rPr>
          <w:rStyle w:val="StyleUnderline"/>
        </w:rPr>
        <w:t xml:space="preserve">tend to </w:t>
      </w:r>
      <w:r w:rsidRPr="00DD2D90">
        <w:rPr>
          <w:rStyle w:val="StyleUnderline"/>
          <w:highlight w:val="green"/>
        </w:rPr>
        <w:t xml:space="preserve">exacerbate </w:t>
      </w:r>
      <w:r w:rsidRPr="00DD2D90">
        <w:rPr>
          <w:rStyle w:val="StyleUnderline"/>
        </w:rPr>
        <w:t xml:space="preserve">social </w:t>
      </w:r>
      <w:r w:rsidRPr="00DD2D90">
        <w:rPr>
          <w:rStyle w:val="StyleUnderline"/>
          <w:highlight w:val="green"/>
        </w:rPr>
        <w:t>inequalities</w:t>
      </w:r>
      <w:r w:rsidRPr="00DD2D90">
        <w:rPr>
          <w:rStyle w:val="StyleUnderline"/>
        </w:rPr>
        <w:t xml:space="preserve"> </w:t>
      </w:r>
      <w:r w:rsidRPr="00DD2D90">
        <w:rPr>
          <w:rStyle w:val="StyleUnderline"/>
          <w:highlight w:val="green"/>
        </w:rPr>
        <w:t xml:space="preserve">by creating </w:t>
      </w:r>
      <w:r w:rsidRPr="00DD2D90">
        <w:rPr>
          <w:rStyle w:val="Emphasis"/>
          <w:highlight w:val="green"/>
        </w:rPr>
        <w:t>two‐tiered</w:t>
      </w:r>
      <w:r w:rsidRPr="00DD2D90">
        <w:rPr>
          <w:rStyle w:val="StyleUnderline"/>
          <w:highlight w:val="green"/>
        </w:rPr>
        <w:t xml:space="preserve"> systems</w:t>
      </w:r>
      <w:r w:rsidRPr="00DD2D90">
        <w:rPr>
          <w:rStyle w:val="StyleUnderline"/>
        </w:rPr>
        <w:t xml:space="preserve">, where those who can afford private care receive faster, higher‐quality treatment, whereas </w:t>
      </w:r>
      <w:r w:rsidRPr="00DD2D90">
        <w:rPr>
          <w:rStyle w:val="StyleUnderline"/>
          <w:highlight w:val="green"/>
        </w:rPr>
        <w:t>the less affluent</w:t>
      </w:r>
      <w:r w:rsidRPr="00DD2D90">
        <w:rPr>
          <w:rStyle w:val="StyleUnderline"/>
        </w:rPr>
        <w:t xml:space="preserve"> must </w:t>
      </w:r>
      <w:r w:rsidRPr="00DD2D90">
        <w:rPr>
          <w:rStyle w:val="StyleUnderline"/>
          <w:highlight w:val="green"/>
        </w:rPr>
        <w:t>rely on underfunded</w:t>
      </w:r>
      <w:r w:rsidRPr="00DD2D90">
        <w:rPr>
          <w:rStyle w:val="StyleUnderline"/>
        </w:rPr>
        <w:t xml:space="preserve"> or overstretched</w:t>
      </w:r>
      <w:r w:rsidRPr="009278EB">
        <w:rPr>
          <w:sz w:val="16"/>
        </w:rPr>
        <w:t xml:space="preserve"> </w:t>
      </w:r>
      <w:r w:rsidRPr="00DD2D90">
        <w:rPr>
          <w:rStyle w:val="StyleUnderline"/>
          <w:highlight w:val="green"/>
        </w:rPr>
        <w:t>public</w:t>
      </w:r>
      <w:r w:rsidRPr="00DD2D90">
        <w:rPr>
          <w:rStyle w:val="StyleUnderline"/>
        </w:rPr>
        <w:t xml:space="preserve"> </w:t>
      </w:r>
      <w:r w:rsidRPr="00DD2D90">
        <w:rPr>
          <w:rStyle w:val="StyleUnderline"/>
          <w:highlight w:val="green"/>
        </w:rPr>
        <w:t>services</w:t>
      </w:r>
      <w:r w:rsidRPr="009278EB">
        <w:rPr>
          <w:sz w:val="16"/>
        </w:rPr>
        <w:t xml:space="preserve">. Although access to private care may be quicker via a private healthcare route, </w:t>
      </w:r>
      <w:r w:rsidRPr="00DD2D90">
        <w:rPr>
          <w:rStyle w:val="StyleUnderline"/>
        </w:rPr>
        <w:t xml:space="preserve">the </w:t>
      </w:r>
      <w:r w:rsidRPr="00DD2D90">
        <w:rPr>
          <w:rStyle w:val="StyleUnderline"/>
          <w:highlight w:val="green"/>
        </w:rPr>
        <w:t>costs</w:t>
      </w:r>
      <w:r w:rsidRPr="00DD2D90">
        <w:rPr>
          <w:rStyle w:val="StyleUnderline"/>
        </w:rPr>
        <w:t xml:space="preserve"> may </w:t>
      </w:r>
      <w:r w:rsidRPr="00DD2D90">
        <w:rPr>
          <w:rStyle w:val="StyleUnderline"/>
          <w:highlight w:val="green"/>
        </w:rPr>
        <w:t>deter</w:t>
      </w:r>
      <w:r w:rsidRPr="00DD2D90">
        <w:rPr>
          <w:rStyle w:val="StyleUnderline"/>
        </w:rPr>
        <w:t xml:space="preserve"> many individuals from seeking </w:t>
      </w:r>
      <w:r w:rsidRPr="00DD2D90">
        <w:rPr>
          <w:rStyle w:val="StyleUnderline"/>
          <w:highlight w:val="green"/>
        </w:rPr>
        <w:t>treatment</w:t>
      </w:r>
      <w:r w:rsidRPr="00DD2D90">
        <w:rPr>
          <w:rStyle w:val="StyleUnderline"/>
        </w:rPr>
        <w:t xml:space="preserve">, </w:t>
      </w:r>
      <w:r w:rsidRPr="00DD2D90">
        <w:rPr>
          <w:rStyle w:val="StyleUnderline"/>
          <w:highlight w:val="green"/>
        </w:rPr>
        <w:t xml:space="preserve">leading to </w:t>
      </w:r>
      <w:r w:rsidRPr="00DD2D90">
        <w:rPr>
          <w:rStyle w:val="Emphasis"/>
          <w:highlight w:val="green"/>
        </w:rPr>
        <w:t>delay</w:t>
      </w:r>
      <w:r w:rsidRPr="00DD2D90">
        <w:rPr>
          <w:rStyle w:val="Emphasis"/>
        </w:rPr>
        <w:t>ed interventions</w:t>
      </w:r>
      <w:r w:rsidRPr="009278EB">
        <w:rPr>
          <w:sz w:val="16"/>
        </w:rPr>
        <w:t xml:space="preserve"> in cases of severe mental illness (Punton et al. 2022). Studies suggest that </w:t>
      </w:r>
      <w:r w:rsidRPr="00DD2D90">
        <w:rPr>
          <w:rStyle w:val="StyleUnderline"/>
          <w:highlight w:val="green"/>
        </w:rPr>
        <w:t>public systems are better suited for promoting population‐level</w:t>
      </w:r>
      <w:r w:rsidRPr="00DD2D90">
        <w:rPr>
          <w:rStyle w:val="StyleUnderline"/>
        </w:rPr>
        <w:t xml:space="preserve"> </w:t>
      </w:r>
      <w:r w:rsidRPr="00DD2D90">
        <w:rPr>
          <w:rStyle w:val="StyleUnderline"/>
          <w:highlight w:val="green"/>
        </w:rPr>
        <w:t>interventions</w:t>
      </w:r>
      <w:r w:rsidRPr="00DD2D90">
        <w:rPr>
          <w:rStyle w:val="StyleUnderline"/>
        </w:rPr>
        <w:t xml:space="preserve"> such as vaccination campaigns</w:t>
      </w:r>
      <w:r w:rsidRPr="009278EB">
        <w:rPr>
          <w:sz w:val="16"/>
        </w:rPr>
        <w:t xml:space="preserve">, smoking cessation and healthy lifestyle promotion (Basu et al. 2012, 2; Colombo and Tapay 2004, 33; Ozer et al. 2012). By contrast, </w:t>
      </w:r>
      <w:r w:rsidRPr="00DD2D90">
        <w:rPr>
          <w:rStyle w:val="StyleUnderline"/>
          <w:highlight w:val="green"/>
        </w:rPr>
        <w:t>for‐profit</w:t>
      </w:r>
      <w:r w:rsidRPr="00DD2D90">
        <w:rPr>
          <w:rStyle w:val="StyleUnderline"/>
        </w:rPr>
        <w:t xml:space="preserve"> private </w:t>
      </w:r>
      <w:r w:rsidRPr="00DD2D90">
        <w:rPr>
          <w:rStyle w:val="StyleUnderline"/>
          <w:highlight w:val="green"/>
        </w:rPr>
        <w:t>providers</w:t>
      </w:r>
      <w:r w:rsidRPr="00DD2D90">
        <w:rPr>
          <w:rStyle w:val="StyleUnderline"/>
        </w:rPr>
        <w:t xml:space="preserve"> often </w:t>
      </w:r>
      <w:r w:rsidRPr="00DD2D90">
        <w:rPr>
          <w:rStyle w:val="StyleUnderline"/>
          <w:highlight w:val="green"/>
        </w:rPr>
        <w:t>specialise</w:t>
      </w:r>
      <w:r w:rsidRPr="00DD2D90">
        <w:rPr>
          <w:rStyle w:val="StyleUnderline"/>
        </w:rPr>
        <w:t xml:space="preserve"> in elective procedures such as cosmetic surgery</w:t>
      </w:r>
      <w:r w:rsidRPr="009278EB">
        <w:rPr>
          <w:sz w:val="16"/>
        </w:rPr>
        <w:t xml:space="preserve"> and fertility treatment (Colombo and Tapay 2004, 15), </w:t>
      </w:r>
      <w:r w:rsidRPr="00DD2D90">
        <w:rPr>
          <w:rStyle w:val="StyleUnderline"/>
          <w:highlight w:val="green"/>
        </w:rPr>
        <w:t>leaving</w:t>
      </w:r>
      <w:r w:rsidRPr="00DD2D90">
        <w:rPr>
          <w:rStyle w:val="StyleUnderline"/>
        </w:rPr>
        <w:t xml:space="preserve"> complex, </w:t>
      </w:r>
      <w:r w:rsidRPr="00DD2D90">
        <w:rPr>
          <w:rStyle w:val="StyleUnderline"/>
          <w:highlight w:val="green"/>
        </w:rPr>
        <w:t>costly treatments</w:t>
      </w:r>
      <w:r w:rsidRPr="00DD2D90">
        <w:rPr>
          <w:rStyle w:val="StyleUnderline"/>
        </w:rPr>
        <w:t xml:space="preserve"> for chronic diseases and emergency care </w:t>
      </w:r>
      <w:r w:rsidRPr="00DD2D90">
        <w:rPr>
          <w:rStyle w:val="StyleUnderline"/>
          <w:highlight w:val="green"/>
        </w:rPr>
        <w:t>to public systems</w:t>
      </w:r>
      <w:r w:rsidRPr="009278EB">
        <w:rPr>
          <w:sz w:val="16"/>
        </w:rPr>
        <w:t xml:space="preserve">, posing questions of equity. </w:t>
      </w:r>
      <w:r w:rsidRPr="00DD2D90">
        <w:rPr>
          <w:rStyle w:val="StyleUnderline"/>
        </w:rPr>
        <w:t>The CCPH industry has</w:t>
      </w:r>
      <w:r w:rsidRPr="009278EB">
        <w:rPr>
          <w:sz w:val="16"/>
        </w:rPr>
        <w:t xml:space="preserve"> been criticised for prioritising profit over patient well‐being, particularly in systems where healthcare is </w:t>
      </w:r>
      <w:r w:rsidRPr="00DD2D90">
        <w:rPr>
          <w:rStyle w:val="StyleUnderline"/>
        </w:rPr>
        <w:t>considered</w:t>
      </w:r>
      <w:r w:rsidRPr="009278EB">
        <w:rPr>
          <w:sz w:val="16"/>
        </w:rPr>
        <w:t xml:space="preserve"> by capitalist states as </w:t>
      </w:r>
      <w:r w:rsidRPr="00DD2D90">
        <w:rPr>
          <w:rStyle w:val="StyleUnderline"/>
        </w:rPr>
        <w:t xml:space="preserve">a </w:t>
      </w:r>
      <w:r w:rsidRPr="00DD2D90">
        <w:rPr>
          <w:rStyle w:val="Emphasis"/>
        </w:rPr>
        <w:t>commodity</w:t>
      </w:r>
      <w:r w:rsidRPr="00DD2D90">
        <w:rPr>
          <w:rStyle w:val="StyleUnderline"/>
        </w:rPr>
        <w:t xml:space="preserve"> rather than a </w:t>
      </w:r>
      <w:r w:rsidRPr="00DD2D90">
        <w:rPr>
          <w:rStyle w:val="Emphasis"/>
        </w:rPr>
        <w:t>public good</w:t>
      </w:r>
      <w:r w:rsidRPr="009278EB">
        <w:rPr>
          <w:sz w:val="16"/>
        </w:rPr>
        <w:t xml:space="preserve"> (Christiansen 2017; Hodgson et al. 2022; Kennedy 2015, 215; McKee and Stuckler 2012). Research has highlighted the need for effective regulation to protect patients' interests and ensure the quality of care (Basu et al. 2012; Sekhri and Savedoff 2006), which can conflict with the underpinning profit motive of commercial health enterprises and the need to provide a return for their shareholders (Baru 2013; Hjelmar et al. 2018). There may be less transparency in reporting outcomes in CCPH compared with public services that are often required to report key performance indicators (KPIs), undergo public audits and assure value for money (Allan et al. 2021, 140; Anderson et al. 2020). This short review has documented research on the breadth of CCPH and its benefits and shortcomings. One area that has been relatively underexplored, however, has been the role of the state in encouraging private healthcare products and services. 3. Theorising the Capitalist State: From Essential Attributes to Relational Capacities </w:t>
      </w:r>
    </w:p>
    <w:p w14:paraId="4FFBCFAD" w14:textId="77777777" w:rsidR="001756B0" w:rsidRPr="009278EB" w:rsidRDefault="001756B0" w:rsidP="001756B0">
      <w:pPr>
        <w:pBdr>
          <w:top w:val="nil"/>
          <w:left w:val="nil"/>
          <w:bottom w:val="nil"/>
          <w:right w:val="nil"/>
          <w:between w:val="nil"/>
        </w:pBdr>
        <w:rPr>
          <w:sz w:val="16"/>
        </w:rPr>
      </w:pPr>
    </w:p>
    <w:p w14:paraId="7D086289" w14:textId="77777777" w:rsidR="00EA6776" w:rsidRPr="009278EB" w:rsidRDefault="00EA6776">
      <w:pPr>
        <w:rPr>
          <w:rFonts w:eastAsiaTheme="majorEastAsia" w:cstheme="majorBidi"/>
          <w:b/>
          <w:iCs/>
          <w:sz w:val="16"/>
        </w:rPr>
      </w:pPr>
      <w:bookmarkStart w:id="26" w:name="_p8dag42ykt03" w:colFirst="0" w:colLast="0"/>
      <w:bookmarkStart w:id="27" w:name="_wzufwxsr3z7c" w:colFirst="0" w:colLast="0"/>
      <w:bookmarkStart w:id="28" w:name="_omd5pxc8oud9" w:colFirst="0" w:colLast="0"/>
      <w:bookmarkStart w:id="29" w:name="_oxtn4yxoe095" w:colFirst="0" w:colLast="0"/>
      <w:bookmarkStart w:id="30" w:name="_vbtonbmq1ob" w:colFirst="0" w:colLast="0"/>
      <w:bookmarkStart w:id="31" w:name="_hjyr03hhsqsw" w:colFirst="0" w:colLast="0"/>
      <w:bookmarkEnd w:id="26"/>
      <w:bookmarkEnd w:id="27"/>
      <w:bookmarkEnd w:id="28"/>
      <w:bookmarkEnd w:id="29"/>
      <w:bookmarkEnd w:id="30"/>
      <w:bookmarkEnd w:id="31"/>
      <w:r w:rsidRPr="009278EB">
        <w:rPr>
          <w:sz w:val="16"/>
        </w:rPr>
        <w:br w:type="page"/>
      </w:r>
    </w:p>
    <w:p w14:paraId="770D3A5E" w14:textId="6C39B602" w:rsidR="00EB171F" w:rsidRPr="009278EB" w:rsidRDefault="00EB171F" w:rsidP="00EB171F">
      <w:pPr>
        <w:pStyle w:val="Heading4"/>
        <w:rPr>
          <w:szCs w:val="26"/>
        </w:rPr>
      </w:pPr>
      <w:r w:rsidRPr="009278EB">
        <w:rPr>
          <w:szCs w:val="26"/>
        </w:rPr>
        <w:t xml:space="preserve">ESI is regressive, harms the low-wage job market, and causes outsourcing </w:t>
      </w:r>
    </w:p>
    <w:p w14:paraId="51851192" w14:textId="77777777" w:rsidR="00EB171F" w:rsidRPr="00DD2D90" w:rsidRDefault="00EB171F" w:rsidP="00EB171F">
      <w:r w:rsidRPr="009278EB">
        <w:rPr>
          <w:b/>
          <w:bCs/>
          <w:sz w:val="26"/>
          <w:szCs w:val="26"/>
        </w:rPr>
        <w:t>Walsh 23</w:t>
      </w:r>
      <w:r w:rsidRPr="00DD2D90">
        <w:t xml:space="preserve"> [Dylan Walsh, CBR freelance writer, 9-13-2023, "Employer-Sponsored Healthcare Aggravates US Inequality", University of Chicago Booth School of Business, https://www.chicagobooth.edu/review/employer-sponsored-healthcare-aggravates-us-inequality]/Kankee</w:t>
      </w:r>
    </w:p>
    <w:p w14:paraId="78FFFDC1" w14:textId="77777777" w:rsidR="00EB171F" w:rsidRPr="009278EB" w:rsidRDefault="00EB171F" w:rsidP="00EB171F">
      <w:pPr>
        <w:rPr>
          <w:sz w:val="16"/>
        </w:rPr>
      </w:pPr>
      <w:r w:rsidRPr="009278EB">
        <w:rPr>
          <w:sz w:val="16"/>
        </w:rPr>
        <w:t xml:space="preserve">Virtually every US resident with private health benefits receives them through an employer. The federal government heavily subsidizes this arrangement by letting employers write off the costs, reducing federal tax revenue by $300 billion a year—the single-largest federal tax expenditure. </w:t>
      </w:r>
      <w:r w:rsidRPr="00DD2D90">
        <w:rPr>
          <w:rStyle w:val="StyleUnderline"/>
        </w:rPr>
        <w:t>Because</w:t>
      </w:r>
      <w:r w:rsidRPr="009278EB">
        <w:rPr>
          <w:sz w:val="16"/>
        </w:rPr>
        <w:t xml:space="preserve"> the </w:t>
      </w:r>
      <w:r w:rsidRPr="00DD2D90">
        <w:rPr>
          <w:rStyle w:val="StyleUnderline"/>
        </w:rPr>
        <w:t>costs</w:t>
      </w:r>
      <w:r w:rsidRPr="009278EB">
        <w:rPr>
          <w:sz w:val="16"/>
        </w:rPr>
        <w:t xml:space="preserve"> of these benefits </w:t>
      </w:r>
      <w:r w:rsidRPr="00DD2D90">
        <w:rPr>
          <w:rStyle w:val="StyleUnderline"/>
        </w:rPr>
        <w:t xml:space="preserve">are not contingent on earnings, </w:t>
      </w:r>
      <w:r w:rsidRPr="00DD2D90">
        <w:rPr>
          <w:rStyle w:val="StyleUnderline"/>
          <w:highlight w:val="green"/>
        </w:rPr>
        <w:t>the burden is proportionally</w:t>
      </w:r>
      <w:r w:rsidRPr="00DD2D90">
        <w:rPr>
          <w:rStyle w:val="StyleUnderline"/>
        </w:rPr>
        <w:t xml:space="preserve"> </w:t>
      </w:r>
      <w:r w:rsidRPr="00DD2D90">
        <w:rPr>
          <w:rStyle w:val="StyleUnderline"/>
          <w:highlight w:val="green"/>
        </w:rPr>
        <w:t>heavier for workers who make less money</w:t>
      </w:r>
      <w:r w:rsidRPr="009278EB">
        <w:rPr>
          <w:sz w:val="16"/>
        </w:rPr>
        <w:t xml:space="preserve">. In 2019, </w:t>
      </w:r>
      <w:r w:rsidRPr="00DD2D90">
        <w:rPr>
          <w:rStyle w:val="StyleUnderline"/>
        </w:rPr>
        <w:t xml:space="preserve">the </w:t>
      </w:r>
      <w:r w:rsidRPr="00DD2D90">
        <w:rPr>
          <w:rStyle w:val="StyleUnderline"/>
          <w:highlight w:val="green"/>
        </w:rPr>
        <w:t>average</w:t>
      </w:r>
      <w:r w:rsidRPr="00DD2D90">
        <w:rPr>
          <w:rStyle w:val="StyleUnderline"/>
        </w:rPr>
        <w:t xml:space="preserve"> annual </w:t>
      </w:r>
      <w:r w:rsidRPr="00DD2D90">
        <w:rPr>
          <w:rStyle w:val="StyleUnderline"/>
          <w:highlight w:val="green"/>
        </w:rPr>
        <w:t>cost</w:t>
      </w:r>
      <w:r w:rsidRPr="009278EB">
        <w:rPr>
          <w:sz w:val="16"/>
        </w:rPr>
        <w:t xml:space="preserve"> of employer-provided health benefits—$12,000—</w:t>
      </w:r>
      <w:r w:rsidRPr="00DD2D90">
        <w:rPr>
          <w:rStyle w:val="StyleUnderline"/>
          <w:highlight w:val="green"/>
        </w:rPr>
        <w:t xml:space="preserve">amounted to </w:t>
      </w:r>
      <w:r w:rsidRPr="00DD2D90">
        <w:rPr>
          <w:rStyle w:val="Emphasis"/>
          <w:highlight w:val="green"/>
        </w:rPr>
        <w:t>25 percent</w:t>
      </w:r>
      <w:r w:rsidRPr="00DD2D90">
        <w:rPr>
          <w:rStyle w:val="StyleUnderline"/>
          <w:highlight w:val="green"/>
        </w:rPr>
        <w:t xml:space="preserve"> of </w:t>
      </w:r>
      <w:r w:rsidRPr="00DD2D90">
        <w:rPr>
          <w:rStyle w:val="StyleUnderline"/>
        </w:rPr>
        <w:t xml:space="preserve">the </w:t>
      </w:r>
      <w:r w:rsidRPr="00DD2D90">
        <w:rPr>
          <w:rStyle w:val="StyleUnderline"/>
          <w:highlight w:val="green"/>
        </w:rPr>
        <w:t>income</w:t>
      </w:r>
      <w:r w:rsidRPr="00DD2D90">
        <w:rPr>
          <w:rStyle w:val="StyleUnderline"/>
        </w:rPr>
        <w:t xml:space="preserve"> </w:t>
      </w:r>
      <w:r w:rsidRPr="00DD2D90">
        <w:rPr>
          <w:rStyle w:val="StyleUnderline"/>
          <w:highlight w:val="green"/>
        </w:rPr>
        <w:t>of</w:t>
      </w:r>
      <w:r w:rsidRPr="00DD2D90">
        <w:rPr>
          <w:rStyle w:val="StyleUnderline"/>
        </w:rPr>
        <w:t xml:space="preserve"> </w:t>
      </w:r>
      <w:r w:rsidRPr="00DD2D90">
        <w:rPr>
          <w:rStyle w:val="StyleUnderline"/>
          <w:highlight w:val="green"/>
        </w:rPr>
        <w:t>a</w:t>
      </w:r>
      <w:r w:rsidRPr="00DD2D90">
        <w:rPr>
          <w:rStyle w:val="StyleUnderline"/>
        </w:rPr>
        <w:t xml:space="preserve">n average full-time </w:t>
      </w:r>
      <w:r w:rsidRPr="00DD2D90">
        <w:rPr>
          <w:rStyle w:val="StyleUnderline"/>
          <w:highlight w:val="green"/>
        </w:rPr>
        <w:t>worker without a</w:t>
      </w:r>
      <w:r w:rsidRPr="00DD2D90">
        <w:rPr>
          <w:rStyle w:val="StyleUnderline"/>
        </w:rPr>
        <w:t xml:space="preserve"> college </w:t>
      </w:r>
      <w:r w:rsidRPr="00DD2D90">
        <w:rPr>
          <w:rStyle w:val="StyleUnderline"/>
          <w:highlight w:val="green"/>
        </w:rPr>
        <w:t>degree</w:t>
      </w:r>
      <w:r w:rsidRPr="00DD2D90">
        <w:rPr>
          <w:rStyle w:val="StyleUnderline"/>
        </w:rPr>
        <w:t xml:space="preserve">, </w:t>
      </w:r>
      <w:r w:rsidRPr="00DD2D90">
        <w:rPr>
          <w:rStyle w:val="StyleUnderline"/>
          <w:highlight w:val="green"/>
        </w:rPr>
        <w:t xml:space="preserve">compared with </w:t>
      </w:r>
      <w:r w:rsidRPr="00DD2D90">
        <w:rPr>
          <w:rStyle w:val="Emphasis"/>
          <w:highlight w:val="green"/>
        </w:rPr>
        <w:t>12 percent</w:t>
      </w:r>
      <w:r w:rsidRPr="00DD2D90">
        <w:rPr>
          <w:rStyle w:val="StyleUnderline"/>
        </w:rPr>
        <w:t xml:space="preserve"> </w:t>
      </w:r>
      <w:r w:rsidRPr="00DD2D90">
        <w:rPr>
          <w:rStyle w:val="StyleUnderline"/>
          <w:highlight w:val="green"/>
        </w:rPr>
        <w:t>of</w:t>
      </w:r>
      <w:r w:rsidRPr="00DD2D90">
        <w:rPr>
          <w:rStyle w:val="StyleUnderline"/>
        </w:rPr>
        <w:t xml:space="preserve"> the </w:t>
      </w:r>
      <w:r w:rsidRPr="00DD2D90">
        <w:rPr>
          <w:rStyle w:val="StyleUnderline"/>
          <w:highlight w:val="green"/>
        </w:rPr>
        <w:t>earnings of a</w:t>
      </w:r>
      <w:r w:rsidRPr="00DD2D90">
        <w:rPr>
          <w:rStyle w:val="StyleUnderline"/>
        </w:rPr>
        <w:t xml:space="preserve"> full-time </w:t>
      </w:r>
      <w:r w:rsidRPr="00DD2D90">
        <w:rPr>
          <w:rStyle w:val="StyleUnderline"/>
          <w:highlight w:val="green"/>
        </w:rPr>
        <w:t>worker with a degree</w:t>
      </w:r>
      <w:r w:rsidRPr="009278EB">
        <w:rPr>
          <w:sz w:val="16"/>
        </w:rPr>
        <w:t xml:space="preserve">. The researchers quantified the historical effect of this health wedge, as they call it, on employment and earnings. They find that </w:t>
      </w:r>
      <w:r w:rsidRPr="00DD2D90">
        <w:rPr>
          <w:rStyle w:val="StyleUnderline"/>
          <w:highlight w:val="green"/>
        </w:rPr>
        <w:t xml:space="preserve">the burden of </w:t>
      </w:r>
      <w:r w:rsidRPr="00DD2D90">
        <w:rPr>
          <w:rStyle w:val="Emphasis"/>
          <w:highlight w:val="green"/>
        </w:rPr>
        <w:t>surging</w:t>
      </w:r>
      <w:r w:rsidRPr="00DD2D90">
        <w:rPr>
          <w:rStyle w:val="StyleUnderline"/>
          <w:highlight w:val="green"/>
        </w:rPr>
        <w:t xml:space="preserve"> medical costs</w:t>
      </w:r>
      <w:r w:rsidRPr="009278EB">
        <w:rPr>
          <w:sz w:val="16"/>
        </w:rPr>
        <w:t xml:space="preserve"> over the past several decades has </w:t>
      </w:r>
      <w:r w:rsidRPr="00DD2D90">
        <w:rPr>
          <w:rStyle w:val="StyleUnderline"/>
          <w:highlight w:val="green"/>
        </w:rPr>
        <w:t>contributed</w:t>
      </w:r>
      <w:r w:rsidRPr="00DD2D90">
        <w:rPr>
          <w:rStyle w:val="StyleUnderline"/>
        </w:rPr>
        <w:t xml:space="preserve"> roughly </w:t>
      </w:r>
      <w:r w:rsidRPr="00DD2D90">
        <w:rPr>
          <w:rStyle w:val="StyleUnderline"/>
          <w:highlight w:val="green"/>
        </w:rPr>
        <w:t>as much to inequality in the labor market as</w:t>
      </w:r>
      <w:r w:rsidRPr="00DD2D90">
        <w:rPr>
          <w:rStyle w:val="StyleUnderline"/>
        </w:rPr>
        <w:t xml:space="preserve"> far more prominent concerns such as </w:t>
      </w:r>
      <w:r w:rsidRPr="00DD2D90">
        <w:rPr>
          <w:rStyle w:val="StyleUnderline"/>
          <w:highlight w:val="green"/>
        </w:rPr>
        <w:t>globalization</w:t>
      </w:r>
      <w:r w:rsidRPr="009278EB">
        <w:rPr>
          <w:sz w:val="16"/>
        </w:rPr>
        <w:t xml:space="preserve">. </w:t>
      </w:r>
      <w:r w:rsidRPr="00DD2D90">
        <w:rPr>
          <w:rStyle w:val="Emphasis"/>
          <w:highlight w:val="green"/>
        </w:rPr>
        <w:t>Only in the US</w:t>
      </w:r>
      <w:r w:rsidRPr="009278EB">
        <w:rPr>
          <w:sz w:val="16"/>
        </w:rPr>
        <w:t xml:space="preserve"> To understand the importance of the health wedge in today’s world, Finkelstein, McQuillan, Zidar, and Zwick built a model of two parallel, hypothetical worlds. In one, they tested what would have happened since 1977 if health benefits had been financed through a progressive payroll tax, where higher earners paid more. In the other, they tested what would have happened if US healthcare costs had risen more slowly, as in other countries. In the first scenario, where the cost of health benefits was linked to earnings, “labor market outcomes would have evolved quite differently,” the researchers write. </w:t>
      </w:r>
      <w:r w:rsidRPr="00DD2D90">
        <w:rPr>
          <w:rStyle w:val="StyleUnderline"/>
          <w:highlight w:val="green"/>
        </w:rPr>
        <w:t xml:space="preserve">People without a </w:t>
      </w:r>
      <w:r w:rsidRPr="00DD2D90">
        <w:rPr>
          <w:rStyle w:val="StyleUnderline"/>
        </w:rPr>
        <w:t xml:space="preserve">college </w:t>
      </w:r>
      <w:r w:rsidRPr="00DD2D90">
        <w:rPr>
          <w:rStyle w:val="StyleUnderline"/>
          <w:highlight w:val="green"/>
        </w:rPr>
        <w:t xml:space="preserve">degree would have </w:t>
      </w:r>
      <w:r w:rsidRPr="00DD2D90">
        <w:rPr>
          <w:rStyle w:val="Emphasis"/>
          <w:highlight w:val="green"/>
        </w:rPr>
        <w:t>500,000 more jobs</w:t>
      </w:r>
      <w:r w:rsidRPr="00DD2D90">
        <w:rPr>
          <w:rStyle w:val="StyleUnderline"/>
          <w:highlight w:val="green"/>
        </w:rPr>
        <w:t xml:space="preserve"> available to them</w:t>
      </w:r>
      <w:r w:rsidRPr="009278EB">
        <w:rPr>
          <w:sz w:val="16"/>
        </w:rPr>
        <w:t xml:space="preserve"> now, </w:t>
      </w:r>
      <w:r w:rsidRPr="00DD2D90">
        <w:rPr>
          <w:rStyle w:val="StyleUnderline"/>
          <w:highlight w:val="green"/>
        </w:rPr>
        <w:t>and the employment gap</w:t>
      </w:r>
      <w:r w:rsidRPr="00DD2D90">
        <w:rPr>
          <w:rStyle w:val="StyleUnderline"/>
        </w:rPr>
        <w:t xml:space="preserve"> between those with and without degrees </w:t>
      </w:r>
      <w:r w:rsidRPr="00DD2D90">
        <w:rPr>
          <w:rStyle w:val="StyleUnderline"/>
          <w:highlight w:val="green"/>
        </w:rPr>
        <w:t xml:space="preserve">would be </w:t>
      </w:r>
      <w:r w:rsidRPr="00DD2D90">
        <w:rPr>
          <w:rStyle w:val="Emphasis"/>
          <w:highlight w:val="green"/>
        </w:rPr>
        <w:t>20 percent</w:t>
      </w:r>
      <w:r w:rsidRPr="00DD2D90">
        <w:rPr>
          <w:rStyle w:val="StyleUnderline"/>
          <w:highlight w:val="green"/>
        </w:rPr>
        <w:t xml:space="preserve"> smaller</w:t>
      </w:r>
      <w:r w:rsidRPr="00DD2D90">
        <w:rPr>
          <w:rStyle w:val="StyleUnderline"/>
        </w:rPr>
        <w:t>.</w:t>
      </w:r>
      <w:r w:rsidRPr="009278EB">
        <w:rPr>
          <w:sz w:val="16"/>
        </w:rPr>
        <w:t xml:space="preserve"> </w:t>
      </w:r>
      <w:r w:rsidRPr="00DD2D90">
        <w:rPr>
          <w:rStyle w:val="StyleUnderline"/>
          <w:highlight w:val="green"/>
        </w:rPr>
        <w:t>The wage premium</w:t>
      </w:r>
      <w:r w:rsidRPr="00DD2D90">
        <w:rPr>
          <w:rStyle w:val="StyleUnderline"/>
        </w:rPr>
        <w:t xml:space="preserve"> for a degree </w:t>
      </w:r>
      <w:r w:rsidRPr="00DD2D90">
        <w:rPr>
          <w:rStyle w:val="StyleUnderline"/>
          <w:highlight w:val="green"/>
        </w:rPr>
        <w:t xml:space="preserve">would be about </w:t>
      </w:r>
      <w:r w:rsidRPr="00DD2D90">
        <w:rPr>
          <w:rStyle w:val="Emphasis"/>
          <w:highlight w:val="green"/>
        </w:rPr>
        <w:t>11 percent</w:t>
      </w:r>
      <w:r w:rsidRPr="00DD2D90">
        <w:rPr>
          <w:rStyle w:val="StyleUnderline"/>
          <w:highlight w:val="green"/>
        </w:rPr>
        <w:t xml:space="preserve"> smaller</w:t>
      </w:r>
      <w:r w:rsidRPr="009278EB">
        <w:rPr>
          <w:sz w:val="16"/>
        </w:rPr>
        <w:t xml:space="preserve">. </w:t>
      </w:r>
      <w:r w:rsidRPr="00DD2D90">
        <w:rPr>
          <w:rStyle w:val="StyleUnderline"/>
        </w:rPr>
        <w:t xml:space="preserve">To achieve the same outcome today by raising the minimum wage, policy makers would have to jack it up by </w:t>
      </w:r>
      <w:r w:rsidRPr="00DD2D90">
        <w:rPr>
          <w:rStyle w:val="Emphasis"/>
        </w:rPr>
        <w:t>30 percent</w:t>
      </w:r>
      <w:r w:rsidRPr="009278EB">
        <w:rPr>
          <w:sz w:val="16"/>
        </w:rPr>
        <w:t xml:space="preserve">, the researchers calculate. In the second scenario, the researchers analyzed the effects on the labor market had healthcare costs held steady at the 1977 rate of almost 8 percent of GDP, rather than soaring to 17 percent of GDP by 2019. They find that the wage premium for a college degree would be about 11 percent lower, and pay for those without a college degree would be about 12 percent higher, or $6,000 more a year. </w:t>
      </w:r>
      <w:r w:rsidRPr="00DD2D90">
        <w:rPr>
          <w:rStyle w:val="StyleUnderline"/>
        </w:rPr>
        <w:t>If American medical outlays had risen even a bit more slowly</w:t>
      </w:r>
      <w:r w:rsidRPr="009278EB">
        <w:rPr>
          <w:sz w:val="16"/>
        </w:rPr>
        <w:t xml:space="preserve">, for example, matching Canada’s current 11 percent of GDP, </w:t>
      </w:r>
      <w:r w:rsidRPr="00DD2D90">
        <w:rPr>
          <w:rStyle w:val="StyleUnderline"/>
        </w:rPr>
        <w:t>the premium for a degree would be 5 percent lower, and earnings for those without a degree, 5 percent higher, they find</w:t>
      </w:r>
      <w:r w:rsidRPr="009278EB">
        <w:rPr>
          <w:sz w:val="16"/>
        </w:rPr>
        <w:t>. The researchers take pains to highlight the magnitude of this effect and how it interacts with other prominent stories of the labor market’s evolution. The growth of international trade and other labor-market changes might be partly driven by health costs, they suggest</w:t>
      </w:r>
      <w:r w:rsidRPr="00DD2D90">
        <w:rPr>
          <w:rStyle w:val="StyleUnderline"/>
        </w:rPr>
        <w:t xml:space="preserve">. </w:t>
      </w:r>
      <w:r w:rsidRPr="00DD2D90">
        <w:rPr>
          <w:rStyle w:val="StyleUnderline"/>
          <w:highlight w:val="green"/>
        </w:rPr>
        <w:t xml:space="preserve">A company might </w:t>
      </w:r>
      <w:r w:rsidRPr="00DD2D90">
        <w:rPr>
          <w:rStyle w:val="Emphasis"/>
          <w:highlight w:val="green"/>
        </w:rPr>
        <w:t>outsource</w:t>
      </w:r>
      <w:r w:rsidRPr="00DD2D90">
        <w:rPr>
          <w:rStyle w:val="StyleUnderline"/>
          <w:highlight w:val="green"/>
        </w:rPr>
        <w:t xml:space="preserve"> jobs because medical benefits for domestic workers are too expensive</w:t>
      </w:r>
      <w:r w:rsidRPr="009278EB">
        <w:rPr>
          <w:sz w:val="16"/>
        </w:rPr>
        <w:t>. In his 2023 State of the Union address, President Joe Biden suggested that we “offer every American a path to a good career, whether they go to college or not.” One avenue for doing so might be to reexamine the current system of employer-based medical benefits. “</w:t>
      </w:r>
      <w:r w:rsidRPr="00DD2D90">
        <w:rPr>
          <w:rStyle w:val="StyleUnderline"/>
          <w:highlight w:val="green"/>
        </w:rPr>
        <w:t xml:space="preserve">The </w:t>
      </w:r>
      <w:r w:rsidRPr="00DD2D90">
        <w:rPr>
          <w:rStyle w:val="Emphasis"/>
          <w:highlight w:val="green"/>
        </w:rPr>
        <w:t>uniquely</w:t>
      </w:r>
      <w:r w:rsidRPr="00DD2D90">
        <w:rPr>
          <w:rStyle w:val="StyleUnderline"/>
          <w:highlight w:val="green"/>
        </w:rPr>
        <w:t xml:space="preserve"> American</w:t>
      </w:r>
      <w:r w:rsidRPr="00DD2D90">
        <w:rPr>
          <w:rStyle w:val="StyleUnderline"/>
        </w:rPr>
        <w:t xml:space="preserve"> </w:t>
      </w:r>
      <w:r w:rsidRPr="00DD2D90">
        <w:rPr>
          <w:rStyle w:val="StyleUnderline"/>
          <w:highlight w:val="green"/>
        </w:rPr>
        <w:t>approach</w:t>
      </w:r>
      <w:r w:rsidRPr="00DD2D90">
        <w:rPr>
          <w:rStyle w:val="StyleUnderline"/>
        </w:rPr>
        <w:t xml:space="preserve"> to financing health insurance </w:t>
      </w:r>
      <w:r w:rsidRPr="00DD2D90">
        <w:rPr>
          <w:rStyle w:val="StyleUnderline"/>
          <w:highlight w:val="green"/>
        </w:rPr>
        <w:t>could have a</w:t>
      </w:r>
      <w:r w:rsidRPr="00DD2D90">
        <w:rPr>
          <w:rStyle w:val="StyleUnderline"/>
        </w:rPr>
        <w:t xml:space="preserve"> quantitatively </w:t>
      </w:r>
      <w:r w:rsidRPr="00DD2D90">
        <w:rPr>
          <w:rStyle w:val="StyleUnderline"/>
          <w:highlight w:val="green"/>
        </w:rPr>
        <w:t xml:space="preserve">important impact on labor </w:t>
      </w:r>
      <w:r w:rsidRPr="00DD2D90">
        <w:rPr>
          <w:rStyle w:val="StyleUnderline"/>
        </w:rPr>
        <w:t xml:space="preserve">market </w:t>
      </w:r>
      <w:r w:rsidRPr="00DD2D90">
        <w:rPr>
          <w:rStyle w:val="StyleUnderline"/>
          <w:highlight w:val="green"/>
        </w:rPr>
        <w:t>inequality</w:t>
      </w:r>
      <w:r w:rsidRPr="009278EB">
        <w:rPr>
          <w:sz w:val="16"/>
        </w:rPr>
        <w:t xml:space="preserve">,” the researchers write. “Our analysis suggests that if </w:t>
      </w:r>
      <w:r w:rsidRPr="00DD2D90">
        <w:rPr>
          <w:rStyle w:val="StyleUnderline"/>
        </w:rPr>
        <w:t>the cost of health care in the United States continues its rapid rise</w:t>
      </w:r>
      <w:r w:rsidRPr="009278EB">
        <w:rPr>
          <w:sz w:val="16"/>
        </w:rPr>
        <w:t xml:space="preserve"> over the coming years, </w:t>
      </w:r>
      <w:r w:rsidRPr="00DD2D90">
        <w:rPr>
          <w:rStyle w:val="StyleUnderline"/>
        </w:rPr>
        <w:t>labor market inequality will also continue to grow in the absence of substantial reforms</w:t>
      </w:r>
      <w:r w:rsidRPr="009278EB">
        <w:rPr>
          <w:sz w:val="16"/>
        </w:rPr>
        <w:t xml:space="preserve"> to how we finance health insurance.” </w:t>
      </w:r>
    </w:p>
    <w:p w14:paraId="6728C3EE" w14:textId="77777777" w:rsidR="00EA6776" w:rsidRPr="009278EB" w:rsidRDefault="00EA6776">
      <w:pPr>
        <w:rPr>
          <w:rFonts w:eastAsiaTheme="majorEastAsia" w:cstheme="majorBidi"/>
          <w:b/>
          <w:iCs/>
          <w:sz w:val="16"/>
        </w:rPr>
      </w:pPr>
      <w:r w:rsidRPr="009278EB">
        <w:rPr>
          <w:sz w:val="16"/>
        </w:rPr>
        <w:br w:type="page"/>
      </w:r>
    </w:p>
    <w:p w14:paraId="3B1EE3A2" w14:textId="45B90CB1" w:rsidR="00EB171F" w:rsidRPr="009278EB" w:rsidRDefault="00EB171F" w:rsidP="00EB171F">
      <w:pPr>
        <w:pStyle w:val="Heading4"/>
        <w:rPr>
          <w:szCs w:val="26"/>
        </w:rPr>
      </w:pPr>
      <w:r w:rsidRPr="009278EB">
        <w:rPr>
          <w:szCs w:val="26"/>
        </w:rPr>
        <w:t>ESI causes inequality – regressive costs and wage stagnation</w:t>
      </w:r>
    </w:p>
    <w:p w14:paraId="2B0F8B1B" w14:textId="77777777" w:rsidR="00EB171F" w:rsidRPr="00DD2D90" w:rsidRDefault="00EB171F" w:rsidP="00EB171F">
      <w:r w:rsidRPr="009278EB">
        <w:rPr>
          <w:b/>
          <w:bCs/>
          <w:sz w:val="26"/>
          <w:szCs w:val="26"/>
        </w:rPr>
        <w:t>Hager et al. 24</w:t>
      </w:r>
      <w:r w:rsidRPr="00DD2D90">
        <w:t xml:space="preserve"> [Kurt Hager, researcher at the UMass Chan Medical School Department of Population and Quantitative Health Sciences, Ezekiel Emanuel, researcher at the University of Pennsylvania Wharton School, Dariush Mozaffarian, researcher at Tufts University Friedman School of Nutrition Science and Policy, 2024, "Employer-Sponsored Health Insurance Premium Cost Growth and Earnings Inequality", JAMA Network Open, https://jamanetwork.com/journals/jamanetworkopen/fullarticle/2813927]/Kankee</w:t>
      </w:r>
    </w:p>
    <w:p w14:paraId="0E5848B4" w14:textId="77777777" w:rsidR="00EB171F" w:rsidRPr="009278EB" w:rsidRDefault="00EB171F" w:rsidP="00EB171F">
      <w:pPr>
        <w:rPr>
          <w:sz w:val="16"/>
        </w:rPr>
      </w:pPr>
      <w:r w:rsidRPr="009278EB">
        <w:rPr>
          <w:sz w:val="16"/>
        </w:rPr>
        <w:t xml:space="preserve">Key Points Question What is the association of increasing health care premium costs with earnings inequality and wage stagnation among US families with employer-sponsored health insurance? Findings In this economic evaluation of US families receiving employer-sponsored health insurance, </w:t>
      </w:r>
      <w:r w:rsidRPr="00DD2D90">
        <w:rPr>
          <w:rStyle w:val="StyleUnderline"/>
        </w:rPr>
        <w:t xml:space="preserve">the mean </w:t>
      </w:r>
      <w:r w:rsidRPr="00DD2D90">
        <w:rPr>
          <w:rStyle w:val="StyleUnderline"/>
          <w:highlight w:val="green"/>
        </w:rPr>
        <w:t>cumulative lost earnings from 1988 to 2019</w:t>
      </w:r>
      <w:r w:rsidRPr="00DD2D90">
        <w:rPr>
          <w:rStyle w:val="StyleUnderline"/>
        </w:rPr>
        <w:t xml:space="preserve"> </w:t>
      </w:r>
      <w:r w:rsidRPr="00DD2D90">
        <w:rPr>
          <w:rStyle w:val="StyleUnderline"/>
          <w:highlight w:val="green"/>
        </w:rPr>
        <w:t>associated with</w:t>
      </w:r>
      <w:r w:rsidRPr="00DD2D90">
        <w:rPr>
          <w:rStyle w:val="StyleUnderline"/>
        </w:rPr>
        <w:t xml:space="preserve"> growth in health insurance </w:t>
      </w:r>
      <w:r w:rsidRPr="00DD2D90">
        <w:rPr>
          <w:rStyle w:val="StyleUnderline"/>
          <w:highlight w:val="green"/>
        </w:rPr>
        <w:t>premiums was $125 340 per family</w:t>
      </w:r>
      <w:r w:rsidRPr="009278EB">
        <w:rPr>
          <w:sz w:val="16"/>
        </w:rPr>
        <w:t xml:space="preserve"> (in 2019 dollars) </w:t>
      </w:r>
      <w:r w:rsidRPr="00DD2D90">
        <w:rPr>
          <w:rStyle w:val="StyleUnderline"/>
        </w:rPr>
        <w:t xml:space="preserve">or nearly </w:t>
      </w:r>
      <w:r w:rsidRPr="00DD2D90">
        <w:rPr>
          <w:rStyle w:val="Emphasis"/>
          <w:highlight w:val="green"/>
        </w:rPr>
        <w:t>5%</w:t>
      </w:r>
      <w:r w:rsidRPr="00DD2D90">
        <w:rPr>
          <w:rStyle w:val="StyleUnderline"/>
        </w:rPr>
        <w:t xml:space="preserve"> </w:t>
      </w:r>
      <w:r w:rsidRPr="00DD2D90">
        <w:rPr>
          <w:rStyle w:val="StyleUnderline"/>
          <w:highlight w:val="green"/>
        </w:rPr>
        <w:t>of total earnings</w:t>
      </w:r>
      <w:r w:rsidRPr="00DD2D90">
        <w:rPr>
          <w:rStyle w:val="StyleUnderline"/>
        </w:rPr>
        <w:t xml:space="preserve"> over the 32-year period</w:t>
      </w:r>
      <w:r w:rsidRPr="009278EB">
        <w:rPr>
          <w:sz w:val="16"/>
        </w:rPr>
        <w:t xml:space="preserve">. In all 32 years of the study, health care premiums as a percentage of compensation were significantly higher for non-Hispanic Black and Hispanic families than for non-Hispanic White families. Meaning This study suggests that </w:t>
      </w:r>
      <w:r w:rsidRPr="00DD2D90">
        <w:rPr>
          <w:rStyle w:val="StyleUnderline"/>
          <w:highlight w:val="green"/>
        </w:rPr>
        <w:t>increasing</w:t>
      </w:r>
      <w:r w:rsidRPr="00DD2D90">
        <w:rPr>
          <w:rStyle w:val="StyleUnderline"/>
        </w:rPr>
        <w:t xml:space="preserve"> health insurance </w:t>
      </w:r>
      <w:r w:rsidRPr="00DD2D90">
        <w:rPr>
          <w:rStyle w:val="StyleUnderline"/>
          <w:highlight w:val="green"/>
        </w:rPr>
        <w:t>premium</w:t>
      </w:r>
      <w:r w:rsidRPr="00DD2D90">
        <w:rPr>
          <w:rStyle w:val="StyleUnderline"/>
        </w:rPr>
        <w:t xml:space="preserve"> costs are likely associated with decreased earnings and increased income inequality, including by race and ethnicity</w:t>
      </w:r>
      <w:r w:rsidRPr="009278EB">
        <w:rPr>
          <w:sz w:val="16"/>
        </w:rPr>
        <w:t xml:space="preserve">, among US families receiving employer-sponsored health insurance </w:t>
      </w:r>
      <w:r w:rsidRPr="00DD2D90">
        <w:rPr>
          <w:rStyle w:val="StyleUnderline"/>
        </w:rPr>
        <w:t>and</w:t>
      </w:r>
      <w:r w:rsidRPr="009278EB">
        <w:rPr>
          <w:sz w:val="16"/>
        </w:rPr>
        <w:t xml:space="preserve"> </w:t>
      </w:r>
      <w:r w:rsidRPr="00DD2D90">
        <w:rPr>
          <w:rStyle w:val="StyleUnderline"/>
          <w:highlight w:val="green"/>
        </w:rPr>
        <w:t>are</w:t>
      </w:r>
      <w:r w:rsidRPr="009278EB">
        <w:rPr>
          <w:sz w:val="16"/>
        </w:rPr>
        <w:t xml:space="preserve"> meaningfully </w:t>
      </w:r>
      <w:r w:rsidRPr="00DD2D90">
        <w:rPr>
          <w:rStyle w:val="StyleUnderline"/>
          <w:highlight w:val="green"/>
        </w:rPr>
        <w:t xml:space="preserve">associated with wage </w:t>
      </w:r>
      <w:r w:rsidRPr="00DD2D90">
        <w:rPr>
          <w:rStyle w:val="Emphasis"/>
          <w:highlight w:val="green"/>
        </w:rPr>
        <w:t>stagnation</w:t>
      </w:r>
      <w:r w:rsidRPr="009278EB">
        <w:rPr>
          <w:sz w:val="16"/>
        </w:rPr>
        <w:t xml:space="preserve">. Abstract Importance Costs of </w:t>
      </w:r>
      <w:r w:rsidRPr="00DD2D90">
        <w:rPr>
          <w:rStyle w:val="StyleUnderline"/>
        </w:rPr>
        <w:t>employer-sponsored health care benefits</w:t>
      </w:r>
      <w:r w:rsidRPr="009278EB">
        <w:rPr>
          <w:sz w:val="16"/>
        </w:rPr>
        <w:t xml:space="preserve"> have </w:t>
      </w:r>
      <w:r w:rsidRPr="00DD2D90">
        <w:rPr>
          <w:rStyle w:val="StyleUnderline"/>
        </w:rPr>
        <w:t>increased faster than workers’ wages</w:t>
      </w:r>
      <w:r w:rsidRPr="009278EB">
        <w:rPr>
          <w:sz w:val="16"/>
        </w:rPr>
        <w:t xml:space="preserve"> </w:t>
      </w:r>
      <w:r w:rsidRPr="00DD2D90">
        <w:rPr>
          <w:rStyle w:val="StyleUnderline"/>
        </w:rPr>
        <w:t>for</w:t>
      </w:r>
      <w:r w:rsidRPr="009278EB">
        <w:rPr>
          <w:sz w:val="16"/>
        </w:rPr>
        <w:t xml:space="preserve"> several </w:t>
      </w:r>
      <w:r w:rsidRPr="00DD2D90">
        <w:rPr>
          <w:rStyle w:val="Emphasis"/>
        </w:rPr>
        <w:t>decades</w:t>
      </w:r>
      <w:r w:rsidRPr="009278EB">
        <w:rPr>
          <w:sz w:val="16"/>
        </w:rPr>
        <w:t xml:space="preserve">, with important implications for disparities in earnings and wage stagnation. Objective To quantify how growth in employer-sponsored health insurance (ESI) premiums may have been associated with reduced annual wages, disparities in earnings by race and ethnicity and wage level, and wage stagnation among US families with ESI. Design, Setting, and Participants In this economic evaluation, serial cross-sectional analyses were performed of US families receiving ESI from 1988 to 2019 based on data from the Consumer Expenditure Survey, Kaiser Employer Health Benefits Survey, US Census Bureau’s Current Population Survey, and federal payroll taxation rates. Statistical analysis was conducted from February 2022 to July 2023. Main Outcomes and Measures Percentage of annual compensation associated with health care premiums (after accounting for tax deductibility) and lost wages associated with growth in cost of premiums from 1989 to 2019 based on 1988 compensation. To assess disparities, analyses were stratified by race and ethnicity and wage level. Results In 1988, 44.7 million individuals (head of household: mean [SD] age, 43.3 [13.1] years; 30.1% were female; and 2.4% identified as Asian, 6.2% as Hispanic, 8.6% as non-Hispanic Black, and 82.8% as non-Hispanic White) were covered by ESI family plans; this number remained similar in 2019 at 44.8 million individuals (head of household: mean [SD] age, 47.1 [12.9] years; 41.3% were female; and 1.3% identified as Asian, 9.9% as Hispanic, 9.9% as non-Hispanic Black, and 78.9% as non-Hispanic White). In 1988, the mean (SD) household size was 3.3 (1.3) people, and in 2019, it was 3.4 (1.3) people. </w:t>
      </w:r>
      <w:r w:rsidRPr="00DD2D90">
        <w:rPr>
          <w:rStyle w:val="StyleUnderline"/>
        </w:rPr>
        <w:t>If</w:t>
      </w:r>
      <w:r w:rsidRPr="009278EB">
        <w:rPr>
          <w:sz w:val="16"/>
        </w:rPr>
        <w:t xml:space="preserve"> </w:t>
      </w:r>
      <w:r w:rsidRPr="00DD2D90">
        <w:rPr>
          <w:rStyle w:val="StyleUnderline"/>
        </w:rPr>
        <w:t>ESI costs had remained at the same proportion of the 1988 average compensation package, then in 2019, the median US family with ESI could have earned $8774</w:t>
      </w:r>
      <w:r w:rsidRPr="009278EB">
        <w:rPr>
          <w:sz w:val="16"/>
        </w:rPr>
        <w:t xml:space="preserve"> (95% CI, $8354-$9195) </w:t>
      </w:r>
      <w:r w:rsidRPr="00DD2D90">
        <w:rPr>
          <w:rStyle w:val="StyleUnderline"/>
        </w:rPr>
        <w:t>more in annual wages</w:t>
      </w:r>
      <w:r w:rsidRPr="009278EB">
        <w:rPr>
          <w:sz w:val="16"/>
        </w:rPr>
        <w:t xml:space="preserve">. During all 32 years, health care premiums as a percentage of compensation were greater for non-Hispanic Black and Hispanic families than for non-Hispanic White families. By 2019, 13.8% (95% CI, 13.5%-14.1%) of compensation among non-Hispanic White families with ESI went to premium costs compared with 19.2% (95% CI, 18.8%-19.7%) among non-Hispanic Black families and 19.8% (19.3%-20.3%) among Hispanic families with ESI. In 2019, health care premiums as a percentage of compensation at the 95th percentile of earnings for families with ESI were 3.9% (95% CI, 3.8%-4.0%) compared with 28.5% (95% CI, 27.8%-29.2%) at the 20th percentile of earnings. From 1988 to 2019, the mean cumulative lost earnings associated with growth in health care premiums for the median US family with ESI was $125 340 (95% CI, $120 155-$130 525) in 2019 dollars, 4.7% of earnings over the 32-year period. Conclusions and Relevance This economic evaluation of US families receiving ESI suggests that 3 decades of increasing health care premiums were likely associated with reduced annual earnings and increased earnings inequality by race and ethnicity and wage level and were meaningfully associated with wage stagnation. Introduction Health disparities and affordability of health care are 2 major challenges affecting US society. Half of US adults believe health care costs are difficult to afford, with differences in affordability reported by race and ethnicity.1 More than half of individuals in the US receive health insurance through an employer,2 and the costs of employer-sponsored health care insurance (ESI) have increased faster than the overall economy for decades.3 The COVID-19 pandemic has reemphasized profound health inequities in the US, forcing the medical community to reevaluate how inequities are maintained today. A potential important yet understudied association between health care affordability and health disparities in the US is indivduals’ stagnant or even decreasing incomes. </w:t>
      </w:r>
      <w:r w:rsidRPr="00DD2D90">
        <w:rPr>
          <w:rStyle w:val="StyleUnderline"/>
        </w:rPr>
        <w:t xml:space="preserve">Since the 1980s, </w:t>
      </w:r>
      <w:r w:rsidRPr="00DD2D90">
        <w:rPr>
          <w:rStyle w:val="StyleUnderline"/>
          <w:highlight w:val="green"/>
        </w:rPr>
        <w:t>real wages</w:t>
      </w:r>
      <w:r w:rsidRPr="009278EB">
        <w:rPr>
          <w:sz w:val="16"/>
          <w:highlight w:val="green"/>
        </w:rPr>
        <w:t xml:space="preserve"> </w:t>
      </w:r>
      <w:r w:rsidRPr="00DD2D90">
        <w:rPr>
          <w:rStyle w:val="StyleUnderline"/>
          <w:highlight w:val="green"/>
        </w:rPr>
        <w:t>have</w:t>
      </w:r>
      <w:r w:rsidRPr="009278EB">
        <w:rPr>
          <w:sz w:val="16"/>
        </w:rPr>
        <w:t xml:space="preserve"> </w:t>
      </w:r>
      <w:r w:rsidRPr="00DD2D90">
        <w:rPr>
          <w:rStyle w:val="StyleUnderline"/>
          <w:highlight w:val="green"/>
        </w:rPr>
        <w:t>increased among</w:t>
      </w:r>
      <w:r w:rsidRPr="00DD2D90">
        <w:rPr>
          <w:rStyle w:val="StyleUnderline"/>
        </w:rPr>
        <w:t xml:space="preserve"> the </w:t>
      </w:r>
      <w:r w:rsidRPr="00DD2D90">
        <w:rPr>
          <w:rStyle w:val="StyleUnderline"/>
          <w:highlight w:val="green"/>
        </w:rPr>
        <w:t>high</w:t>
      </w:r>
      <w:r w:rsidRPr="00DD2D90">
        <w:rPr>
          <w:rStyle w:val="StyleUnderline"/>
        </w:rPr>
        <w:t xml:space="preserve">est </w:t>
      </w:r>
      <w:r w:rsidRPr="00DD2D90">
        <w:rPr>
          <w:rStyle w:val="StyleUnderline"/>
          <w:highlight w:val="green"/>
        </w:rPr>
        <w:t xml:space="preserve">earners but have been </w:t>
      </w:r>
      <w:r w:rsidRPr="00DD2D90">
        <w:rPr>
          <w:rStyle w:val="Emphasis"/>
          <w:highlight w:val="green"/>
        </w:rPr>
        <w:t>flat</w:t>
      </w:r>
      <w:r w:rsidRPr="00DD2D90">
        <w:rPr>
          <w:rStyle w:val="StyleUnderline"/>
        </w:rPr>
        <w:t xml:space="preserve"> </w:t>
      </w:r>
      <w:r w:rsidRPr="00DD2D90">
        <w:rPr>
          <w:rStyle w:val="StyleUnderline"/>
          <w:highlight w:val="green"/>
        </w:rPr>
        <w:t>for</w:t>
      </w:r>
      <w:r w:rsidRPr="00DD2D90">
        <w:rPr>
          <w:rStyle w:val="StyleUnderline"/>
        </w:rPr>
        <w:t xml:space="preserve"> most </w:t>
      </w:r>
      <w:r w:rsidRPr="00DD2D90">
        <w:rPr>
          <w:rStyle w:val="StyleUnderline"/>
          <w:highlight w:val="green"/>
        </w:rPr>
        <w:t>workers</w:t>
      </w:r>
      <w:r w:rsidRPr="009278EB">
        <w:rPr>
          <w:sz w:val="16"/>
        </w:rPr>
        <w:t xml:space="preserve">,3 </w:t>
      </w:r>
      <w:r w:rsidRPr="00DD2D90">
        <w:rPr>
          <w:rStyle w:val="StyleUnderline"/>
          <w:highlight w:val="green"/>
        </w:rPr>
        <w:t>leading to</w:t>
      </w:r>
      <w:r w:rsidRPr="00DD2D90">
        <w:rPr>
          <w:rStyle w:val="StyleUnderline"/>
        </w:rPr>
        <w:t xml:space="preserve"> a </w:t>
      </w:r>
      <w:r w:rsidRPr="00DD2D90">
        <w:rPr>
          <w:rStyle w:val="StyleUnderline"/>
          <w:highlight w:val="green"/>
        </w:rPr>
        <w:t>widening</w:t>
      </w:r>
      <w:r w:rsidRPr="00DD2D90">
        <w:rPr>
          <w:rStyle w:val="StyleUnderline"/>
        </w:rPr>
        <w:t xml:space="preserve"> earnings </w:t>
      </w:r>
      <w:r w:rsidRPr="00DD2D90">
        <w:rPr>
          <w:rStyle w:val="StyleUnderline"/>
          <w:highlight w:val="green"/>
        </w:rPr>
        <w:t>inequality</w:t>
      </w:r>
      <w:r w:rsidRPr="009278EB">
        <w:rPr>
          <w:sz w:val="16"/>
        </w:rPr>
        <w:t xml:space="preserve">.4 During the same period, </w:t>
      </w:r>
      <w:r w:rsidRPr="00DD2D90">
        <w:rPr>
          <w:rStyle w:val="StyleUnderline"/>
        </w:rPr>
        <w:t xml:space="preserve">the costs of employer-paid health care benefits have also increased </w:t>
      </w:r>
      <w:r w:rsidRPr="00DD2D90">
        <w:rPr>
          <w:rStyle w:val="Emphasis"/>
        </w:rPr>
        <w:t>substantially</w:t>
      </w:r>
      <w:r w:rsidRPr="00DD2D90">
        <w:rPr>
          <w:rStyle w:val="StyleUnderline"/>
        </w:rPr>
        <w:t>.</w:t>
      </w:r>
      <w:r w:rsidRPr="009278EB">
        <w:rPr>
          <w:sz w:val="16"/>
        </w:rPr>
        <w:t xml:space="preserve">5 As health </w:t>
      </w:r>
      <w:r w:rsidRPr="00DD2D90">
        <w:rPr>
          <w:rStyle w:val="StyleUnderline"/>
          <w:highlight w:val="green"/>
        </w:rPr>
        <w:t>economists</w:t>
      </w:r>
      <w:r w:rsidRPr="009278EB">
        <w:rPr>
          <w:sz w:val="16"/>
        </w:rPr>
        <w:t xml:space="preserve"> demonstrate, it is </w:t>
      </w:r>
      <w:r w:rsidRPr="00DD2D90">
        <w:rPr>
          <w:rStyle w:val="StyleUnderline"/>
          <w:highlight w:val="green"/>
        </w:rPr>
        <w:t>generally</w:t>
      </w:r>
      <w:r w:rsidRPr="009278EB">
        <w:rPr>
          <w:sz w:val="16"/>
          <w:highlight w:val="green"/>
        </w:rPr>
        <w:t xml:space="preserve"> </w:t>
      </w:r>
      <w:r w:rsidRPr="00DD2D90">
        <w:rPr>
          <w:rStyle w:val="StyleUnderline"/>
          <w:highlight w:val="green"/>
        </w:rPr>
        <w:t>accept</w:t>
      </w:r>
      <w:r w:rsidRPr="009278EB">
        <w:rPr>
          <w:sz w:val="16"/>
        </w:rPr>
        <w:t xml:space="preserve">ed that </w:t>
      </w:r>
      <w:r w:rsidRPr="00DD2D90">
        <w:rPr>
          <w:rStyle w:val="StyleUnderline"/>
          <w:highlight w:val="green"/>
        </w:rPr>
        <w:t xml:space="preserve">increasing </w:t>
      </w:r>
      <w:r w:rsidRPr="00DD2D90">
        <w:rPr>
          <w:rStyle w:val="StyleUnderline"/>
        </w:rPr>
        <w:t xml:space="preserve">health care </w:t>
      </w:r>
      <w:r w:rsidRPr="00DD2D90">
        <w:rPr>
          <w:rStyle w:val="StyleUnderline"/>
          <w:highlight w:val="green"/>
        </w:rPr>
        <w:t>premiums</w:t>
      </w:r>
      <w:r w:rsidRPr="00DD2D90">
        <w:rPr>
          <w:rStyle w:val="StyleUnderline"/>
        </w:rPr>
        <w:t xml:space="preserve"> </w:t>
      </w:r>
      <w:r w:rsidRPr="00DD2D90">
        <w:rPr>
          <w:rStyle w:val="StyleUnderline"/>
          <w:highlight w:val="green"/>
        </w:rPr>
        <w:t>result in lower wages</w:t>
      </w:r>
      <w:r w:rsidRPr="00DD2D90">
        <w:rPr>
          <w:rStyle w:val="StyleUnderline"/>
        </w:rPr>
        <w:t xml:space="preserve"> for employee</w:t>
      </w:r>
      <w:r w:rsidRPr="009278EB">
        <w:rPr>
          <w:sz w:val="16"/>
        </w:rPr>
        <w:t xml:space="preserve">s.6-11 Furthermore, </w:t>
      </w:r>
      <w:r w:rsidRPr="00DD2D90">
        <w:rPr>
          <w:rStyle w:val="StyleUnderline"/>
        </w:rPr>
        <w:t>most employers do not adjust the health care premiums charged to workers by employee earnings</w:t>
      </w:r>
      <w:r w:rsidRPr="009278EB">
        <w:rPr>
          <w:sz w:val="16"/>
        </w:rPr>
        <w:t xml:space="preserve">12; thus, </w:t>
      </w:r>
      <w:r w:rsidRPr="00DD2D90">
        <w:rPr>
          <w:rStyle w:val="StyleUnderline"/>
        </w:rPr>
        <w:t xml:space="preserve">the displacement of wages </w:t>
      </w:r>
      <w:r w:rsidRPr="009278EB">
        <w:rPr>
          <w:sz w:val="16"/>
        </w:rPr>
        <w:t xml:space="preserve">owing to increasing health care premiums </w:t>
      </w:r>
      <w:r w:rsidRPr="00DD2D90">
        <w:rPr>
          <w:rStyle w:val="StyleUnderline"/>
        </w:rPr>
        <w:t>could be particularly problematic for lower-wage workers</w:t>
      </w:r>
      <w:r w:rsidRPr="009278EB">
        <w:rPr>
          <w:sz w:val="16"/>
        </w:rPr>
        <w:t xml:space="preserve">13 </w:t>
      </w:r>
      <w:r w:rsidRPr="00DD2D90">
        <w:rPr>
          <w:rStyle w:val="StyleUnderline"/>
        </w:rPr>
        <w:t xml:space="preserve">and </w:t>
      </w:r>
      <w:r w:rsidRPr="009278EB">
        <w:rPr>
          <w:sz w:val="16"/>
        </w:rPr>
        <w:t>could</w:t>
      </w:r>
      <w:r w:rsidRPr="00DD2D90">
        <w:rPr>
          <w:rStyle w:val="StyleUnderline"/>
        </w:rPr>
        <w:t xml:space="preserve"> be associated with earnings inequality</w:t>
      </w:r>
      <w:r w:rsidRPr="009278EB">
        <w:rPr>
          <w:sz w:val="16"/>
        </w:rPr>
        <w:t xml:space="preserve">.14,15 Little is known about the quantifiable associations with earnings inequality, including by race and ethnicity, of increasing health care premiums among US families with ESI. We investigated 3 underlying questions about the increase in health insurance premiums. First, over 32 years beginning in 1988, how much of annual employee compensation do ESI premiums consume? Second, to what extent has the increase in ESI premiums exacerbated earnings inequality among workers receiving ESI, including by race and ethnicity and wage level? Third, over the 3 decades prior to the COVID-19 pandemic, how much have workers lost in wages due to increases in ESI premium costs? To address these questions, we combined several national data sources to analyze trends among workers with ESI family plans in employer-sponsored health care premiums, wages, and taxation, for 32 years from 1988 to 2019, overall and stratified by earnings bracket and race and ethnicity. Methods Study Design and Participants In this economic evaluation, we used a serial cross-sectional analysis of national data to combine information on US family earnings (wages) among those with ESI, ESI premium costs, and payroll taxation from 1988 to 2019 for our overall sample and stratified by race and ethnicity and wage level. We assessed this period because 1988 was the first year in which the US Census began including Asian as a racial category, and 2019 was the last full year of data prior to large disruptions in employment, wages, and health care coverage caused by the COVID-19 pandemic. We included data on wages only among US families with ESI and did not include families with other health insurance, such as Medicare or Medicaid. All dollar amounts were adjusted for inflation and are reported in 2019 dollars. This investigation was deemed not human participants research by the Tufts University Health Sciences institutional review board because it used publicly available data. Our study adhered to the Consolidated Health Economic Evaluation Reporting Standards (CHEERS) reporting guideline. Data Sources Earnings from work (excluding income from other sources) among workers with ESI were obtained from the US Census Bureau’s Annual Social and Economic Supplements of the Current Population Survey (CPS).16 For consistency with premium costs for a family plan, we assessed family earnings rather than household or individual earnings. The US Census defines a family unit as “a group of 2 people or more related by birth, marriage, or adoption and residing together,”17 which is similar to the requirement most employers use for eligibility for a family plan. We used median wages to depict a “typical” family with ESI because mean wages can be skewed by the highest earners. Race and ethnicity, assessed as sociocultural constructs, were self-reported by CPS participants and evaluated for the head of household in each family. Employer-sponsored health insurance premium costs from 1998 to 2019 were derived from the Kaiser Employer Health Benefits Survey.5 Since its inception in 1998, the annual Kaiser Employer Health Benefits Survey has reported trends in ESI. We extracted data on the national mean health care premium costs for an employer-sponsored family plan for each year from 1998 to 2019. To extend our analysis prior to 1998, we incorporated data from the Bureau of Labor Statistics’ Consumer Expenditure Survey (CES).18 The CES health care premium costs represent the mean premium costs from all sources, including ESI, Medicaid, and Medicare. Consequently, the mean health care premiums reported in the CES would underestimate ESI premiums. To account for this difference, we assessed overlapping years between the Kaiser and CES data from 1998 and 2010 (ending at 2010 due to passage of the Patient Protection and Affordable Care Act) to calculate the mean ratio between the Kaiser data and CES data premium costs. We then applied this ratio retrospectively to the years 1988 to 1998 in the CES data to estimate health care premium costs paid by the employee and employer during these years. Health economists have demonstrated in multiple cases that employees bear the costs of both employee and employer contributions to ESI through reduced wages.6-11 Therefore, we included both employer-paid and employee-paid premiums because together they represent the full costs of a health care benefit package that could partially displace wages. Employer-sponsored health care insurance spending is not subject to income or payroll taxes. Other studies have shown that the displacement of wages associated with ESI costs is mitigated slightly by ESI’s tax deductibility8,19 and that reductions in wages may lag a few years because of employee contracts and employer uncertainty about health care cost changes. Thus, we assumed that health care premium increases would displace wages, although not exactly dollar-for-dollar owing to payroll taxation.8 Statistical Analysis Statistical analysis was conducted from February 2022 to July 2023. To estimate net premium costs, we accounted for the taxation on the additional wages earned if an employee hypothetically received the value of their health insurance as additional wages (and did not receive any health insurance). We subtracted this additional, hypothetical tax burden from the actual premium costs to calculate the net premium costs. We applied the federal payroll tax rate in each year from 1988 to 201920 to the median annual earnings for our overall sample and to the median annual earnings for each subgroup (ie, Asian, Hispanic, non-Hispanic Black [hereafter, Black], and non-Hispanic White [hereafter, White] and the 20th, 40th, 60th, 80th, and 95th percentiles of earnings among families with ESI). The benefits of tax deductibility are greater for higher-paid workers who are taxed at a higher rate; thus, the net premium costs are higher for lower-paid workers after accounting for their tax deductibility. All analyses used the specific net health insurance premium costs for each subgroup. We hereafter use the term compensation to describe the combined value of wages and health care premiums, while acknowledging that total compensation may include additional benefits, such as paid time off or retirement fund contributions. We recognized that wages and health care benefits are the major, but not only, components of a compensation package that employers offer. The annual dollar value of other employee benefits, including retirement fund contributions and paid time off, were not available for our study population for all years in the analysis. Other nationally representative analyses suggest that contributions to retirement funds have decreased during large portions of our study years, while paid time off as a percentage of employee compensation has remained relatively constant.21,22 We chose not to include out-of-pocket medical costs because these are distinct from employee compensation and because premiums are a fixed component of employee compensation. Given trends in increasing out-of-pocket medical spending,23,24 this exclusion of out-of-pocket costs likely underestimates the negative association of higher health care costs generally with family economic well-being. To calculate the annual compensation package for the median US family with ESI, we summed median family earnings plus net premium costs for a family plan, adding contributions from both the employee and the employer. This approach recognizes that </w:t>
      </w:r>
      <w:r w:rsidRPr="00DD2D90">
        <w:rPr>
          <w:rStyle w:val="StyleUnderline"/>
        </w:rPr>
        <w:t>wages and health care premiums</w:t>
      </w:r>
      <w:r w:rsidRPr="009278EB">
        <w:rPr>
          <w:sz w:val="16"/>
        </w:rPr>
        <w:t xml:space="preserve"> paid by an employer reasonably </w:t>
      </w:r>
      <w:r w:rsidRPr="00DD2D90">
        <w:rPr>
          <w:rStyle w:val="StyleUnderline"/>
        </w:rPr>
        <w:t>represent a</w:t>
      </w:r>
      <w:r w:rsidRPr="009278EB">
        <w:rPr>
          <w:sz w:val="16"/>
        </w:rPr>
        <w:t xml:space="preserve"> </w:t>
      </w:r>
      <w:r w:rsidRPr="00DD2D90">
        <w:rPr>
          <w:rStyle w:val="StyleUnderline"/>
        </w:rPr>
        <w:t>compensation</w:t>
      </w:r>
      <w:r w:rsidRPr="009278EB">
        <w:rPr>
          <w:sz w:val="16"/>
        </w:rPr>
        <w:t xml:space="preserve"> </w:t>
      </w:r>
      <w:r w:rsidRPr="00DD2D90">
        <w:rPr>
          <w:rStyle w:val="StyleUnderline"/>
        </w:rPr>
        <w:t>package</w:t>
      </w:r>
      <w:r w:rsidRPr="009278EB">
        <w:rPr>
          <w:sz w:val="16"/>
        </w:rPr>
        <w:t xml:space="preserve"> that an employer is willing to pay, </w:t>
      </w:r>
      <w:r w:rsidRPr="00DD2D90">
        <w:rPr>
          <w:rStyle w:val="StyleUnderline"/>
        </w:rPr>
        <w:t>with employee premiums</w:t>
      </w:r>
      <w:r w:rsidRPr="009278EB">
        <w:rPr>
          <w:sz w:val="16"/>
        </w:rPr>
        <w:t xml:space="preserve"> further </w:t>
      </w:r>
      <w:r w:rsidRPr="00DD2D90">
        <w:rPr>
          <w:rStyle w:val="StyleUnderline"/>
        </w:rPr>
        <w:t>offsetting wages</w:t>
      </w:r>
      <w:r w:rsidRPr="009278EB">
        <w:rPr>
          <w:sz w:val="16"/>
        </w:rPr>
        <w:t xml:space="preserve"> for the employee.8 The primary outcome was the percentage of the employee compensation (ie, wages plus net premium costs) associated with health care premiums in each year among workers with ESI and then stratified by race and ethnicity (Asian, Black, Hispanic, and White) and by wage level (20th, 40th, 60th, 80th, and 95th percentiles of family earnings) among workers with ESI. In each year beginning in 1989, we also estimated potential lost annual earnings associated with increasing health care premiums based on the 1988 compensation. We first estimated counterfactual net premium costs in each year from 1989 to 2019 as if the percentage of employee compensation associated with health care premiums in each year remained at the 1988 levels. Then, we calculated the difference in the actual net premium costs and our counterfactual net premium costs based on the 1988 compensation package and report this difference as the lost earnings associated with increasing ESI costs in each year. Finally, we summed the lost earnings for all 32 years to report the total lost wages for the median family with ESI associated with increasing health insurance premiums over the study period. We used Wald tests to assess the statistical significance of the trends in each analysis, with a 2-sided P &lt; .05 considered significant. Analyses were conducted in Stata SE, version 18 (StataCorp LLP) and Microsoft Excel (Microsoft Corp). Results In 1988, 44.7 million people were covered by ESI family plans. The head of household had a mean (SD) age of 43.3 (13.1) years, 30.1% were female, and 2.4% identified as Asian, 8.6% as Black, 6.2% as Hispanic, and 82.8% as White (Table); the mean (SD) household size was 3.3 (1.3) people. In 2019, the population was generally similar, with 44.8 million people covered under ESI family plans. In 2019, the head of household had a mean (SD) age of 47.1 (12.9) years, 41.3% were female, and 1.3% identified as Asian, 9.9% as Black, 9.9% as Hispanic, and 78.9% as White; the mean (SD) household size was 3.4 (1.3) people. In 2019, the median US family with ESI earned approximately $17 000 more annually in 2019 US dollars than families in 1988 (median, $94 860 [IQR, $56 505-$151 168] vs $77 540 [IQR, $47 500-$112 400]). In 1988, the median annual US family income among workers with ESI was $77 540 (IQR, $47 500-$112 400), and the mean health care premium cost paid by both employer and employee for a family plan was $6230 (95% CI, $6110-$6340) (all dollar amounts adjusted for inflation to 2019 dollars). Accounting for their tax deductibility, the net mean premium cost was $4485 (95% CI, $4400-$4570) in 1988. Starting in 1989 and for every year through 2019, health care premium growth was greater than earnings growth for US families with ESI. In 1988, health care premiums represented a mean of 7.9% (95% CI, 7.6%-8.2%) of compensation (wages plus premiums) and by 2019 increased significantly to a mean of 17.7% (95% CI, 17.0%-18.3%) of compensation (P &lt; .001). In each year from 1988 to 2019, health care premiums represented a higher percentage of compensation for Black and Hispanic families than for Asian and White families among families with ESI (Figure 1). In 1988, health care premiums as a percentage of compensation were a mean of 7.8% (95% CI, 7.6%-8.0%) for Black families and 6.4% (95% CI, 6.2%-6.5%) for Hispanic families with ESI while proportionally less for Asian and White families at 4.9% (95% CI, 4.8%-5.0%) and 5.8% (95% CI, 5.6%-5.9%) of compensation, respectively (P &lt; .001). Over 32 years, disparities increased in absolute 2019 dollars. By 2019, health care premiums as a percentage of compensation cost were a mean of 18.5% (95% CI, 18.0%-19.0%) for Asian families, 19.2% (95% CI, 18.8%-19.7%) for Black families, and 19.8% (95% CI, 19.3%-20.3%) for Hispanic families, while they were only 13.8% (95% CI, 13.5%-14.1%) for White families (P &lt; .001). Between 1988 and 2019, health care premiums more than doubled as a percentage of compensation for every earnings bracket among US families with ESI (Figure 2). However, in 2019, health care premiums as a percentage of compensation cost were only a mean of 3.9% (95% CI, 3.8%-4.0%) for families with ESI at the 95th percentile of earnings, an increase from 2.0% (95% CI, 1.9%-2.1%) in 1988. In contrast, health care premiums as a percentage of compensation for families with ESI at the 20th percentile of earnings were a mean of 28.5% in 2019 (95% CI, 27.8%-29.2%), an increase from 12.9% (95% CI, 12.7%-13.2%) in 1988. This inequity between earning brackets in health care premium expenditures as a percentage of compensation peaked in 2014, with modest decreases thereafter. Over the course of these 32 years, the mean cumulative lost earnings associated with increasing health care premiums was $125 340 (95% CI, $120 155-$130 525), equal to 4.7% of total earnings for the median family receiving ESI during the study period (Figure 3). If health care premium costs for families with ESI had increased but remained at the same proportion of the 1988 compensation package (at 5.5%), then by 2019 the projected median US family earnings would have been $104 774 (95% CI, $102 262-$107 287), an $8774 (95% CI, $8354-$9195) increase over the observed median earnings of $96 000 (IQR, $56 000-$150 000). Disparities in lost wages by race and ethnicity were also evident, with the lost earnings associated with increasing premium costs representing 7.5% (95% CI, 7.3%-7.6%) of compensation for White families in 2019, whereas they represented 9.6% (95% CI, 9.4%-9.8%) of compensation for Black families and 9.3% (95% CI, 9.0%-9.5%) for Hispanic families with ESI. To explore if household size may partially mitigate the inequities observed by race and ethnicity, we assessed household size among families with ESI. In 2019, White households receiving ESI had a mean (SD) household size of 3.2 (1.7) people, modestly smaller than for Asian (3.7 [1.8]), Black (3.4 [1.4]), or Hispanic (3.9 [1.5]) households. Discussion Our analysis suggests that increasing health insurance premium costs were associated with decreased annual wages and increased earnings inequality by race and ethnicity and wage level and were likely associated with meaningful wage stagnation among US families receiving ESI. From 1988 to 2019, health insurance premiums increased from 7.9% of compensation (wages plus premiums) to 17.7% of compensation for US families with ESI. Moreover, Black and Hispanic families with ESI lost a higher percentage of their wages than White families with ESI to increasing health care premiums. By 2019, health care premiums as a percentage of compensation were 19.2% for Black families and 19.8% for Hispanic families, while they were only 13.8% for White families. We also observed large disparities in health care premiums by wage level. In 2019, health care premiums as a percentage of compensation represented 28.5% of compensation for families at the 20th percentile of earnings compared with only 3.9% for families at the 95th percentile of earnings—a 9-fold difference in the proportion of health care premiums as a percentage of compensation. The increasing health insurance premiums since 1988 contributed to nearly $9000 in annual lost earnings in 2019 and $125 000 in cumulative median lost earnings over the 32-year period. Several points require additional emphasis. First, this study revealed that racial and ethnic earning disparities associated with health insurance premium growth have increased over time. Due to long-standing structural racism across the US economy, including in education and hiring, a larger proportion of Black and Hispanic workers than White workers have been employed in lower-paying jobs. This pattern holds true even among workers with ESI, as our analysis found. By receiving lower earnings historically, Black and Hispanic households shoulder a greater proportion of the increase in health care premiums as a percentage of their compensation, a trend that persisted throughout all 3 decades of our analysis. Thus, ESI may partially maintain interconnected historical inequities surrounding structural racism, earnings, and health care use. These findings are consistent with recent polling in which 60% of Black adults and 65% of Hispanic adults reported difficulty in affording health care costs compared with 39% of White adults.1 Second, the relative value of an ESI family plan depends partly on household size. Many plans have a set rate for families regardless of household size, meaning that larger households may receive a relatively better value on their premiums than smaller households who are paying similar costs. In 2019, White households receiving ESI had a mean (SD) household size of 3.2 (1.7) people, modestly smaller than for Asian (3.7 [1.8]), Black (3.4 [1.4]), or Hispanic (3.9 [1.5]) households. Thus, differences in the number of people covered could be considered to slightly mitigate the racial inequities of increasing premium costs, although the association with actual lost wages remains. Third, </w:t>
      </w:r>
      <w:r w:rsidRPr="00DD2D90">
        <w:rPr>
          <w:rStyle w:val="StyleUnderline"/>
          <w:highlight w:val="green"/>
        </w:rPr>
        <w:t>the</w:t>
      </w:r>
      <w:r w:rsidRPr="009278EB">
        <w:rPr>
          <w:sz w:val="16"/>
          <w:highlight w:val="green"/>
        </w:rPr>
        <w:t xml:space="preserve"> </w:t>
      </w:r>
      <w:r w:rsidRPr="00DD2D90">
        <w:rPr>
          <w:rStyle w:val="StyleUnderline"/>
          <w:highlight w:val="green"/>
        </w:rPr>
        <w:t>loss of $9000 in</w:t>
      </w:r>
      <w:r w:rsidRPr="00DD2D90">
        <w:rPr>
          <w:rStyle w:val="StyleUnderline"/>
        </w:rPr>
        <w:t xml:space="preserve"> 2019 </w:t>
      </w:r>
      <w:r w:rsidRPr="00DD2D90">
        <w:rPr>
          <w:rStyle w:val="StyleUnderline"/>
          <w:highlight w:val="green"/>
        </w:rPr>
        <w:t>wages</w:t>
      </w:r>
      <w:r w:rsidRPr="00DD2D90">
        <w:rPr>
          <w:rStyle w:val="StyleUnderline"/>
        </w:rPr>
        <w:t xml:space="preserve"> due to premium increases since 1989 </w:t>
      </w:r>
      <w:r w:rsidRPr="00DD2D90">
        <w:rPr>
          <w:rStyle w:val="StyleUnderline"/>
          <w:highlight w:val="green"/>
        </w:rPr>
        <w:t xml:space="preserve">has </w:t>
      </w:r>
      <w:r w:rsidRPr="00DD2D90">
        <w:rPr>
          <w:rStyle w:val="Emphasis"/>
          <w:highlight w:val="green"/>
        </w:rPr>
        <w:t>real consequences</w:t>
      </w:r>
      <w:r w:rsidRPr="00DD2D90">
        <w:rPr>
          <w:rStyle w:val="StyleUnderline"/>
        </w:rPr>
        <w:t xml:space="preserve"> for US families, especially for those with economic insecurities. For example, </w:t>
      </w:r>
      <w:r w:rsidRPr="00DD2D90">
        <w:rPr>
          <w:rStyle w:val="Emphasis"/>
          <w:highlight w:val="green"/>
        </w:rPr>
        <w:t>one-third</w:t>
      </w:r>
      <w:r w:rsidRPr="00DD2D90">
        <w:rPr>
          <w:rStyle w:val="StyleUnderline"/>
        </w:rPr>
        <w:t xml:space="preserve"> of US adults </w:t>
      </w:r>
      <w:r w:rsidRPr="00DD2D90">
        <w:rPr>
          <w:rStyle w:val="StyleUnderline"/>
          <w:highlight w:val="green"/>
        </w:rPr>
        <w:t>cannot afford a surprise $400 expense</w:t>
      </w:r>
      <w:r w:rsidRPr="009278EB">
        <w:rPr>
          <w:sz w:val="16"/>
        </w:rPr>
        <w:t xml:space="preserve">,25 </w:t>
      </w:r>
      <w:r w:rsidRPr="00DD2D90">
        <w:rPr>
          <w:rStyle w:val="StyleUnderline"/>
        </w:rPr>
        <w:t xml:space="preserve">and </w:t>
      </w:r>
      <w:r w:rsidRPr="00DD2D90">
        <w:rPr>
          <w:rStyle w:val="Emphasis"/>
          <w:highlight w:val="green"/>
        </w:rPr>
        <w:t>1 in 5</w:t>
      </w:r>
      <w:r w:rsidRPr="00DD2D90">
        <w:rPr>
          <w:rStyle w:val="StyleUnderline"/>
        </w:rPr>
        <w:t xml:space="preserve"> US </w:t>
      </w:r>
      <w:r w:rsidRPr="00DD2D90">
        <w:rPr>
          <w:rStyle w:val="StyleUnderline"/>
          <w:highlight w:val="green"/>
        </w:rPr>
        <w:t>households has medical</w:t>
      </w:r>
      <w:r w:rsidRPr="00DD2D90">
        <w:rPr>
          <w:rStyle w:val="StyleUnderline"/>
        </w:rPr>
        <w:t xml:space="preserve"> </w:t>
      </w:r>
      <w:r w:rsidRPr="00DD2D90">
        <w:rPr>
          <w:rStyle w:val="StyleUnderline"/>
          <w:highlight w:val="green"/>
        </w:rPr>
        <w:t>debt</w:t>
      </w:r>
      <w:r w:rsidRPr="00DD2D90">
        <w:rPr>
          <w:rStyle w:val="StyleUnderline"/>
        </w:rPr>
        <w:t xml:space="preserve"> (median debt, $2000)</w:t>
      </w:r>
      <w:r w:rsidRPr="009278EB">
        <w:rPr>
          <w:sz w:val="16"/>
        </w:rPr>
        <w:t xml:space="preserve">.26 As our analyses found, increasing premium costs are particularly problematic for lower-paid workers, which could place their families at greater risk of economic instability. Fourth, this study builds on existing literature showing that increasing premium costs are associated with wage stagnation.6-11 For example, previous studies found that </w:t>
      </w:r>
      <w:r w:rsidRPr="00DD2D90">
        <w:rPr>
          <w:rStyle w:val="StyleUnderline"/>
          <w:highlight w:val="green"/>
        </w:rPr>
        <w:t>a 10% increase in</w:t>
      </w:r>
      <w:r w:rsidRPr="00DD2D90">
        <w:rPr>
          <w:rStyle w:val="StyleUnderline"/>
        </w:rPr>
        <w:t xml:space="preserve"> health insurance </w:t>
      </w:r>
      <w:r w:rsidRPr="00DD2D90">
        <w:rPr>
          <w:rStyle w:val="StyleUnderline"/>
          <w:highlight w:val="green"/>
        </w:rPr>
        <w:t>premiums reduced wages by 2.3%</w:t>
      </w:r>
      <w:r w:rsidRPr="009278EB">
        <w:rPr>
          <w:sz w:val="16"/>
        </w:rPr>
        <w:t xml:space="preserve">9 and that about </w:t>
      </w:r>
      <w:r w:rsidRPr="00DD2D90">
        <w:rPr>
          <w:rStyle w:val="Emphasis"/>
          <w:highlight w:val="green"/>
        </w:rPr>
        <w:t>two-thirds</w:t>
      </w:r>
      <w:r w:rsidRPr="00DD2D90">
        <w:rPr>
          <w:rStyle w:val="StyleUnderline"/>
        </w:rPr>
        <w:t xml:space="preserve"> </w:t>
      </w:r>
      <w:r w:rsidRPr="00DD2D90">
        <w:rPr>
          <w:rStyle w:val="StyleUnderline"/>
          <w:highlight w:val="green"/>
        </w:rPr>
        <w:t>of</w:t>
      </w:r>
      <w:r w:rsidRPr="00DD2D90">
        <w:rPr>
          <w:rStyle w:val="StyleUnderline"/>
        </w:rPr>
        <w:t xml:space="preserve"> health insurance </w:t>
      </w:r>
      <w:r w:rsidRPr="00DD2D90">
        <w:rPr>
          <w:rStyle w:val="StyleUnderline"/>
          <w:highlight w:val="green"/>
        </w:rPr>
        <w:t>premium growth was compensated through lower wages</w:t>
      </w:r>
      <w:r w:rsidRPr="009278EB">
        <w:rPr>
          <w:sz w:val="16"/>
        </w:rPr>
        <w:t xml:space="preserve">10 (consistent with our analysis when accounting for tax deductibility of health care premiums). Another analysis concluded that </w:t>
      </w:r>
      <w:r w:rsidRPr="00DD2D90">
        <w:rPr>
          <w:rStyle w:val="StyleUnderline"/>
        </w:rPr>
        <w:t>increasing health care costs from 1999 to 2009 caused families to lose an estimated $5600 per year in wages by 2009</w:t>
      </w:r>
      <w:r w:rsidRPr="009278EB">
        <w:rPr>
          <w:sz w:val="16"/>
        </w:rPr>
        <w:t xml:space="preserve">.8 Faced with excessive premium growth, some </w:t>
      </w:r>
      <w:r w:rsidRPr="00DD2D90">
        <w:rPr>
          <w:rStyle w:val="StyleUnderline"/>
          <w:highlight w:val="green"/>
        </w:rPr>
        <w:t>employers</w:t>
      </w:r>
      <w:r w:rsidRPr="009278EB">
        <w:rPr>
          <w:sz w:val="16"/>
        </w:rPr>
        <w:t xml:space="preserve"> are also </w:t>
      </w:r>
      <w:r w:rsidRPr="00DD2D90">
        <w:rPr>
          <w:rStyle w:val="StyleUnderline"/>
          <w:highlight w:val="green"/>
        </w:rPr>
        <w:t>respond</w:t>
      </w:r>
      <w:r w:rsidRPr="00DD2D90">
        <w:rPr>
          <w:rStyle w:val="StyleUnderline"/>
        </w:rPr>
        <w:t xml:space="preserve">ing by pivoting to greater employee cost sharing </w:t>
      </w:r>
      <w:r w:rsidRPr="00DD2D90">
        <w:rPr>
          <w:rStyle w:val="StyleUnderline"/>
          <w:highlight w:val="green"/>
        </w:rPr>
        <w:t>through high-deductible plans, reducing plan generosity, or by shifting employees to part-time work</w:t>
      </w:r>
      <w:r w:rsidRPr="009278EB">
        <w:rPr>
          <w:sz w:val="16"/>
        </w:rPr>
        <w:t xml:space="preserve">.6,9,27 Our finding that families with ESI may have lost up to $125 000 over 3 decades due to increasing premium costs is consistent with former studies6-10 and provides important new evidence on long-term associations over a 30-year career. Fifth, few ESI plans vary premium costs by the wage level of the employee,12 making increasing health care premiums more burdensome for lower-wage workers. Our findings should be interpreted to apply to most ESI plans that do not vary premium costs by wage level. Plans that offer more affordable premiums to lower-wage workers could help improve earnings inequality amid increasing health care premiums. However, even among the few large employers that adjust premium costs by earnings level, </w:t>
      </w:r>
      <w:r w:rsidRPr="00DD2D90">
        <w:rPr>
          <w:rStyle w:val="StyleUnderline"/>
          <w:highlight w:val="green"/>
        </w:rPr>
        <w:t>the relative price</w:t>
      </w:r>
      <w:r w:rsidRPr="00DD2D90">
        <w:rPr>
          <w:rStyle w:val="StyleUnderline"/>
        </w:rPr>
        <w:t xml:space="preserve"> of premiums </w:t>
      </w:r>
      <w:r w:rsidRPr="00DD2D90">
        <w:rPr>
          <w:rStyle w:val="StyleUnderline"/>
          <w:highlight w:val="green"/>
        </w:rPr>
        <w:t>is</w:t>
      </w:r>
      <w:r w:rsidRPr="00DD2D90">
        <w:rPr>
          <w:rStyle w:val="StyleUnderline"/>
        </w:rPr>
        <w:t xml:space="preserve"> often </w:t>
      </w:r>
      <w:r w:rsidRPr="00DD2D90">
        <w:rPr>
          <w:rStyle w:val="StyleUnderline"/>
          <w:highlight w:val="green"/>
        </w:rPr>
        <w:t>not</w:t>
      </w:r>
      <w:r w:rsidRPr="00DD2D90">
        <w:rPr>
          <w:rStyle w:val="StyleUnderline"/>
        </w:rPr>
        <w:t xml:space="preserve"> directly </w:t>
      </w:r>
      <w:r w:rsidRPr="00DD2D90">
        <w:rPr>
          <w:rStyle w:val="StyleUnderline"/>
          <w:highlight w:val="green"/>
        </w:rPr>
        <w:t>proportional to the earnings gap between the highest-paid and lowest-paid workers</w:t>
      </w:r>
      <w:r w:rsidRPr="00DD2D90">
        <w:rPr>
          <w:rStyle w:val="StyleUnderline"/>
        </w:rPr>
        <w:t xml:space="preserve"> in the company</w:t>
      </w:r>
      <w:r w:rsidRPr="009278EB">
        <w:rPr>
          <w:sz w:val="16"/>
        </w:rPr>
        <w:t xml:space="preserve">,28 meaning </w:t>
      </w:r>
      <w:r w:rsidRPr="00DD2D90">
        <w:rPr>
          <w:rStyle w:val="StyleUnderline"/>
          <w:highlight w:val="green"/>
        </w:rPr>
        <w:t>low-income workers</w:t>
      </w:r>
      <w:r w:rsidRPr="00DD2D90">
        <w:rPr>
          <w:rStyle w:val="StyleUnderline"/>
        </w:rPr>
        <w:t xml:space="preserve"> still </w:t>
      </w:r>
      <w:r w:rsidRPr="00DD2D90">
        <w:rPr>
          <w:rStyle w:val="StyleUnderline"/>
          <w:highlight w:val="green"/>
        </w:rPr>
        <w:t>pay a greater percentage of their income to premiums</w:t>
      </w:r>
      <w:r w:rsidRPr="009278EB">
        <w:rPr>
          <w:sz w:val="16"/>
        </w:rPr>
        <w:t xml:space="preserve">. Our findings that </w:t>
      </w:r>
      <w:r w:rsidRPr="00DD2D90">
        <w:rPr>
          <w:rStyle w:val="StyleUnderline"/>
        </w:rPr>
        <w:t>lower-wage workers contribute more to ESI premiums as a percentage of their compensation</w:t>
      </w:r>
      <w:r w:rsidRPr="009278EB">
        <w:rPr>
          <w:sz w:val="16"/>
        </w:rPr>
        <w:t xml:space="preserve"> aligns with evidence that, across the entire US health care system, </w:t>
      </w:r>
      <w:r w:rsidRPr="00DD2D90">
        <w:rPr>
          <w:rStyle w:val="StyleUnderline"/>
        </w:rPr>
        <w:t>the burden of health care financing is greater for lower-income than higher-income households</w:t>
      </w:r>
      <w:r w:rsidRPr="009278EB">
        <w:rPr>
          <w:sz w:val="16"/>
        </w:rPr>
        <w:t xml:space="preserve">.29 Economists, such as Kaestner and Lubotsky,30 have further noted that the tax deductibility of health care premiums has a modest adverse association with income inequality because the net premium costs (ie, pretax value) are effectively lower for employees in the highest tax brackets. They found that eliminating the tax deductibility of health care premiums reduces the ratio of the 90th to the 10th percentile after-tax income distribution by approximately 4%.30 Others have commented that ESI taxation in practice could be regressive because health benefits account for a larger share of compensation for low-income employees who thus would pay a higher percentage of their income to taxes.31 Other nations, such as Canada and England, have a health insurance system that is separate from employment. </w:t>
      </w:r>
      <w:r w:rsidRPr="00DD2D90">
        <w:rPr>
          <w:rStyle w:val="StyleUnderline"/>
          <w:highlight w:val="green"/>
        </w:rPr>
        <w:t>Expanding</w:t>
      </w:r>
      <w:r w:rsidRPr="00DD2D90">
        <w:rPr>
          <w:rStyle w:val="StyleUnderline"/>
        </w:rPr>
        <w:t xml:space="preserve"> US </w:t>
      </w:r>
      <w:r w:rsidRPr="00DD2D90">
        <w:rPr>
          <w:rStyle w:val="Emphasis"/>
          <w:highlight w:val="green"/>
        </w:rPr>
        <w:t>public insurance</w:t>
      </w:r>
      <w:r w:rsidRPr="00DD2D90">
        <w:rPr>
          <w:rStyle w:val="StyleUnderline"/>
        </w:rPr>
        <w:t xml:space="preserve"> programs, such as Medicaid and Medicare, </w:t>
      </w:r>
      <w:r w:rsidRPr="00DD2D90">
        <w:rPr>
          <w:rStyle w:val="StyleUnderline"/>
          <w:highlight w:val="green"/>
        </w:rPr>
        <w:t>has been promoted</w:t>
      </w:r>
      <w:r w:rsidRPr="00DD2D90">
        <w:rPr>
          <w:rStyle w:val="StyleUnderline"/>
        </w:rPr>
        <w:t xml:space="preserve"> by some </w:t>
      </w:r>
      <w:r w:rsidRPr="00DD2D90">
        <w:rPr>
          <w:rStyle w:val="StyleUnderline"/>
          <w:highlight w:val="green"/>
        </w:rPr>
        <w:t>as a means to improve equity</w:t>
      </w:r>
      <w:r w:rsidRPr="009278EB">
        <w:rPr>
          <w:sz w:val="16"/>
        </w:rPr>
        <w:t xml:space="preserve">.32 However, even with increasing premium costs, recent surveys show high worker satisfaction with ESI coverage.33 Prior to the passage of the Patient Protection and Affordable Care Act, ESI was voluntarily provided to recruit and retain talented employees. The Patient Protection and Affordable Care Act now requires companies with 50 or more employees to provide basic health insurance coverage,34 although companies still compete on the overall benefits and costs of such coverage. Strengths and Limitations Our investigation has several strengths. First, our study adds important new evidence that increasing premium costs may increase earnings inequality, including by race and ethnicity, among families receiving ESI. Second, to our knowledge, this is the first study to assess 30-year growth in the percentage of compensation associated with ESI premium costs and its association with wage stagnation among US families with ESI. Third, we combined data from large, nationally representative data sets on ESI costs and family earnings to focus on families with ESI and potential disparities. Fourth, the analysis incorporated the full costs of ESI premiums by including costs paid by employees and their employers. Fifth, our analyses accounted for relevant payroll taxation rates in each year for each subgroup’s annual earnings. This approach acknowledges that employers do not pay taxes on premiums, and thus net premium costs are lower than would appear without consideration of taxation. Our analysis also has some limitations. First, our study design cannot determine causality, and employers may not redirect all savings associated with slower premium growth toward increased employee pay. For example, employers may instead invest in capital, new business ventures, or an expanded workforce. Nonetheless, premium growth represents an opportunity loss for higher wages within the budgeted costs for employee compensation, and prior research has documented associations between health care premium increases and depressed wages.6-11 Second, increasing premiums could be offset by reductions in other employer-sponsored benefits, such as vacation time or retirement fund contributions; however, data limitations prevented us from exploring these associations. Historical trends support potential decreasing employer contributions to retirement funds and unchanged amounts of paid time off as a percentage of employee compensation over large portions of the study period.21,22 Thus, our findings may underestimate the true economic costs to families of increasing ESI premiums if greater premium costs not only cut into wages but also degrade the generosity of other benefits because employers have a finite amount of money to contribute to combined employee pay and benefits. Whether premium growth has also exacerbated racial and ethnic wealth gaps in retirement savings is an area for future research. Third, these findings are applicable to US families with ESI family plans with fixed premium costs for all earnings levels and are not generalizable to US families with non-ESI plans nor to uninsured families. Fourth, some employees may be willing to receive lower wages if costlier premiums buy higher-quality health care, such as coverage of new medications and treatments. </w:t>
      </w:r>
      <w:r w:rsidRPr="00DD2D90">
        <w:rPr>
          <w:rStyle w:val="StyleUnderline"/>
        </w:rPr>
        <w:t>Although health care spending increased faster in the US than in other high-income countries</w:t>
      </w:r>
      <w:r w:rsidRPr="009278EB">
        <w:rPr>
          <w:sz w:val="16"/>
        </w:rPr>
        <w:t xml:space="preserve"> during our 32-year study period, </w:t>
      </w:r>
      <w:r w:rsidRPr="00DD2D90">
        <w:rPr>
          <w:rStyle w:val="StyleUnderline"/>
        </w:rPr>
        <w:t xml:space="preserve">the US continues to have the </w:t>
      </w:r>
      <w:r w:rsidRPr="00DD2D90">
        <w:rPr>
          <w:rStyle w:val="Emphasis"/>
        </w:rPr>
        <w:t>highest</w:t>
      </w:r>
      <w:r w:rsidRPr="00DD2D90">
        <w:rPr>
          <w:rStyle w:val="StyleUnderline"/>
        </w:rPr>
        <w:t xml:space="preserve"> maternal and infant mortality, the lowest life expectancy at birth, and the highest </w:t>
      </w:r>
      <w:r w:rsidRPr="00DD2D90">
        <w:rPr>
          <w:rStyle w:val="Emphasis"/>
        </w:rPr>
        <w:t>death rates</w:t>
      </w:r>
      <w:r w:rsidRPr="00DD2D90">
        <w:rPr>
          <w:rStyle w:val="StyleUnderline"/>
        </w:rPr>
        <w:t xml:space="preserve"> for avoidable or treatable conditions among high-income countries, suggesting that increased health care spending does not guarantee better population-level health outcomes</w:t>
      </w:r>
      <w:r w:rsidRPr="009278EB">
        <w:rPr>
          <w:sz w:val="16"/>
        </w:rPr>
        <w:t>.35 Fifth, we did not incorporate state income tax rates in our net premium cost calculations. However, state income taxes are typically small compared with federal payroll taxes (the mean state income tax in 2022 was only 2.1%),36 and a handful of states do not levy income taxes; thus, their inclusion would likely have little effect on our findings. Sixth, our analysis does not account for increasing personal deductibles and other out-of-pocket medical expenses; thus, our findings likely underestimate the full negative association of increasing health care costs with economic disparities by race and ethnicity and wage level. Conclusions This economic evaluation of US families with ESI suggests that increasing health care premiums were associated with decreased annual earnings and increased earnings inequality, including by race and ethnicity and wage level, and were also associated with reduced median cumulative family earnings by approximately $125 000 over 32 years. Our results depict the hidden costs of increasing health insurance premiums for the US worker: less opportunity for wage growth and a heavier burden of health insurance premiums on lower-paid workers and on Black and Hispanic workers. Our analysis suggests a need for future research and for a corresponding US health care policy to examine the role that increasing health care premiums play in stagnating employee wages and increasing income inequality.</w:t>
      </w:r>
    </w:p>
    <w:p w14:paraId="472DDDC5" w14:textId="77777777" w:rsidR="00EA6776" w:rsidRPr="009278EB" w:rsidRDefault="00EA6776">
      <w:pPr>
        <w:rPr>
          <w:rFonts w:eastAsiaTheme="majorEastAsia" w:cstheme="majorBidi"/>
          <w:b/>
          <w:iCs/>
          <w:sz w:val="16"/>
        </w:rPr>
      </w:pPr>
      <w:r w:rsidRPr="009278EB">
        <w:rPr>
          <w:sz w:val="16"/>
        </w:rPr>
        <w:br w:type="page"/>
      </w:r>
    </w:p>
    <w:p w14:paraId="0F809867" w14:textId="21F1754D" w:rsidR="00026E60" w:rsidRPr="009278EB" w:rsidRDefault="00026E60" w:rsidP="00026E60">
      <w:pPr>
        <w:pStyle w:val="Heading4"/>
        <w:rPr>
          <w:szCs w:val="26"/>
        </w:rPr>
      </w:pPr>
      <w:r w:rsidRPr="009278EB">
        <w:rPr>
          <w:szCs w:val="26"/>
        </w:rPr>
        <w:t>Universal healthcare is key to renegotiating an egalitarian and collectivist social contract to reduce inequality and promote social solidarity.</w:t>
      </w:r>
    </w:p>
    <w:p w14:paraId="53635619" w14:textId="77777777" w:rsidR="00026E60" w:rsidRPr="00DD2D90" w:rsidRDefault="00026E60" w:rsidP="00026E60">
      <w:r w:rsidRPr="009278EB">
        <w:rPr>
          <w:b/>
          <w:bCs/>
          <w:sz w:val="26"/>
          <w:szCs w:val="26"/>
        </w:rPr>
        <w:t>Prince 17</w:t>
      </w:r>
      <w:r w:rsidRPr="00DD2D90">
        <w:t xml:space="preserve"> [Ruth Prince, professor in medical anthropology at the Institute of Health and Society at the University of Oslo, 2017, “Universal Health Coverage in the Global South: New models of healthcare and their implications for citizenship, solidarity, and the public good,” Michael Journal, https://www.michaeljournal.no/asset/pdf/2017/2-153-72.pdf]/Kankee</w:t>
      </w:r>
    </w:p>
    <w:p w14:paraId="24EADD24" w14:textId="77777777" w:rsidR="00026E60" w:rsidRPr="009278EB" w:rsidRDefault="00026E60" w:rsidP="00026E60">
      <w:pPr>
        <w:rPr>
          <w:sz w:val="16"/>
        </w:rPr>
      </w:pPr>
      <w:r w:rsidRPr="009278EB">
        <w:rPr>
          <w:sz w:val="16"/>
        </w:rPr>
        <w:t xml:space="preserve">UHC and debates about social protection in the Global South UHC is part of a broader interest among governments in the Global South, international organizations and policy-makers in social protection policies, as a means of tackling issues of poverty (if not inequality). Governments in the Global South – particularly in Mexico, Brazil, South Africa, and Namibia – are experimenting with what James Ferguson describes as “new kinds of welfare systems” (28). Post-apartheid South Africa, for example, has intro- duced a myriad of social grants such that 44% of households were receiving at least one government grant by in 2014 (28). Cash Transfer schemes, based on the argument “just give money to the poor”, are being piloted and rolled out in many low and middle-income countries. Departing from dominant approaches to development and poverty-alleviation, these direct payments avoid a large bureaucracy and they do not aim to educate, trans- fer skills, technology, empowerment or participation to the poor. While the amounts being transferred are small compared to European welfare transfers, they have been described as “a development revolution from the South” (29). Similarly, Universal Health Coverage appears to represent a new approach and new ways of thinking about poverty and redistribution, the state and citizenship, health and development. UHC is innovative in its approach to social protection in relation to health, firstly, in its ambitions concerning social solidarity, and secondly, in its vision of the central role of the state. </w:t>
      </w:r>
      <w:r w:rsidRPr="00DD2D90">
        <w:rPr>
          <w:rStyle w:val="StyleUnderline"/>
          <w:highlight w:val="green"/>
        </w:rPr>
        <w:t>UHC</w:t>
      </w:r>
      <w:r w:rsidRPr="00DD2D90">
        <w:rPr>
          <w:rStyle w:val="StyleUnderline"/>
        </w:rPr>
        <w:t xml:space="preserve"> </w:t>
      </w:r>
      <w:r w:rsidRPr="00DD2D90">
        <w:rPr>
          <w:rStyle w:val="StyleUnderline"/>
          <w:highlight w:val="green"/>
        </w:rPr>
        <w:t>represents</w:t>
      </w:r>
      <w:r w:rsidRPr="00DD2D90">
        <w:rPr>
          <w:rStyle w:val="StyleUnderline"/>
        </w:rPr>
        <w:t xml:space="preserve"> a move away from market</w:t>
      </w:r>
      <w:r w:rsidRPr="009278EB">
        <w:rPr>
          <w:sz w:val="16"/>
        </w:rPr>
        <w:t xml:space="preserve">-based </w:t>
      </w:r>
      <w:r w:rsidRPr="00DD2D90">
        <w:rPr>
          <w:rStyle w:val="StyleUnderline"/>
        </w:rPr>
        <w:t>model</w:t>
      </w:r>
      <w:r w:rsidRPr="009278EB">
        <w:rPr>
          <w:sz w:val="16"/>
        </w:rPr>
        <w:t xml:space="preserve"> of health care </w:t>
      </w:r>
      <w:r w:rsidRPr="00DD2D90">
        <w:rPr>
          <w:rStyle w:val="StyleUnderline"/>
        </w:rPr>
        <w:t>toward</w:t>
      </w:r>
      <w:r w:rsidRPr="009278EB">
        <w:rPr>
          <w:sz w:val="16"/>
        </w:rPr>
        <w:t xml:space="preserve"> a more central role for the state, and </w:t>
      </w:r>
      <w:r w:rsidRPr="00DD2D90">
        <w:rPr>
          <w:rStyle w:val="StyleUnderline"/>
          <w:highlight w:val="green"/>
        </w:rPr>
        <w:t>a recognition of the need for</w:t>
      </w:r>
      <w:r w:rsidRPr="009278EB">
        <w:rPr>
          <w:sz w:val="16"/>
        </w:rPr>
        <w:t xml:space="preserve"> new ways of </w:t>
      </w:r>
      <w:r w:rsidRPr="00DD2D90">
        <w:rPr>
          <w:rStyle w:val="StyleUnderline"/>
          <w:highlight w:val="green"/>
        </w:rPr>
        <w:t xml:space="preserve">tackling </w:t>
      </w:r>
      <w:r w:rsidRPr="00DD2D90">
        <w:rPr>
          <w:rStyle w:val="Emphasis"/>
          <w:highlight w:val="green"/>
        </w:rPr>
        <w:t>inequality</w:t>
      </w:r>
      <w:r w:rsidRPr="009278EB">
        <w:rPr>
          <w:sz w:val="16"/>
        </w:rPr>
        <w:t xml:space="preserve"> and inequity. In European welfare states, </w:t>
      </w:r>
      <w:r w:rsidRPr="00DD2D90">
        <w:rPr>
          <w:rStyle w:val="StyleUnderline"/>
        </w:rPr>
        <w:t>national health services</w:t>
      </w:r>
      <w:r w:rsidRPr="009278EB">
        <w:rPr>
          <w:sz w:val="16"/>
        </w:rPr>
        <w:t xml:space="preserve"> funded by health insurance or taxes are institutions that </w:t>
      </w:r>
      <w:r w:rsidRPr="00DD2D90">
        <w:rPr>
          <w:rStyle w:val="StyleUnderline"/>
        </w:rPr>
        <w:t xml:space="preserve">lie </w:t>
      </w:r>
      <w:r w:rsidRPr="00DD2D90">
        <w:rPr>
          <w:rStyle w:val="StyleUnderline"/>
          <w:highlight w:val="green"/>
        </w:rPr>
        <w:t xml:space="preserve">at the </w:t>
      </w:r>
      <w:r w:rsidRPr="00DD2D90">
        <w:rPr>
          <w:rStyle w:val="Emphasis"/>
          <w:highlight w:val="green"/>
        </w:rPr>
        <w:t>heart</w:t>
      </w:r>
      <w:r w:rsidRPr="00DD2D90">
        <w:rPr>
          <w:rStyle w:val="StyleUnderline"/>
          <w:highlight w:val="green"/>
        </w:rPr>
        <w:t xml:space="preserve"> of the </w:t>
      </w:r>
      <w:r w:rsidRPr="00DD2D90">
        <w:rPr>
          <w:rStyle w:val="Emphasis"/>
          <w:highlight w:val="green"/>
        </w:rPr>
        <w:t>social contract</w:t>
      </w:r>
      <w:r w:rsidRPr="00DD2D90">
        <w:rPr>
          <w:rStyle w:val="Emphasis"/>
        </w:rPr>
        <w:t xml:space="preserve"> </w:t>
      </w:r>
      <w:r w:rsidRPr="009278EB">
        <w:rPr>
          <w:sz w:val="16"/>
        </w:rPr>
        <w:t xml:space="preserve">between state and citizens. As </w:t>
      </w:r>
      <w:r w:rsidRPr="00DD2D90">
        <w:rPr>
          <w:rStyle w:val="StyleUnderline"/>
          <w:highlight w:val="green"/>
        </w:rPr>
        <w:t>schemes</w:t>
      </w:r>
      <w:r w:rsidRPr="009278EB">
        <w:rPr>
          <w:sz w:val="16"/>
        </w:rPr>
        <w:t xml:space="preserve"> that “</w:t>
      </w:r>
      <w:r w:rsidRPr="00DD2D90">
        <w:rPr>
          <w:rStyle w:val="StyleUnderline"/>
          <w:highlight w:val="green"/>
        </w:rPr>
        <w:t xml:space="preserve">announce </w:t>
      </w:r>
      <w:r w:rsidRPr="00DD2D90">
        <w:rPr>
          <w:rStyle w:val="Emphasis"/>
          <w:highlight w:val="green"/>
        </w:rPr>
        <w:t>solidarity</w:t>
      </w:r>
      <w:r w:rsidRPr="009278EB">
        <w:rPr>
          <w:sz w:val="16"/>
        </w:rPr>
        <w:t xml:space="preserve">” (30), they are </w:t>
      </w:r>
      <w:r w:rsidRPr="00DD2D90">
        <w:rPr>
          <w:rStyle w:val="StyleUnderline"/>
          <w:highlight w:val="green"/>
        </w:rPr>
        <w:t xml:space="preserve">central to the </w:t>
      </w:r>
      <w:r w:rsidRPr="00DD2D90">
        <w:rPr>
          <w:rStyle w:val="Emphasis"/>
          <w:highlight w:val="green"/>
        </w:rPr>
        <w:t>entitlements of citizenship</w:t>
      </w:r>
      <w:r w:rsidRPr="009278EB">
        <w:rPr>
          <w:sz w:val="16"/>
        </w:rPr>
        <w:t xml:space="preserve">. Moreover </w:t>
      </w:r>
      <w:r w:rsidRPr="00DD2D90">
        <w:rPr>
          <w:rStyle w:val="StyleUnderline"/>
          <w:highlight w:val="green"/>
        </w:rPr>
        <w:t>they form the basis</w:t>
      </w:r>
      <w:r w:rsidRPr="00DD2D90">
        <w:rPr>
          <w:rStyle w:val="StyleUnderline"/>
        </w:rPr>
        <w:t xml:space="preserve"> </w:t>
      </w:r>
      <w:r w:rsidRPr="00DD2D90">
        <w:rPr>
          <w:rStyle w:val="StyleUnderline"/>
          <w:highlight w:val="green"/>
        </w:rPr>
        <w:t>of</w:t>
      </w:r>
      <w:r w:rsidRPr="00DD2D90">
        <w:rPr>
          <w:rStyle w:val="StyleUnderline"/>
        </w:rPr>
        <w:t xml:space="preserve"> many </w:t>
      </w:r>
      <w:r w:rsidRPr="00DD2D90">
        <w:rPr>
          <w:rStyle w:val="StyleUnderline"/>
          <w:highlight w:val="green"/>
        </w:rPr>
        <w:t>citizens’ concepts of</w:t>
      </w:r>
      <w:r w:rsidRPr="00DD2D90">
        <w:rPr>
          <w:rStyle w:val="StyleUnderline"/>
        </w:rPr>
        <w:t xml:space="preserve"> the ‘good society’ and the </w:t>
      </w:r>
      <w:r w:rsidRPr="00DD2D90">
        <w:rPr>
          <w:rStyle w:val="Emphasis"/>
        </w:rPr>
        <w:t>public good</w:t>
      </w:r>
      <w:r w:rsidRPr="009278EB">
        <w:rPr>
          <w:sz w:val="16"/>
        </w:rPr>
        <w:t xml:space="preserve">. </w:t>
      </w:r>
      <w:r w:rsidRPr="00DD2D90">
        <w:rPr>
          <w:rStyle w:val="StyleUnderline"/>
        </w:rPr>
        <w:t xml:space="preserve">They are </w:t>
      </w:r>
      <w:r w:rsidRPr="009278EB">
        <w:rPr>
          <w:sz w:val="16"/>
        </w:rPr>
        <w:t>also</w:t>
      </w:r>
      <w:r w:rsidRPr="00DD2D90">
        <w:rPr>
          <w:rStyle w:val="StyleUnderline"/>
        </w:rPr>
        <w:t xml:space="preserve"> </w:t>
      </w:r>
      <w:r w:rsidRPr="00DD2D90">
        <w:rPr>
          <w:rStyle w:val="Emphasis"/>
        </w:rPr>
        <w:t>building blocks</w:t>
      </w:r>
      <w:r w:rsidRPr="00DD2D90">
        <w:rPr>
          <w:rStyle w:val="StyleUnderline"/>
        </w:rPr>
        <w:t xml:space="preserve"> of </w:t>
      </w:r>
      <w:r w:rsidRPr="00DD2D90">
        <w:rPr>
          <w:rStyle w:val="StyleUnderline"/>
          <w:highlight w:val="green"/>
        </w:rPr>
        <w:t xml:space="preserve">state </w:t>
      </w:r>
      <w:r w:rsidRPr="00DD2D90">
        <w:rPr>
          <w:rStyle w:val="Emphasis"/>
          <w:highlight w:val="green"/>
        </w:rPr>
        <w:t>legitimacy</w:t>
      </w:r>
      <w:r w:rsidRPr="009278EB">
        <w:rPr>
          <w:sz w:val="16"/>
        </w:rPr>
        <w:t xml:space="preserve">. In many postcolonial societies, where historically there has been extremely limited systems of welfare, and where several decades of Structural Adjustment and the Washington Con- sensus has incapacitated state support for health care, UHC seems to pro- pose a radically different future. Indeed, the WHO’s call to achieve UHC worldwide by 2030 is being hailed as the most progressive policy objective since WHO’s 1978 call for ‘Health for All in the Year 2000’ through invest- ment in primary health-care systems (4, 31). Yet here is paradox. While appearing to return to some key post-war values concerning public health for all, UHC takes shape in a very different world from the 1970s. In Europe, welfare is being cut back and state services retrenched under austerity policy. Worldwide, resources are increasingly concentrated in the hands of the wealthy, while public resources are dwin- dling. Social inequality and exclusion are growing, as unemployment is increasingly recognized to be a permanent rather than temporary condition. In an era of labour surplus, poor and marginal populations the world over have “very little relevance to capital” (28: 11); they are abandoned as re- dundant or ‘surplus’ (32), while being urged to consume and becoming entrenched in debt (33, 34). Neoliberalism as a political and economic project appears ever more entrenched. In this context, the “new welfare” of social protection programmes in the Global South hardly poses a radical challenge to the status quo. There is, in fact, a strong argument that welfare policies such as cash-transfer schemes are a cheap way of managing poverty. Like humanitarian interven- tions, they offer a minimalist intervention – a biopolitics not of care but of ‘bare life’ (32, 35). Indeed, social protection may underwrite the social costs of an aggressive neoliberal growth strategy, offering a band-aid as wealth disparities widen (36). While UHC appears progressive and even radical, there are many ways of implementing UHC and a large degree of interpre- tation over what kind of care the population have a right to access. The fact that the World Bank has become avid proponent of both UHC and Cash Transfer Schemes, suggests that these are not incompatible with neoliberal policy agendas. While acknowledging these critiques, anthropologist James Ferguson maintains that the </w:t>
      </w:r>
      <w:r w:rsidRPr="00DD2D90">
        <w:rPr>
          <w:rStyle w:val="StyleUnderline"/>
        </w:rPr>
        <w:t>debates</w:t>
      </w:r>
      <w:r w:rsidRPr="009278EB">
        <w:rPr>
          <w:sz w:val="16"/>
        </w:rPr>
        <w:t xml:space="preserve"> and movements </w:t>
      </w:r>
      <w:r w:rsidRPr="00DD2D90">
        <w:rPr>
          <w:rStyle w:val="StyleUnderline"/>
        </w:rPr>
        <w:t>towards social protection</w:t>
      </w:r>
      <w:r w:rsidRPr="009278EB">
        <w:rPr>
          <w:sz w:val="16"/>
        </w:rPr>
        <w:t xml:space="preserve"> by governments </w:t>
      </w:r>
      <w:r w:rsidRPr="00DD2D90">
        <w:rPr>
          <w:rStyle w:val="StyleUnderline"/>
        </w:rPr>
        <w:t>in the South are shifting</w:t>
      </w:r>
      <w:r w:rsidRPr="009278EB">
        <w:rPr>
          <w:sz w:val="16"/>
        </w:rPr>
        <w:t xml:space="preserve"> the grounds of </w:t>
      </w:r>
      <w:r w:rsidRPr="00DD2D90">
        <w:rPr>
          <w:rStyle w:val="StyleUnderline"/>
        </w:rPr>
        <w:t>political</w:t>
      </w:r>
      <w:r w:rsidRPr="009278EB">
        <w:rPr>
          <w:sz w:val="16"/>
        </w:rPr>
        <w:t xml:space="preserve"> </w:t>
      </w:r>
      <w:r w:rsidRPr="00DD2D90">
        <w:rPr>
          <w:rStyle w:val="StyleUnderline"/>
        </w:rPr>
        <w:t>possibilities</w:t>
      </w:r>
      <w:r w:rsidRPr="009278EB">
        <w:rPr>
          <w:sz w:val="16"/>
        </w:rPr>
        <w:t xml:space="preserve"> and that they should be taken seriously for several reasons. First, </w:t>
      </w:r>
      <w:r w:rsidRPr="00DD2D90">
        <w:rPr>
          <w:rStyle w:val="StyleUnderline"/>
        </w:rPr>
        <w:t>they reveal a shift away from an obsession with immaterial conditions</w:t>
      </w:r>
      <w:r w:rsidRPr="009278EB">
        <w:rPr>
          <w:sz w:val="16"/>
        </w:rPr>
        <w:t xml:space="preserve"> (</w:t>
      </w:r>
      <w:r w:rsidRPr="00DD2D90">
        <w:rPr>
          <w:rStyle w:val="StyleUnderline"/>
        </w:rPr>
        <w:t>such as</w:t>
      </w:r>
      <w:r w:rsidRPr="009278EB">
        <w:rPr>
          <w:sz w:val="16"/>
        </w:rPr>
        <w:t xml:space="preserve"> the </w:t>
      </w:r>
      <w:r w:rsidRPr="00DD2D90">
        <w:rPr>
          <w:rStyle w:val="StyleUnderline"/>
        </w:rPr>
        <w:t>rhetoric</w:t>
      </w:r>
      <w:r w:rsidRPr="009278EB">
        <w:rPr>
          <w:sz w:val="16"/>
        </w:rPr>
        <w:t xml:space="preserve"> of ‘participation’ and ‘empowerment’) </w:t>
      </w:r>
      <w:r w:rsidRPr="00DD2D90">
        <w:rPr>
          <w:rStyle w:val="StyleUnderline"/>
        </w:rPr>
        <w:t>in the pursuit of development</w:t>
      </w:r>
      <w:r w:rsidRPr="009278EB">
        <w:rPr>
          <w:sz w:val="16"/>
        </w:rPr>
        <w:t xml:space="preserve"> and democracy, </w:t>
      </w:r>
      <w:r w:rsidRPr="00DD2D90">
        <w:rPr>
          <w:rStyle w:val="StyleUnderline"/>
        </w:rPr>
        <w:t>and</w:t>
      </w:r>
      <w:r w:rsidRPr="009278EB">
        <w:rPr>
          <w:sz w:val="16"/>
        </w:rPr>
        <w:t xml:space="preserve"> a shift </w:t>
      </w:r>
      <w:r w:rsidRPr="00DD2D90">
        <w:rPr>
          <w:rStyle w:val="StyleUnderline"/>
        </w:rPr>
        <w:t>towards</w:t>
      </w:r>
      <w:r w:rsidRPr="009278EB">
        <w:rPr>
          <w:sz w:val="16"/>
        </w:rPr>
        <w:t xml:space="preserve"> </w:t>
      </w:r>
      <w:r w:rsidRPr="00DD2D90">
        <w:rPr>
          <w:rStyle w:val="StyleUnderline"/>
        </w:rPr>
        <w:t xml:space="preserve">material </w:t>
      </w:r>
      <w:r w:rsidRPr="009278EB">
        <w:rPr>
          <w:sz w:val="16"/>
        </w:rPr>
        <w:t xml:space="preserve">livelihoods and material </w:t>
      </w:r>
      <w:r w:rsidRPr="00DD2D90">
        <w:rPr>
          <w:rStyle w:val="StyleUnderline"/>
        </w:rPr>
        <w:t>redis- tribution</w:t>
      </w:r>
      <w:r w:rsidRPr="009278EB">
        <w:rPr>
          <w:sz w:val="16"/>
        </w:rPr>
        <w:t xml:space="preserve"> (37). Second, </w:t>
      </w:r>
      <w:r w:rsidRPr="00DD2D90">
        <w:rPr>
          <w:rStyle w:val="StyleUnderline"/>
        </w:rPr>
        <w:t>new</w:t>
      </w:r>
      <w:r w:rsidRPr="009278EB">
        <w:rPr>
          <w:sz w:val="16"/>
        </w:rPr>
        <w:t xml:space="preserve"> models of </w:t>
      </w:r>
      <w:r w:rsidRPr="00DD2D90">
        <w:rPr>
          <w:rStyle w:val="StyleUnderline"/>
          <w:highlight w:val="green"/>
        </w:rPr>
        <w:t>social</w:t>
      </w:r>
      <w:r w:rsidRPr="009278EB">
        <w:rPr>
          <w:sz w:val="16"/>
        </w:rPr>
        <w:t xml:space="preserve"> protection and </w:t>
      </w:r>
      <w:r w:rsidRPr="00DD2D90">
        <w:rPr>
          <w:rStyle w:val="StyleUnderline"/>
          <w:highlight w:val="green"/>
        </w:rPr>
        <w:t>distribution move</w:t>
      </w:r>
      <w:r w:rsidRPr="00DD2D90">
        <w:rPr>
          <w:rStyle w:val="StyleUnderline"/>
        </w:rPr>
        <w:t xml:space="preserve"> </w:t>
      </w:r>
      <w:r w:rsidRPr="00DD2D90">
        <w:rPr>
          <w:rStyle w:val="StyleUnderline"/>
          <w:highlight w:val="green"/>
        </w:rPr>
        <w:t xml:space="preserve">away from </w:t>
      </w:r>
      <w:r w:rsidRPr="00DD2D90">
        <w:rPr>
          <w:rStyle w:val="Emphasis"/>
          <w:highlight w:val="green"/>
        </w:rPr>
        <w:t>patronizing</w:t>
      </w:r>
      <w:r w:rsidRPr="00DD2D90">
        <w:rPr>
          <w:rStyle w:val="StyleUnderline"/>
        </w:rPr>
        <w:t xml:space="preserve"> </w:t>
      </w:r>
      <w:r w:rsidRPr="00DD2D90">
        <w:rPr>
          <w:rStyle w:val="StyleUnderline"/>
          <w:highlight w:val="green"/>
        </w:rPr>
        <w:t xml:space="preserve">notions of </w:t>
      </w:r>
      <w:r w:rsidRPr="00DD2D90">
        <w:rPr>
          <w:rStyle w:val="StyleUnderline"/>
        </w:rPr>
        <w:t xml:space="preserve">welfare as </w:t>
      </w:r>
      <w:r w:rsidRPr="00DD2D90">
        <w:rPr>
          <w:rStyle w:val="StyleUnderline"/>
          <w:highlight w:val="green"/>
        </w:rPr>
        <w:t>charity</w:t>
      </w:r>
      <w:r w:rsidRPr="00DD2D90">
        <w:rPr>
          <w:rStyle w:val="StyleUnderline"/>
        </w:rPr>
        <w:t xml:space="preserve"> or state benevo- lence</w:t>
      </w:r>
      <w:r w:rsidRPr="009278EB">
        <w:rPr>
          <w:sz w:val="16"/>
        </w:rPr>
        <w:t xml:space="preserve">. </w:t>
      </w:r>
      <w:r w:rsidRPr="00DD2D90">
        <w:rPr>
          <w:rStyle w:val="StyleUnderline"/>
          <w:highlight w:val="green"/>
        </w:rPr>
        <w:t>They are</w:t>
      </w:r>
      <w:r w:rsidRPr="00DD2D90">
        <w:rPr>
          <w:rStyle w:val="StyleUnderline"/>
        </w:rPr>
        <w:t xml:space="preserve"> explicitly </w:t>
      </w:r>
      <w:r w:rsidRPr="00DD2D90">
        <w:rPr>
          <w:rStyle w:val="StyleUnderline"/>
          <w:highlight w:val="green"/>
        </w:rPr>
        <w:t>framed by arguments about</w:t>
      </w:r>
      <w:r w:rsidRPr="00DD2D90">
        <w:rPr>
          <w:rStyle w:val="StyleUnderline"/>
        </w:rPr>
        <w:t xml:space="preserve"> justice and </w:t>
      </w:r>
      <w:r w:rsidRPr="00DD2D90">
        <w:rPr>
          <w:rStyle w:val="StyleUnderline"/>
          <w:highlight w:val="green"/>
        </w:rPr>
        <w:t>the ‘</w:t>
      </w:r>
      <w:r w:rsidRPr="00DD2D90">
        <w:rPr>
          <w:rStyle w:val="Emphasis"/>
          <w:highlight w:val="green"/>
        </w:rPr>
        <w:t>right- ful share’</w:t>
      </w:r>
      <w:r w:rsidRPr="00DD2D90">
        <w:rPr>
          <w:rStyle w:val="StyleUnderline"/>
          <w:highlight w:val="green"/>
        </w:rPr>
        <w:t xml:space="preserve"> of citizens</w:t>
      </w:r>
      <w:r w:rsidRPr="00DD2D90">
        <w:rPr>
          <w:rStyle w:val="StyleUnderline"/>
        </w:rPr>
        <w:t>, conceived as active recipients</w:t>
      </w:r>
      <w:r w:rsidRPr="009278EB">
        <w:rPr>
          <w:sz w:val="16"/>
        </w:rPr>
        <w:t xml:space="preserve">. Third, they signify the recipient as a member of the nation-state in postcolonial contexts where recognition of membership is often absent (38). According to Ferguson, </w:t>
      </w:r>
      <w:r w:rsidRPr="00DD2D90">
        <w:rPr>
          <w:rStyle w:val="StyleUnderline"/>
          <w:highlight w:val="green"/>
        </w:rPr>
        <w:t>social protection</w:t>
      </w:r>
      <w:r w:rsidRPr="009278EB">
        <w:rPr>
          <w:sz w:val="16"/>
        </w:rPr>
        <w:t xml:space="preserve"> policies </w:t>
      </w:r>
      <w:r w:rsidRPr="00DD2D90">
        <w:rPr>
          <w:rStyle w:val="StyleUnderline"/>
          <w:highlight w:val="green"/>
        </w:rPr>
        <w:t>thrust</w:t>
      </w:r>
      <w:r w:rsidRPr="009278EB">
        <w:rPr>
          <w:sz w:val="16"/>
        </w:rPr>
        <w:t xml:space="preserve"> “a specific condition of presence –the spe- cifically social (not biological) fact of being not only alive but here and among us in a way that implicitly </w:t>
      </w:r>
      <w:r w:rsidRPr="00DD2D90">
        <w:rPr>
          <w:rStyle w:val="StyleUnderline"/>
          <w:highlight w:val="green"/>
        </w:rPr>
        <w:t>demands</w:t>
      </w:r>
      <w:r w:rsidRPr="009278EB">
        <w:rPr>
          <w:sz w:val="16"/>
        </w:rPr>
        <w:t xml:space="preserve"> at least minimal forms </w:t>
      </w:r>
      <w:r w:rsidRPr="00DD2D90">
        <w:rPr>
          <w:rStyle w:val="StyleUnderline"/>
          <w:highlight w:val="green"/>
        </w:rPr>
        <w:t>of rec- ognition and obligation</w:t>
      </w:r>
      <w:r w:rsidRPr="009278EB">
        <w:rPr>
          <w:sz w:val="16"/>
        </w:rPr>
        <w:t xml:space="preserve">” (28: 215). </w:t>
      </w:r>
      <w:r w:rsidRPr="00DD2D90">
        <w:rPr>
          <w:rStyle w:val="StyleUnderline"/>
        </w:rPr>
        <w:t>These</w:t>
      </w:r>
      <w:r w:rsidRPr="009278EB">
        <w:rPr>
          <w:sz w:val="16"/>
        </w:rPr>
        <w:t xml:space="preserve"> forms of social protection and assistance thus indicate a </w:t>
      </w:r>
      <w:r w:rsidRPr="00DD2D90">
        <w:rPr>
          <w:rStyle w:val="StyleUnderline"/>
        </w:rPr>
        <w:t xml:space="preserve">turn away from </w:t>
      </w:r>
      <w:r w:rsidRPr="009278EB">
        <w:rPr>
          <w:sz w:val="16"/>
        </w:rPr>
        <w:t>attenuated forms of ‘</w:t>
      </w:r>
      <w:r w:rsidRPr="00DD2D90">
        <w:rPr>
          <w:rStyle w:val="StyleUnderline"/>
        </w:rPr>
        <w:t>biological citizenship’</w:t>
      </w:r>
      <w:r w:rsidRPr="009278EB">
        <w:rPr>
          <w:sz w:val="16"/>
        </w:rPr>
        <w:t xml:space="preserve"> (39) or ‘therapeutic citizenship’ (40) – in which the criteria for inclusion into programmes of care is based on biological condition or dis- ease status (for example, being HIV-positive) – </w:t>
      </w:r>
      <w:r w:rsidRPr="00DD2D90">
        <w:rPr>
          <w:rStyle w:val="StyleUnderline"/>
        </w:rPr>
        <w:t xml:space="preserve">towards a system </w:t>
      </w:r>
      <w:r w:rsidRPr="00DD2D90">
        <w:rPr>
          <w:rStyle w:val="StyleUnderline"/>
          <w:highlight w:val="green"/>
        </w:rPr>
        <w:t>where</w:t>
      </w:r>
      <w:r w:rsidRPr="00DD2D90">
        <w:rPr>
          <w:rStyle w:val="StyleUnderline"/>
        </w:rPr>
        <w:t xml:space="preserve"> inclusion and </w:t>
      </w:r>
      <w:r w:rsidRPr="00DD2D90">
        <w:rPr>
          <w:rStyle w:val="StyleUnderline"/>
          <w:highlight w:val="green"/>
        </w:rPr>
        <w:t>access</w:t>
      </w:r>
      <w:r w:rsidRPr="00DD2D90">
        <w:rPr>
          <w:rStyle w:val="StyleUnderline"/>
        </w:rPr>
        <w:t xml:space="preserve"> </w:t>
      </w:r>
      <w:r w:rsidRPr="00DD2D90">
        <w:rPr>
          <w:rStyle w:val="StyleUnderline"/>
          <w:highlight w:val="green"/>
        </w:rPr>
        <w:t>to</w:t>
      </w:r>
      <w:r w:rsidRPr="00DD2D90">
        <w:rPr>
          <w:rStyle w:val="StyleUnderline"/>
        </w:rPr>
        <w:t xml:space="preserve"> free</w:t>
      </w:r>
      <w:r w:rsidRPr="009278EB">
        <w:rPr>
          <w:sz w:val="16"/>
        </w:rPr>
        <w:t xml:space="preserve"> or subsidized </w:t>
      </w:r>
      <w:r w:rsidRPr="00DD2D90">
        <w:rPr>
          <w:rStyle w:val="StyleUnderline"/>
          <w:highlight w:val="green"/>
        </w:rPr>
        <w:t>care is based upon membership of society</w:t>
      </w:r>
      <w:r w:rsidRPr="009278EB">
        <w:rPr>
          <w:sz w:val="16"/>
        </w:rPr>
        <w:t xml:space="preserve">. </w:t>
      </w:r>
      <w:r w:rsidRPr="00DD2D90">
        <w:rPr>
          <w:rStyle w:val="StyleUnderline"/>
        </w:rPr>
        <w:t>They</w:t>
      </w:r>
      <w:r w:rsidRPr="009278EB">
        <w:rPr>
          <w:sz w:val="16"/>
        </w:rPr>
        <w:t xml:space="preserve"> also </w:t>
      </w:r>
      <w:r w:rsidRPr="00DD2D90">
        <w:rPr>
          <w:rStyle w:val="StyleUnderline"/>
        </w:rPr>
        <w:t>indicate the reinsertion of the state into questions of care</w:t>
      </w:r>
      <w:r w:rsidRPr="009278EB">
        <w:rPr>
          <w:sz w:val="16"/>
        </w:rPr>
        <w:t xml:space="preserve">. Despite such arguments, it is clear that UHC, like social protection policies, can serve very different social and political agendas (24, 26). It can also fit into opposing critical arguments: dismissed as part of the architecture of neoliberalism, or dismissed as being utopian and unrealizable. Such paradoxes render the debates about and movements towards UHC particu- larly interesting sites for examining issues of redistribution, inequality, and solidarity, as well as for exploring the social and political collectives that are forming around forms of public health. These paradoxes also suggest that we can take for granted neither the ‘universal’ in Universal Health Coverage nor the universality of notions of obligation, solidarity and the public good that are ‘pulled along’ with UHC reforms. The current focus on UHC in global health policy, among organizations such as the WHO, the World Bank and the Rockefeller Foundation, and among national governments, provides an opportunity for scholars to examine these questions by examin- ing both UHC policy and how it is being implemented. Across the world, national publics are debating UHC, while some gov- ernments are experimenting – some very tentatively – with different mod- els of UHC. There is a growing body of comparative work on the roll-out and implementation of UHC reforms, conducted by researchers in the fields of health policy, health systems strengthening, health economics and po- litical science (19, 25, 41). This literature analyses issues surrounding the implementation of UHC, pursuing questions of what works and how, in- cluding the merits and drawbacks of different models of health insurance (compulsory vs voluntary, national vs community-based) (18, 42). It ex- amines quality of care issues amidst expanding coverage (43), the role of private health-services in the ‘public good’ (44), politics (5), solidarity and obligation (36, 45), and the contradictory demands placed on health work- ers as they implement reforms (46). This literature also offers in-depth country-focused and comparative studies, with journals such as The Lancet, Health Policy and Planning, and PLOS Medicine devoting special issues to the progress towards UHC. The thrust of this work is pragmatic, pursuing questions of what works and how. I propose something different: to explore how </w:t>
      </w:r>
      <w:r w:rsidRPr="00DD2D90">
        <w:rPr>
          <w:rStyle w:val="StyleUnderline"/>
          <w:highlight w:val="green"/>
        </w:rPr>
        <w:t>UHC</w:t>
      </w:r>
      <w:r w:rsidRPr="009278EB">
        <w:rPr>
          <w:sz w:val="16"/>
        </w:rPr>
        <w:t xml:space="preserve"> reforms </w:t>
      </w:r>
      <w:r w:rsidRPr="00DD2D90">
        <w:rPr>
          <w:rStyle w:val="StyleUnderline"/>
          <w:highlight w:val="green"/>
        </w:rPr>
        <w:t>are shaping</w:t>
      </w:r>
      <w:r w:rsidRPr="00DD2D90">
        <w:rPr>
          <w:rStyle w:val="StyleUnderline"/>
        </w:rPr>
        <w:t xml:space="preserve"> new </w:t>
      </w:r>
      <w:r w:rsidRPr="00DD2D90">
        <w:rPr>
          <w:rStyle w:val="StyleUnderline"/>
          <w:highlight w:val="green"/>
        </w:rPr>
        <w:t>collectives of care and citizenship, forms of obligation and solidarity, and a re-evaluation of the role of the state</w:t>
      </w:r>
      <w:r w:rsidRPr="00DD2D90">
        <w:rPr>
          <w:rStyle w:val="StyleUnderline"/>
        </w:rPr>
        <w:t xml:space="preserve"> </w:t>
      </w:r>
      <w:r w:rsidRPr="009278EB">
        <w:rPr>
          <w:sz w:val="16"/>
        </w:rPr>
        <w:t>and of</w:t>
      </w:r>
      <w:r w:rsidRPr="00DD2D90">
        <w:rPr>
          <w:rStyle w:val="StyleUnderline"/>
        </w:rPr>
        <w:t xml:space="preserve"> national </w:t>
      </w:r>
      <w:r w:rsidRPr="00DD2D90">
        <w:rPr>
          <w:rStyle w:val="StyleUnderline"/>
          <w:highlight w:val="green"/>
        </w:rPr>
        <w:t>health care</w:t>
      </w:r>
      <w:r w:rsidRPr="00DD2D90">
        <w:rPr>
          <w:rStyle w:val="StyleUnderline"/>
        </w:rPr>
        <w:t xml:space="preserve"> systems</w:t>
      </w:r>
      <w:r w:rsidRPr="009278EB">
        <w:rPr>
          <w:sz w:val="16"/>
        </w:rPr>
        <w:t xml:space="preserve">. Based on my own immersion in the discipline of social </w:t>
      </w:r>
      <w:r w:rsidRPr="00DD2D90">
        <w:rPr>
          <w:rStyle w:val="StyleUnderline"/>
          <w:highlight w:val="green"/>
        </w:rPr>
        <w:t>and</w:t>
      </w:r>
      <w:r w:rsidRPr="009278EB">
        <w:rPr>
          <w:sz w:val="16"/>
        </w:rPr>
        <w:t xml:space="preserve"> medical anthropology, I suggest that the following four bodies of anthropological and social science scholarship can give inspiration and directions for future research on Universal Health Coverage: a) scholarship on ‘</w:t>
      </w:r>
      <w:r w:rsidRPr="00DD2D90">
        <w:rPr>
          <w:rStyle w:val="StyleUnderline"/>
          <w:highlight w:val="green"/>
        </w:rPr>
        <w:t xml:space="preserve">the </w:t>
      </w:r>
      <w:r w:rsidRPr="00DD2D90">
        <w:rPr>
          <w:rStyle w:val="Emphasis"/>
          <w:highlight w:val="green"/>
        </w:rPr>
        <w:t>public good’</w:t>
      </w:r>
      <w:r w:rsidRPr="009278EB">
        <w:rPr>
          <w:sz w:val="16"/>
        </w:rPr>
        <w:t xml:space="preserve">; b) scholarship on poverty, inequality, and obligation; c) critical medical anthropology and global health; d) anthropological work on the state, policy and bureaucracy. a. UHC and studies of the public good i) Studies of utopian social movements: Derived from Thomas More, the concept of utopia is usually conceived as a ‘non-place’, removed from soci- ety, thus a site for re-imagining and re-constituting a new social order. As anthropologist Henrietta Moore points out however (47), utopias are often both real and imagined, and social anthropology has a long history of inter- est in utopian visions and the movements that grow up around them – from millenarian movements and cargo cults to more recent social movements and experiments with democracy and social ecology. While utopian thought has come to denote that which is idealistic, naïve or even impossible, utopias both imagined and real shaped 19th and 20th century political and social projects, practices and visions of the ‘good life’ (47). Whether directed at transforming gender relations, inequality or relations of production and reproduction, utopian goals were indeed not aimed at a non-place but at a better society; they offered not merely dreams outside reality but sought to shape a new reality. It is precisely because utopian 20th century goals con- cerning equality, employment and inclusion seem to have lapsed into ‘cruel optimism’ (48) in our current era that scholars should pay attention to visions of social progress and transformation. However, the question of whether UHC should be approached as uto- pian is debatable. Compared to current trends towards minimalist biopol- itics in humanitarian interventions (14), </w:t>
      </w:r>
      <w:r w:rsidRPr="00DD2D90">
        <w:rPr>
          <w:rStyle w:val="StyleUnderline"/>
          <w:highlight w:val="green"/>
        </w:rPr>
        <w:t>UHC</w:t>
      </w:r>
      <w:r w:rsidRPr="009278EB">
        <w:rPr>
          <w:sz w:val="16"/>
        </w:rPr>
        <w:t xml:space="preserve"> certainly </w:t>
      </w:r>
      <w:r w:rsidRPr="00DD2D90">
        <w:rPr>
          <w:rStyle w:val="StyleUnderline"/>
          <w:highlight w:val="green"/>
        </w:rPr>
        <w:t>offers</w:t>
      </w:r>
      <w:r w:rsidRPr="00DD2D90">
        <w:rPr>
          <w:rStyle w:val="StyleUnderline"/>
        </w:rPr>
        <w:t xml:space="preserve"> a vision of </w:t>
      </w:r>
      <w:r w:rsidRPr="00DD2D90">
        <w:rPr>
          <w:rStyle w:val="StyleUnderline"/>
          <w:highlight w:val="green"/>
        </w:rPr>
        <w:t>societal</w:t>
      </w:r>
      <w:r w:rsidRPr="00DD2D90">
        <w:rPr>
          <w:rStyle w:val="StyleUnderline"/>
        </w:rPr>
        <w:t xml:space="preserve"> </w:t>
      </w:r>
      <w:r w:rsidRPr="00DD2D90">
        <w:rPr>
          <w:rStyle w:val="StyleUnderline"/>
          <w:highlight w:val="green"/>
        </w:rPr>
        <w:t>transformation</w:t>
      </w:r>
      <w:r w:rsidRPr="00DD2D90">
        <w:rPr>
          <w:rStyle w:val="StyleUnderline"/>
        </w:rPr>
        <w:t>. It is utopian</w:t>
      </w:r>
      <w:r w:rsidRPr="009278EB">
        <w:rPr>
          <w:sz w:val="16"/>
        </w:rPr>
        <w:t xml:space="preserve">, I contend, </w:t>
      </w:r>
      <w:r w:rsidRPr="00DD2D90">
        <w:rPr>
          <w:rStyle w:val="StyleUnderline"/>
        </w:rPr>
        <w:t>to</w:t>
      </w:r>
      <w:r w:rsidRPr="009278EB">
        <w:rPr>
          <w:sz w:val="16"/>
        </w:rPr>
        <w:t xml:space="preserve"> the extent that UHC appears to “</w:t>
      </w:r>
      <w:r w:rsidRPr="00DD2D90">
        <w:rPr>
          <w:rStyle w:val="StyleUnderline"/>
        </w:rPr>
        <w:t>announce solidarity</w:t>
      </w:r>
      <w:r w:rsidRPr="009278EB">
        <w:rPr>
          <w:sz w:val="16"/>
        </w:rPr>
        <w:t xml:space="preserve">” (30), </w:t>
      </w:r>
      <w:r w:rsidRPr="00DD2D90">
        <w:rPr>
          <w:rStyle w:val="StyleUnderline"/>
          <w:highlight w:val="green"/>
        </w:rPr>
        <w:t>to</w:t>
      </w:r>
      <w:r w:rsidRPr="00DD2D90">
        <w:rPr>
          <w:rStyle w:val="StyleUnderline"/>
        </w:rPr>
        <w:t xml:space="preserve"> offer a better life to all, and to be directed towards ideas about a</w:t>
      </w:r>
      <w:r w:rsidRPr="009278EB">
        <w:rPr>
          <w:sz w:val="16"/>
        </w:rPr>
        <w:t xml:space="preserve"> ‘good society’ or the </w:t>
      </w:r>
      <w:r w:rsidRPr="00DD2D90">
        <w:rPr>
          <w:rStyle w:val="StyleUnderline"/>
        </w:rPr>
        <w:t>public good</w:t>
      </w:r>
      <w:r w:rsidRPr="009278EB">
        <w:rPr>
          <w:sz w:val="16"/>
        </w:rPr>
        <w:t xml:space="preserve">. For its proponents, </w:t>
      </w:r>
      <w:r w:rsidRPr="00DD2D90">
        <w:rPr>
          <w:rStyle w:val="StyleUnderline"/>
        </w:rPr>
        <w:t>UHC is both idealistic goal and attainable</w:t>
      </w:r>
      <w:r w:rsidRPr="009278EB">
        <w:rPr>
          <w:sz w:val="16"/>
        </w:rPr>
        <w:t xml:space="preserve"> (4). Significantly, Richard Titmuss, key proponent of the United Kingdom’s National Health Service (</w:t>
      </w:r>
      <w:r w:rsidRPr="00DD2D90">
        <w:rPr>
          <w:rStyle w:val="StyleUnderline"/>
        </w:rPr>
        <w:t>NHS</w:t>
      </w:r>
      <w:r w:rsidRPr="009278EB">
        <w:rPr>
          <w:sz w:val="16"/>
        </w:rPr>
        <w:t xml:space="preserve">) (established in 1948) argued that the NSH would function as “a practical utopian community, </w:t>
      </w:r>
      <w:r w:rsidRPr="00DD2D90">
        <w:rPr>
          <w:rStyle w:val="StyleUnderline"/>
        </w:rPr>
        <w:t>participation</w:t>
      </w:r>
      <w:r w:rsidRPr="009278EB">
        <w:rPr>
          <w:sz w:val="16"/>
        </w:rPr>
        <w:t xml:space="preserve"> in which </w:t>
      </w:r>
      <w:r w:rsidRPr="00DD2D90">
        <w:rPr>
          <w:rStyle w:val="StyleUnderline"/>
        </w:rPr>
        <w:t>would educate patients in the values of solidarity and altruism</w:t>
      </w:r>
      <w:r w:rsidRPr="009278EB">
        <w:rPr>
          <w:sz w:val="16"/>
        </w:rPr>
        <w:t xml:space="preserve">” (49:393). In The Gift Re- lationship, Titmuss argued that altruism could be socially engineered and that the </w:t>
      </w:r>
      <w:r w:rsidRPr="00DD2D90">
        <w:rPr>
          <w:rStyle w:val="StyleUnderline"/>
        </w:rPr>
        <w:t xml:space="preserve">National Health Service would </w:t>
      </w:r>
      <w:r w:rsidRPr="00DD2D90">
        <w:rPr>
          <w:rStyle w:val="StyleUnderline"/>
          <w:highlight w:val="green"/>
        </w:rPr>
        <w:t>foster</w:t>
      </w:r>
      <w:r w:rsidRPr="00DD2D90">
        <w:rPr>
          <w:rStyle w:val="StyleUnderline"/>
        </w:rPr>
        <w:t xml:space="preserve"> a sense of </w:t>
      </w:r>
      <w:r w:rsidRPr="00DD2D90">
        <w:rPr>
          <w:rStyle w:val="StyleUnderline"/>
          <w:highlight w:val="green"/>
        </w:rPr>
        <w:t xml:space="preserve">mutual responsibil- ity </w:t>
      </w:r>
      <w:r w:rsidRPr="00DD2D90">
        <w:rPr>
          <w:rStyle w:val="StyleUnderline"/>
        </w:rPr>
        <w:t>and social growth</w:t>
      </w:r>
      <w:r w:rsidRPr="009278EB">
        <w:rPr>
          <w:sz w:val="16"/>
        </w:rPr>
        <w:t xml:space="preserve">. For many UK citizens, the </w:t>
      </w:r>
      <w:r w:rsidRPr="00DD2D90">
        <w:rPr>
          <w:rStyle w:val="StyleUnderline"/>
        </w:rPr>
        <w:t xml:space="preserve">NHS continues to embody the values of </w:t>
      </w:r>
      <w:r w:rsidRPr="00DD2D90">
        <w:rPr>
          <w:rStyle w:val="StyleUnderline"/>
          <w:highlight w:val="green"/>
        </w:rPr>
        <w:t>social solidarity</w:t>
      </w:r>
      <w:r w:rsidRPr="00DD2D90">
        <w:rPr>
          <w:rStyle w:val="StyleUnderline"/>
        </w:rPr>
        <w:t xml:space="preserve"> and thus to hold a deep emotional pull</w:t>
      </w:r>
      <w:r w:rsidRPr="009278EB">
        <w:rPr>
          <w:sz w:val="16"/>
        </w:rPr>
        <w:t xml:space="preserve">. Yet since the 1990s neoliberal values have infused its services, offering “a new utopia, of the market, free bargaining and choosing” (49). Similar contra- dictions surround UHC. It is a struggle to formalize social protection at the same time as health-care is increasingly being privatized and the free market promoted as the means of improving quality of services and customer choice. Solidarity and neoliberalism are not necessarily uncomfortable bed- fellows; indeed, solidarity has a prominent role in ‘free market’ ideologies (50). ii). An ‘anthropology of the good’. In recent years, anthropologists have been interested in what has been termed “the suffering subject” (51). Mov- ing away from its earlier focus on cultural difference towards a concern with connection and common humanity, anthropology has sought a more direct engagement with political and economic exclusion, war, colonialism, struc- tural violence and precarious living and working conditions, often through a methodology of ‘empathetic connection’ and ‘moral witnessing’ (51). Joel Robbins argues that, while addressing crucial problems of our age, this ap- proach stays within the limits of the present. Suffering is foregrounded, while the concern to explore the organization and values of a better society, which underpinned earlier comparative cultural anthropology, faded. In recent anthropological concern with morality, care, hope, and time, however, Robbins discerns a </w:t>
      </w:r>
      <w:r w:rsidRPr="00DD2D90">
        <w:rPr>
          <w:rStyle w:val="StyleUnderline"/>
        </w:rPr>
        <w:t>shift towards ‘an anthropology of the good’ which en- gages with people’s attempts to</w:t>
      </w:r>
      <w:r w:rsidRPr="009278EB">
        <w:rPr>
          <w:sz w:val="16"/>
        </w:rPr>
        <w:t xml:space="preserve"> build better ways to live or to </w:t>
      </w:r>
      <w:r w:rsidRPr="00DD2D90">
        <w:rPr>
          <w:rStyle w:val="StyleUnderline"/>
        </w:rPr>
        <w:t>foster the good</w:t>
      </w:r>
      <w:r w:rsidRPr="009278EB">
        <w:rPr>
          <w:sz w:val="16"/>
        </w:rPr>
        <w:t xml:space="preserve">, </w:t>
      </w:r>
      <w:r w:rsidRPr="00DD2D90">
        <w:rPr>
          <w:rStyle w:val="StyleUnderline"/>
        </w:rPr>
        <w:t>attending to</w:t>
      </w:r>
      <w:r w:rsidRPr="009278EB">
        <w:rPr>
          <w:sz w:val="16"/>
        </w:rPr>
        <w:t xml:space="preserve"> morality and values, imaginations and aspirations, and </w:t>
      </w:r>
      <w:r w:rsidRPr="00DD2D90">
        <w:rPr>
          <w:rStyle w:val="StyleUnderline"/>
        </w:rPr>
        <w:t xml:space="preserve">struggles for a </w:t>
      </w:r>
      <w:r w:rsidRPr="00DD2D90">
        <w:rPr>
          <w:rStyle w:val="Emphasis"/>
        </w:rPr>
        <w:t>better future</w:t>
      </w:r>
      <w:r w:rsidRPr="009278EB">
        <w:rPr>
          <w:sz w:val="16"/>
        </w:rPr>
        <w:t xml:space="preserve">. The debates and struggles around </w:t>
      </w:r>
      <w:r w:rsidRPr="00DD2D90">
        <w:rPr>
          <w:rStyle w:val="StyleUnderline"/>
        </w:rPr>
        <w:t>UHC offer</w:t>
      </w:r>
      <w:r w:rsidRPr="009278EB">
        <w:rPr>
          <w:sz w:val="16"/>
        </w:rPr>
        <w:t xml:space="preserve"> ideal ground, I contend, for </w:t>
      </w:r>
      <w:r w:rsidRPr="00DD2D90">
        <w:rPr>
          <w:rStyle w:val="StyleUnderline"/>
        </w:rPr>
        <w:t>an exploration of the</w:t>
      </w:r>
      <w:r w:rsidRPr="009278EB">
        <w:rPr>
          <w:sz w:val="16"/>
        </w:rPr>
        <w:t xml:space="preserve"> ‘public good’ and the </w:t>
      </w:r>
      <w:r w:rsidRPr="00DD2D90">
        <w:rPr>
          <w:rStyle w:val="Emphasis"/>
        </w:rPr>
        <w:t>politics of the possible</w:t>
      </w:r>
      <w:r w:rsidRPr="009278EB">
        <w:rPr>
          <w:sz w:val="16"/>
        </w:rPr>
        <w:t xml:space="preserve">. This is not a utopian proposal. </w:t>
      </w:r>
      <w:r w:rsidRPr="00DD2D90">
        <w:rPr>
          <w:rStyle w:val="StyleUnderline"/>
        </w:rPr>
        <w:t>UHC can throw light onto how progressive politics</w:t>
      </w:r>
      <w:r w:rsidRPr="009278EB">
        <w:rPr>
          <w:sz w:val="16"/>
        </w:rPr>
        <w:t xml:space="preserve"> and policies, </w:t>
      </w:r>
      <w:r w:rsidRPr="00DD2D90">
        <w:rPr>
          <w:rStyle w:val="StyleUnderline"/>
        </w:rPr>
        <w:t>while</w:t>
      </w:r>
      <w:r w:rsidRPr="009278EB">
        <w:rPr>
          <w:sz w:val="16"/>
        </w:rPr>
        <w:t xml:space="preserve"> being put </w:t>
      </w:r>
      <w:r w:rsidRPr="00DD2D90">
        <w:rPr>
          <w:rStyle w:val="StyleUnderline"/>
        </w:rPr>
        <w:t>in</w:t>
      </w:r>
      <w:r w:rsidRPr="009278EB">
        <w:rPr>
          <w:sz w:val="16"/>
        </w:rPr>
        <w:t xml:space="preserve"> place in </w:t>
      </w:r>
      <w:r w:rsidRPr="00DD2D90">
        <w:rPr>
          <w:rStyle w:val="StyleUnderline"/>
        </w:rPr>
        <w:t>contexts of neoliberalism</w:t>
      </w:r>
      <w:r w:rsidRPr="009278EB">
        <w:rPr>
          <w:sz w:val="16"/>
        </w:rPr>
        <w:t xml:space="preserve"> and advanced capitalism, </w:t>
      </w:r>
      <w:r w:rsidRPr="00DD2D90">
        <w:rPr>
          <w:rStyle w:val="StyleUnderline"/>
        </w:rPr>
        <w:t>may not be limited by them and may be used to contest them</w:t>
      </w:r>
      <w:r w:rsidRPr="009278EB">
        <w:rPr>
          <w:sz w:val="16"/>
        </w:rPr>
        <w:t xml:space="preserve">. Here, anthropologist Anna Tsing’s anthropology of ‘global universals’ remains an inspiration both in its approach and methodology (52). Following Tsing’s call for ‘utopian critiques’, a study of UHC debates and reforms allows us explore how the central problematics of solidarity and inequality are negotiated and debated by policy makers, health workers and citizens. In order to do this, the literature on poverty and inequality, obligation and mutual support, provides a useful resource. b. Poverty, inequality and obligation: How can we approach questions of solidarity? i) From the perspective of citizenship and social justice: Proposals for ex- tending or introducing UHC, including forms of national health insurance, present opportunities for examining the social contract – the extent and content of obligations – between the state and its citizens and well as among citizens themselves. Bronwyn Harris and colleagues (36) argue that </w:t>
      </w:r>
      <w:r w:rsidRPr="00DD2D90">
        <w:rPr>
          <w:rStyle w:val="StyleUnderline"/>
        </w:rPr>
        <w:t xml:space="preserve">national health </w:t>
      </w:r>
      <w:r w:rsidRPr="00DD2D90">
        <w:rPr>
          <w:rStyle w:val="StyleUnderline"/>
          <w:highlight w:val="green"/>
        </w:rPr>
        <w:t>insurance reforms in South Africa “aim to transform</w:t>
      </w:r>
      <w:r w:rsidRPr="00DD2D90">
        <w:rPr>
          <w:rStyle w:val="StyleUnderline"/>
        </w:rPr>
        <w:t xml:space="preserve"> the existing and </w:t>
      </w:r>
      <w:r w:rsidRPr="00DD2D90">
        <w:rPr>
          <w:rStyle w:val="StyleUnderline"/>
          <w:highlight w:val="green"/>
        </w:rPr>
        <w:t>inequitable contracts</w:t>
      </w:r>
      <w:r w:rsidRPr="00DD2D90">
        <w:rPr>
          <w:rStyle w:val="StyleUnderline"/>
        </w:rPr>
        <w:t xml:space="preserve"> between people and institutions, </w:t>
      </w:r>
      <w:r w:rsidRPr="00DD2D90">
        <w:rPr>
          <w:rStyle w:val="StyleUnderline"/>
          <w:highlight w:val="green"/>
        </w:rPr>
        <w:t>and challenge the boundaries of social justice that limit how much inequality is acceptable</w:t>
      </w:r>
      <w:r w:rsidRPr="00DD2D90">
        <w:rPr>
          <w:rStyle w:val="StyleUnderline"/>
        </w:rPr>
        <w:t xml:space="preserve"> </w:t>
      </w:r>
      <w:r w:rsidRPr="00DD2D90">
        <w:rPr>
          <w:rStyle w:val="StyleUnderline"/>
          <w:highlight w:val="green"/>
        </w:rPr>
        <w:t>in</w:t>
      </w:r>
      <w:r w:rsidRPr="00DD2D90">
        <w:rPr>
          <w:rStyle w:val="StyleUnderline"/>
        </w:rPr>
        <w:t xml:space="preserve"> any </w:t>
      </w:r>
      <w:r w:rsidRPr="00DD2D90">
        <w:rPr>
          <w:rStyle w:val="StyleUnderline"/>
          <w:highlight w:val="green"/>
        </w:rPr>
        <w:t>society</w:t>
      </w:r>
      <w:r w:rsidRPr="009278EB">
        <w:rPr>
          <w:sz w:val="16"/>
        </w:rPr>
        <w:t xml:space="preserve">” (36: 180). Changing the social contract requires active public participation and involvement (5). Simply creating a new financing bureau- cracy does not guarantee equity and universal access in a health system, because it does not tackle “social fractures” between people or change rela- tionships and identities, “the social part of solidarity” (36: 180). One ap- proach to solidarity is thus to explore the willingness of people to contribute according to their means. Methodologically this implies finding innovative ways to operationalize difficult concepts such as solidarity, vertical and horizontal equity, progressive and proportional contributions. It also means exploring the levels of trust people have in state services; and the reasons they may prefer private facilities and services. ii) From the perspective of obligation and mutual support: Whereas Harris and colleagues approach questions of redistribution and solidarity at a so cietal scale, anthropologists seeks to ground questions of poverty and obli- gation in local socio-cultural values and practices, thus highlighting fields of obligation and claim-making that exist outside welfare and development interventions. For example, drawing upon fieldwork in Malawi, Harri En- glund attends to the specific claims and aspirations that inform variable experiences of being poor and argues that moral obligations are not external to social being and thus a matter of ethical choice, but are “constitutive of relationships and subjectivities” (37, 53). He calls for ethnographic research to “conveys ways in which human beings, including mutual strangers, come to have obligations towards each other” (53: 288). While interdependence and obligation form the texture of social relations, they should not be ro- manticized; they are often a burden, but they are something people live with rather than choose. iii) From the perspective of informal associations of mutual help, distribu- tion and social protection: There is a lively body of scholarship within an- thropology and African studies on multiple forms of informal mutual sup- port and voluntary associations– including burial societies, savings societies and rotating credit associations based on women’s groups, neighbourhood or religious/church networks, and even global diasporic Pentecostal churches – which exist in the absence of state support (54). Most of this work focuses on low and middle-income countries, and I am most familiar with the literature in African studies, but there are also studies from Europe (50). Economic anthropologists shows how state-regulated and formal arrange- ments interpenetrate with those less visible and regulated (55, 56), how they draw upon both old and new forms of solidarity and interdependence as well as market logics and entrepreneurship, and how they are reshaping kinship and social relations (57). While in the past, mutual help societies were embraced mainly by people who were excluded from state-or job-re- lated access to credit and to social protection, with rise of precariousness in post-Fordist economies, middle classes are also turning to these informal associations. Meanwhile, amidst the ‘financialization’ of the economy (58), commercial insurance companies are increasingly targeting people depend- ing on informal livelihoods. Particularly in South Africa, aggressive market- ing has encouraged people to take out several insurance schemes simultane- ously and anthropological studies of insurance are emerging (59–64). c. Medical anthropology and critical global health i) Medical anthropology and critical studies of global health offer some critical resources for thinking about and designing a study of UHC. Recent studies grapple with reconfigurations of the private and the public, new terrains of the biopolitical and novel assemblages of science and biomedicine. Concepts such as structural violence, governmentality and biopower (65– 67), and discussions about the social collectives forming around health is- sues, captured in terms such as ‘biological citizenship’, ‘therapeutic citizen- ship’ and other biosocial collectives, are particularly relevant (39,40, 68). Structural violence is a term introduced by Johannes Galtung and de- veloped by Paul Farmer to capture the mechanisms whereby large-scale social, political and economic forces become embodied as disease and dis- ability among the poor and vulnerable; how suffering is ‘structured’ by historically given social forces that constrain agency. A related term, social suffering, similarly seeks to capture the forms of social violence that con- stitute inequity (69). Forms of structural violence often structure norms, for example, when poor are blamed for their condition, or patients for their illness. The concept could provide useful insights into how various groups and individuals (e.g. policy-makers, bureaucrats, health-workers, patients and publics) perceive inequality. However one could also take the more radical approach of Baer, Singer and Susser (70) who argue that the pursuit of profit and economic growth in </w:t>
      </w:r>
      <w:r w:rsidRPr="00DD2D90">
        <w:rPr>
          <w:rStyle w:val="StyleUnderline"/>
        </w:rPr>
        <w:t xml:space="preserve">capitalism is </w:t>
      </w:r>
      <w:r w:rsidRPr="00DD2D90">
        <w:rPr>
          <w:rStyle w:val="Emphasis"/>
        </w:rPr>
        <w:t>fundamentally</w:t>
      </w:r>
      <w:r w:rsidRPr="00DD2D90">
        <w:rPr>
          <w:rStyle w:val="StyleUnderline"/>
        </w:rPr>
        <w:t xml:space="preserve"> at odds with any pursuit of equity</w:t>
      </w:r>
      <w:r w:rsidRPr="009278EB">
        <w:rPr>
          <w:sz w:val="16"/>
        </w:rPr>
        <w:t xml:space="preserve">. Governmentality and biopower: Any health-care or welfare reform does not enter a vacuum but is inserted into a complex historical, political, social and economic space of power, contestation and negotiation. The clinic constitutes a space of governmentality, where various forms of power and authority may coexist. Especially in post-colonial settings, the clinic embod- ies complex layering of power/knowledge: hierarchies, identities and divi- sions inflected by colonial and post-colonial legacies and ‘imperial debris’ (71) alongside new regimes of consumer choice, patient power, self-care and ‘responsibilization’, transparency and audit (72, 73). Paternalistic, au- thoritarian and punitive relations coexist with policy initiatives that strive for democratic participation and patient’s rights. The terrain of global health interventions – which, in many resource- poor countries in the Global South, is increasingly fragmented by a bewil- dering array of NGOs and transnational organizations working in various relations with national government – adds another level of biopolitical complexity. New kinds of collectives, both larger and smaller than the nation-state, and new forms of ‘biosociality’ are forming around health issues. For example, in Kenya, where I have conducted research, biological conditions, such as being HIV-positive, open access to forms of care not available to other citizens, producing an uneven landscape of care and en- titlements. While celebrated in terms of increasing global access to AIDS drugs, these programmes produce a fragmented landscape of care, in which having HIV/AIDS ensures access to care while other diseases or episodes of ill-health do not (35, 74). In the context of such fragmentation and amidst the state’s neglect of health-care and the politics of nostalgia therein (75–77), anthropologists are becoming attuned to citizens’ and patient’s desires for belonging and inclusion, for state protection and care. It is in this context that debates about UHC are emerging. For example, in countries such as Tanzania or Kenya, debates about UHC take place on the terrain or ‘debris’ of earlier visions and struggles surrounding public health as a public good that took place in the 1960s and 1970s. Yet conceptions of the public good may diverge widely as other moral economies and values jostle for space (78–80). As Rebecca Marsland and I suggested in our recent book, in many African countries, public health a matter of contestation and tension, “an open, even experimental arena, the future trajectories of which remain unclear” (76: 115). ii) Studies of Universal Health Coverage and health insurance: There is a large comparative literature on the implementation of UHC reforms in specific countries, pursued by scholars working in public health and health policy (81). Specific issues addressed include the merits and drawbacks of different models of health insurance (compulsory vs voluntary, national vs community-based); how to ensure quality of care while seeking to expand coverage; the private-public mix of services, and the role of private health- services in the ‘public good’; as well as the experiences of the bureaucrats, health workers and patients involved. Although the focus tends to be on a limited set of outcomes and questions of implementation, some innovative work also deals with questions of solidarity and the contradictory demands placed on health workers as they implement health reforms (36, 46). This literature also offers in-depth country-focused studies, with journals such as The Lancet devoting special issues to the progress towards UHC, allowing for comparison between countries as well as in-depth focus on a single country. As mentioned above, various models and schemes for (universal) health insurance form the backbone of UHC. There is the potential for collabora- tive work here, particularly as insurance is a new topic of anthropological research. A recent issue of the journal Medical Anthropology Quarterly de- voted to “the social life of health insurance” identifies a new anthropologi- cal research agenda (60). Meanwhile in the field of economic anthropology, studies of commercial insurance are emerging (59, 82). Key questions that future research could address on a country-by-country or comparative ba- sis, are a) how health insurance is organized within UHC schemes; b) what kind of values and practices it supposes or seeks to install; c) the broader landscape of insurance, including health insurance and commercial insur- ances; d) the habits and actions and values of citizens and patients, provid- ers and regulators, and bureaucrats. This brings us to the question of bu- reaucracy and the state. d. Anthropological approaches to studying the state, policy and bureaucracy: </w:t>
      </w:r>
      <w:r w:rsidRPr="00DD2D90">
        <w:rPr>
          <w:rStyle w:val="StyleUnderline"/>
        </w:rPr>
        <w:t>Universal Health Coverage is envisioned, by-and-large, as a state-orches- trated policy</w:t>
      </w:r>
      <w:r w:rsidRPr="009278EB">
        <w:rPr>
          <w:sz w:val="16"/>
        </w:rPr>
        <w:t xml:space="preserve">. The WHO’s call for UHC forms part of its push towards strengthening national health systems in view of the fact that </w:t>
      </w:r>
      <w:r w:rsidRPr="00DD2D90">
        <w:rPr>
          <w:rStyle w:val="StyleUnderline"/>
        </w:rPr>
        <w:t>only the state has the geographical reach and durability to organize the health care system</w:t>
      </w:r>
      <w:r w:rsidRPr="009278EB">
        <w:rPr>
          <w:sz w:val="16"/>
        </w:rPr>
        <w:t xml:space="preserve">. </w:t>
      </w:r>
      <w:r w:rsidRPr="00DD2D90">
        <w:rPr>
          <w:rStyle w:val="StyleUnderline"/>
        </w:rPr>
        <w:t>WHO is working</w:t>
      </w:r>
      <w:r w:rsidRPr="009278EB">
        <w:rPr>
          <w:sz w:val="16"/>
        </w:rPr>
        <w:t xml:space="preserve"> with national governments </w:t>
      </w:r>
      <w:r w:rsidRPr="00DD2D90">
        <w:rPr>
          <w:rStyle w:val="StyleUnderline"/>
        </w:rPr>
        <w:t>to implement UHC</w:t>
      </w:r>
      <w:r w:rsidRPr="009278EB">
        <w:rPr>
          <w:sz w:val="16"/>
        </w:rPr>
        <w:t xml:space="preserve"> (even where UHC is envisioned as the expansion of ‘community-based’ health insurance) </w:t>
      </w:r>
      <w:r w:rsidRPr="00DD2D90">
        <w:rPr>
          <w:rStyle w:val="StyleUnderline"/>
        </w:rPr>
        <w:t>and</w:t>
      </w:r>
      <w:r w:rsidRPr="009278EB">
        <w:rPr>
          <w:sz w:val="16"/>
        </w:rPr>
        <w:t xml:space="preserve"> to </w:t>
      </w:r>
      <w:r w:rsidRPr="00DD2D90">
        <w:rPr>
          <w:rStyle w:val="StyleUnderline"/>
        </w:rPr>
        <w:t>promote</w:t>
      </w:r>
      <w:r w:rsidRPr="009278EB">
        <w:rPr>
          <w:sz w:val="16"/>
        </w:rPr>
        <w:t xml:space="preserve"> the notion of </w:t>
      </w:r>
      <w:r w:rsidRPr="00DD2D90">
        <w:rPr>
          <w:rStyle w:val="StyleUnderline"/>
        </w:rPr>
        <w:t>health-care as a ‘collective</w:t>
      </w:r>
      <w:r w:rsidRPr="009278EB">
        <w:rPr>
          <w:sz w:val="16"/>
        </w:rPr>
        <w:t xml:space="preserve"> </w:t>
      </w:r>
      <w:r w:rsidRPr="00DD2D90">
        <w:rPr>
          <w:rStyle w:val="StyleUnderline"/>
        </w:rPr>
        <w:t>good’</w:t>
      </w:r>
      <w:r w:rsidRPr="009278EB">
        <w:rPr>
          <w:sz w:val="16"/>
        </w:rPr>
        <w:t xml:space="preserve">. Bureaucrats and bureaucracy play a prominent role. How could we get a handle on this arena of policy making and implementation? If we study the implementation of UHC in countries across the world, we will need to study the state. States in the Global South, particularly African states, are often described by political scientists and in the media in terms of corruption, venality and inefficiency. By contrast, anthropologists approach the issue from the ground-up, exploring plural cultural logics and social practices of statecraft and citizenship. If we take African countries as the example, again, there is much evidence that, despite the erosion of state capacity since the 1980s, and the widespread problems of corruption and inefficiency, concerns for the public good are not absent among civil servants (83–85). Research on the ‘moral economies’ informing bureaucracy and the often-conflicting obligations state officials face, explores the contradictory space of the ‘pub- lic good’ (86), challenging assumptions about bureaucrats as being corrupt or indifferent. These studies explore the everyday life of the state, offering insights into how contradictory ‘public goods’ may translate into inaction (87, 88). The office, with its meetings, plans, documents and files, emerges as an important ethnographic site for examining how law gets translated into practice and how the state functions. Some of these issues are taken up the ‘anthropology of policy’, an emerg- ing field which tracks processes from policy to planning to implementation, challenging assumptions about unified logics to explore how planning and practice emerge out of multiple interests (89). The anthropology of development, too, scrutinizes policy and practices, offering insights into the unintended consequences of development inter- ventions (90). Recent approaches move beyond critiques of development towards engagement with development’s multiple effects (91). James Ferguson (92) makes a similar move in relation to neoliberalism, arguing that neoliberal governmentality should be approached as a contra- dictory space rather than a coherent set of policies and practices. When policy is a “vast experimental field” (93), </w:t>
      </w:r>
      <w:r w:rsidRPr="00DD2D90">
        <w:rPr>
          <w:rStyle w:val="StyleUnderline"/>
        </w:rPr>
        <w:t>UHC may be</w:t>
      </w:r>
      <w:r w:rsidRPr="009278EB">
        <w:rPr>
          <w:sz w:val="16"/>
        </w:rPr>
        <w:t>, as Ferguson suggests in relation to Cash Transfer Programmes, “</w:t>
      </w:r>
      <w:r w:rsidRPr="00DD2D90">
        <w:rPr>
          <w:rStyle w:val="StyleUnderline"/>
        </w:rPr>
        <w:t>inventing arts of government adequate to our times</w:t>
      </w:r>
      <w:r w:rsidRPr="009278EB">
        <w:rPr>
          <w:sz w:val="16"/>
        </w:rPr>
        <w:t xml:space="preserve">” (28). This suggests that we should explore how UHC, while being engaged in the contexts of neoliberal government, may not be limited by it. The questions of what kind of state UHC policies imagine and shape, and of UHC’s relation to neoliberalism, must be left open for empirical exploration. UHC reforms should be situated within this complex framework of governmentality. In many postcolonial contexts, the state is not a predict- able, monolithic power (75) and transnational agents (from global health organizations to commercial insurance and pharmaceutical companies) are creating enclaves and exclusions (94, 95). In these contexts, forms of power, knowledge and the public good are hotly debated in the public sphere (96). We could therefore approach state bureaucracy as a complex arena filled with conflicting values and practices and explore how state officials or civil servants actually engage with ‘the public good’. The point is to explore how ‘universal’ concepts and values are engaged; how they travel and are embed- ded in national histories as well as in local socio-cultural fields, and the frictions that are generated therein. Conclusion: A new research field for medical anthropology </w:t>
      </w:r>
      <w:r w:rsidRPr="00DD2D90">
        <w:rPr>
          <w:rStyle w:val="StyleUnderline"/>
        </w:rPr>
        <w:t>Social inequality and the widening gap between public and private health- care services are major challenges of our time</w:t>
      </w:r>
      <w:r w:rsidRPr="009278EB">
        <w:rPr>
          <w:sz w:val="16"/>
        </w:rPr>
        <w:t xml:space="preserve">. In many low-income coun- tries, </w:t>
      </w:r>
      <w:r w:rsidRPr="00DD2D90">
        <w:rPr>
          <w:rStyle w:val="StyleUnderline"/>
          <w:highlight w:val="green"/>
        </w:rPr>
        <w:t xml:space="preserve">health-care is </w:t>
      </w:r>
      <w:r w:rsidRPr="00DD2D90">
        <w:rPr>
          <w:rStyle w:val="Emphasis"/>
          <w:highlight w:val="green"/>
        </w:rPr>
        <w:t>polarized</w:t>
      </w:r>
      <w:r w:rsidRPr="00DD2D90">
        <w:rPr>
          <w:rStyle w:val="StyleUnderline"/>
        </w:rPr>
        <w:t xml:space="preserve"> </w:t>
      </w:r>
      <w:r w:rsidRPr="00DD2D90">
        <w:rPr>
          <w:rStyle w:val="StyleUnderline"/>
          <w:highlight w:val="green"/>
        </w:rPr>
        <w:t>between optimized privatized services catering to the wealthy</w:t>
      </w:r>
      <w:r w:rsidRPr="00DD2D90">
        <w:rPr>
          <w:rStyle w:val="StyleUnderline"/>
        </w:rPr>
        <w:t xml:space="preserve"> and insured, </w:t>
      </w:r>
      <w:r w:rsidRPr="00DD2D90">
        <w:rPr>
          <w:rStyle w:val="StyleUnderline"/>
          <w:highlight w:val="green"/>
        </w:rPr>
        <w:t>and minimal interventions</w:t>
      </w:r>
      <w:r w:rsidRPr="00DD2D90">
        <w:rPr>
          <w:rStyle w:val="StyleUnderline"/>
        </w:rPr>
        <w:t xml:space="preserve"> and packages de- signed </w:t>
      </w:r>
      <w:r w:rsidRPr="00DD2D90">
        <w:rPr>
          <w:rStyle w:val="StyleUnderline"/>
          <w:highlight w:val="green"/>
        </w:rPr>
        <w:t>for the poor</w:t>
      </w:r>
      <w:r w:rsidRPr="00DD2D90">
        <w:rPr>
          <w:rStyle w:val="StyleUnderline"/>
        </w:rPr>
        <w:t xml:space="preserve"> and </w:t>
      </w:r>
      <w:r w:rsidRPr="00DD2D90">
        <w:rPr>
          <w:rStyle w:val="StyleUnderline"/>
          <w:highlight w:val="green"/>
        </w:rPr>
        <w:t>delivered</w:t>
      </w:r>
      <w:r w:rsidRPr="00DD2D90">
        <w:rPr>
          <w:rStyle w:val="StyleUnderline"/>
        </w:rPr>
        <w:t xml:space="preserve"> </w:t>
      </w:r>
      <w:r w:rsidRPr="00DD2D90">
        <w:rPr>
          <w:rStyle w:val="StyleUnderline"/>
          <w:highlight w:val="green"/>
        </w:rPr>
        <w:t>through</w:t>
      </w:r>
      <w:r w:rsidRPr="00DD2D90">
        <w:rPr>
          <w:rStyle w:val="StyleUnderline"/>
        </w:rPr>
        <w:t xml:space="preserve"> global health, </w:t>
      </w:r>
      <w:r w:rsidRPr="00DD2D90">
        <w:rPr>
          <w:rStyle w:val="StyleUnderline"/>
          <w:highlight w:val="green"/>
        </w:rPr>
        <w:t>humanitarian</w:t>
      </w:r>
      <w:r w:rsidRPr="00DD2D90">
        <w:rPr>
          <w:rStyle w:val="StyleUnderline"/>
        </w:rPr>
        <w:t xml:space="preserve"> and </w:t>
      </w:r>
      <w:r w:rsidRPr="00DD2D90">
        <w:rPr>
          <w:rStyle w:val="StyleUnderline"/>
          <w:highlight w:val="green"/>
        </w:rPr>
        <w:t>NGO</w:t>
      </w:r>
      <w:r w:rsidRPr="00DD2D90">
        <w:rPr>
          <w:rStyle w:val="StyleUnderline"/>
        </w:rPr>
        <w:t xml:space="preserve"> structures, </w:t>
      </w:r>
      <w:r w:rsidRPr="00DD2D90">
        <w:rPr>
          <w:rStyle w:val="StyleUnderline"/>
          <w:highlight w:val="green"/>
        </w:rPr>
        <w:t>while</w:t>
      </w:r>
      <w:r w:rsidRPr="00DD2D90">
        <w:rPr>
          <w:rStyle w:val="StyleUnderline"/>
        </w:rPr>
        <w:t xml:space="preserve"> </w:t>
      </w:r>
      <w:r w:rsidRPr="00DD2D90">
        <w:rPr>
          <w:rStyle w:val="StyleUnderline"/>
          <w:highlight w:val="green"/>
        </w:rPr>
        <w:t>government</w:t>
      </w:r>
      <w:r w:rsidRPr="00DD2D90">
        <w:rPr>
          <w:rStyle w:val="StyleUnderline"/>
        </w:rPr>
        <w:t xml:space="preserve">-supported national </w:t>
      </w:r>
      <w:r w:rsidRPr="00DD2D90">
        <w:rPr>
          <w:rStyle w:val="StyleUnderline"/>
          <w:highlight w:val="green"/>
        </w:rPr>
        <w:t>health care</w:t>
      </w:r>
      <w:r w:rsidRPr="00DD2D90">
        <w:rPr>
          <w:rStyle w:val="StyleUnderline"/>
        </w:rPr>
        <w:t xml:space="preserve"> systems </w:t>
      </w:r>
      <w:r w:rsidRPr="00DD2D90">
        <w:rPr>
          <w:rStyle w:val="StyleUnderline"/>
          <w:highlight w:val="green"/>
        </w:rPr>
        <w:t xml:space="preserve">are </w:t>
      </w:r>
      <w:r w:rsidRPr="00DD2D90">
        <w:rPr>
          <w:rStyle w:val="Emphasis"/>
          <w:highlight w:val="green"/>
        </w:rPr>
        <w:t>neglected</w:t>
      </w:r>
      <w:r w:rsidRPr="009278EB">
        <w:rPr>
          <w:sz w:val="16"/>
        </w:rPr>
        <w:t xml:space="preserve">. There is an urgent need for rethinking this model of health care and the kind of society it creates and upholds. All the major global health funders and organizations, as well as international organizations and national governments are discussing ways of implementing UHC. While extensive research is being done on UHC, much of it focuses on pragmatic issues concerning implementation. In this article, I have argued that, if we want to </w:t>
      </w:r>
      <w:r w:rsidRPr="00DD2D90">
        <w:rPr>
          <w:rStyle w:val="StyleUnderline"/>
        </w:rPr>
        <w:t>take UHC seriously as one of the most progressive policies since</w:t>
      </w:r>
      <w:r w:rsidRPr="009278EB">
        <w:rPr>
          <w:sz w:val="16"/>
        </w:rPr>
        <w:t xml:space="preserve"> the Declaration of Alma Ata in </w:t>
      </w:r>
      <w:r w:rsidRPr="00DD2D90">
        <w:rPr>
          <w:rStyle w:val="StyleUnderline"/>
        </w:rPr>
        <w:t>1978</w:t>
      </w:r>
      <w:r w:rsidRPr="009278EB">
        <w:rPr>
          <w:sz w:val="16"/>
        </w:rPr>
        <w:t xml:space="preserve">, we should explore the values of solidarity, obligation and the public good that it seems to call forth (97, 98), and study whether and how these values are put into action, through comparing countries and initiatives. I have advocated for a medical anthropology approach to studying the relations between UHC policy and practice and its engagements with citi- zenship, the state and the public good. Anthropological research is uniquely positioned to explore these issues, given its capacity to move between sites of policy-making and implementation, and to capture the perspectives and practices of different actors and organizations. An anthropological approach is especially called for because, given the plurality of its forms, Universal Health Coverage is less as a concrete object than a vision. Its effects should thus be measured not only against their realization but in relation to the debates and social processes UHC engenders. </w:t>
      </w:r>
    </w:p>
    <w:p w14:paraId="641FE276" w14:textId="77777777" w:rsidR="00EA6776" w:rsidRPr="009278EB" w:rsidRDefault="00EA6776">
      <w:pPr>
        <w:rPr>
          <w:rFonts w:eastAsiaTheme="majorEastAsia" w:cstheme="majorBidi"/>
          <w:b/>
          <w:iCs/>
          <w:sz w:val="16"/>
          <w:lang w:val="vi-VN"/>
        </w:rPr>
      </w:pPr>
      <w:r w:rsidRPr="009278EB">
        <w:rPr>
          <w:sz w:val="16"/>
          <w:lang w:val="vi-VN"/>
        </w:rPr>
        <w:br w:type="page"/>
      </w:r>
    </w:p>
    <w:p w14:paraId="05CA0C2A" w14:textId="45A19D64" w:rsidR="002637A5" w:rsidRPr="009278EB" w:rsidRDefault="002637A5" w:rsidP="002637A5">
      <w:pPr>
        <w:pStyle w:val="Heading4"/>
        <w:rPr>
          <w:szCs w:val="26"/>
        </w:rPr>
      </w:pPr>
      <w:r w:rsidRPr="009278EB">
        <w:rPr>
          <w:szCs w:val="26"/>
          <w:lang w:val="vi-VN"/>
        </w:rPr>
        <w:t>Healthcare must be treated as a public good to dismantle structural</w:t>
      </w:r>
      <w:r w:rsidRPr="009278EB">
        <w:rPr>
          <w:szCs w:val="26"/>
        </w:rPr>
        <w:t xml:space="preserve"> health</w:t>
      </w:r>
      <w:r w:rsidRPr="009278EB">
        <w:rPr>
          <w:szCs w:val="26"/>
          <w:lang w:val="vi-VN"/>
        </w:rPr>
        <w:t xml:space="preserve"> inequalities that prioritize </w:t>
      </w:r>
      <w:r w:rsidRPr="009278EB">
        <w:rPr>
          <w:szCs w:val="26"/>
        </w:rPr>
        <w:t>the 1%</w:t>
      </w:r>
      <w:r w:rsidRPr="009278EB">
        <w:rPr>
          <w:szCs w:val="26"/>
          <w:lang w:val="vi-VN"/>
        </w:rPr>
        <w:t xml:space="preserve"> over human right</w:t>
      </w:r>
      <w:r w:rsidRPr="009278EB">
        <w:rPr>
          <w:szCs w:val="26"/>
        </w:rPr>
        <w:t>s</w:t>
      </w:r>
    </w:p>
    <w:p w14:paraId="334151E5" w14:textId="77777777" w:rsidR="002637A5" w:rsidRPr="00DD2D90" w:rsidRDefault="002637A5" w:rsidP="002637A5">
      <w:pPr>
        <w:rPr>
          <w:lang w:val="vi-VN"/>
        </w:rPr>
      </w:pPr>
      <w:r w:rsidRPr="009278EB">
        <w:rPr>
          <w:b/>
          <w:bCs/>
          <w:sz w:val="26"/>
          <w:szCs w:val="26"/>
          <w:lang w:val="vi-VN"/>
        </w:rPr>
        <w:t>Regilme 24</w:t>
      </w:r>
      <w:r w:rsidRPr="00DD2D90">
        <w:rPr>
          <w:lang w:val="vi-VN"/>
        </w:rPr>
        <w:t xml:space="preserve"> [Salvador Santino Regilme, a tenured Associate Professor of International Relations at Leiden University and chairs the MA in International Relations Program, 11</w:t>
      </w:r>
      <w:r w:rsidRPr="00DD2D90">
        <w:t>-</w:t>
      </w:r>
      <w:r w:rsidRPr="00DD2D90">
        <w:rPr>
          <w:lang w:val="vi-VN"/>
        </w:rPr>
        <w:t>20</w:t>
      </w:r>
      <w:r w:rsidRPr="00DD2D90">
        <w:t>-</w:t>
      </w:r>
      <w:r w:rsidRPr="00DD2D90">
        <w:rPr>
          <w:lang w:val="vi-VN"/>
        </w:rPr>
        <w:t>2024, “Human Rights, Inequality, and Public Health: An Integrated Approach”</w:t>
      </w:r>
      <w:r w:rsidRPr="00DD2D90">
        <w:t>,</w:t>
      </w:r>
      <w:r w:rsidRPr="00DD2D90">
        <w:rPr>
          <w:lang w:val="vi-VN"/>
        </w:rPr>
        <w:t xml:space="preserve"> The SAIS Reviewhttps://saisreview.sais.jhu.edu/human-rights-inequality-and-public-health-an-integrated-approach/]</w:t>
      </w:r>
      <w:r w:rsidRPr="00DD2D90">
        <w:t>/</w:t>
      </w:r>
      <w:r w:rsidRPr="00DD2D90">
        <w:rPr>
          <w:lang w:val="vi-VN"/>
        </w:rPr>
        <w:t>Kankee</w:t>
      </w:r>
    </w:p>
    <w:p w14:paraId="6BEF7F3A" w14:textId="77777777" w:rsidR="002637A5" w:rsidRPr="009278EB" w:rsidRDefault="002637A5" w:rsidP="002637A5">
      <w:pPr>
        <w:rPr>
          <w:sz w:val="16"/>
          <w:lang w:val="vi-VN"/>
        </w:rPr>
      </w:pPr>
      <w:r w:rsidRPr="00DD2D90">
        <w:rPr>
          <w:rStyle w:val="Emphasis"/>
          <w:b w:val="0"/>
          <w:bCs/>
          <w:highlight w:val="green"/>
        </w:rPr>
        <w:t>Structural inequalities</w:t>
      </w:r>
      <w:r w:rsidRPr="00DD2D90">
        <w:rPr>
          <w:rStyle w:val="StyleUnderline"/>
        </w:rPr>
        <w:t xml:space="preserve"> in political</w:t>
      </w:r>
      <w:r w:rsidRPr="009278EB">
        <w:rPr>
          <w:sz w:val="16"/>
          <w:lang w:val="vi-VN"/>
        </w:rPr>
        <w:t xml:space="preserve">, </w:t>
      </w:r>
      <w:r w:rsidRPr="00DD2D90">
        <w:rPr>
          <w:rStyle w:val="StyleUnderline"/>
        </w:rPr>
        <w:t>economic, and social systems generate human rights violations and unequal health outcomes</w:t>
      </w:r>
      <w:r w:rsidRPr="009278EB">
        <w:rPr>
          <w:sz w:val="16"/>
          <w:lang w:val="vi-VN"/>
        </w:rPr>
        <w:t xml:space="preserve">, </w:t>
      </w:r>
      <w:r w:rsidRPr="009278EB">
        <w:rPr>
          <w:sz w:val="16"/>
        </w:rPr>
        <w:t xml:space="preserve">systemically </w:t>
      </w:r>
      <w:r w:rsidRPr="00DD2D90">
        <w:rPr>
          <w:rStyle w:val="Emphasis"/>
          <w:b w:val="0"/>
          <w:bCs/>
        </w:rPr>
        <w:t>favoring certain groups over others.</w:t>
      </w:r>
      <w:r w:rsidRPr="00DD2D90">
        <w:rPr>
          <w:rStyle w:val="Emphasis"/>
        </w:rPr>
        <w:t xml:space="preserve"> </w:t>
      </w:r>
      <w:r w:rsidRPr="009278EB">
        <w:rPr>
          <w:sz w:val="16"/>
          <w:lang w:val="vi-VN"/>
        </w:rPr>
        <w:t xml:space="preserve">In oligarchic democracies, policies </w:t>
      </w:r>
      <w:r w:rsidRPr="00DD2D90">
        <w:rPr>
          <w:rStyle w:val="Emphasis"/>
          <w:b w:val="0"/>
          <w:bCs/>
        </w:rPr>
        <w:t xml:space="preserve">often </w:t>
      </w:r>
      <w:r w:rsidRPr="00DD2D90">
        <w:rPr>
          <w:rStyle w:val="Emphasis"/>
          <w:b w:val="0"/>
          <w:bCs/>
          <w:highlight w:val="green"/>
        </w:rPr>
        <w:t>benefit the wealthy elite</w:t>
      </w:r>
      <w:r w:rsidRPr="009278EB">
        <w:rPr>
          <w:sz w:val="16"/>
          <w:lang w:val="vi-VN"/>
        </w:rPr>
        <w:t xml:space="preserve">, consequently </w:t>
      </w:r>
      <w:r w:rsidRPr="00DD2D90">
        <w:rPr>
          <w:rStyle w:val="StyleUnderline"/>
        </w:rPr>
        <w:t>exacerbating health disparities and undermining public welfare</w:t>
      </w:r>
      <w:r w:rsidRPr="009278EB">
        <w:rPr>
          <w:sz w:val="16"/>
          <w:lang w:val="vi-VN"/>
        </w:rPr>
        <w:t xml:space="preserve"> by denying poor people the necessary social services. For example</w:t>
      </w:r>
      <w:r w:rsidRPr="009278EB">
        <w:rPr>
          <w:sz w:val="16"/>
        </w:rPr>
        <w:t xml:space="preserve">, </w:t>
      </w:r>
      <w:r w:rsidRPr="00DD2D90">
        <w:rPr>
          <w:rStyle w:val="Emphasis"/>
          <w:b w:val="0"/>
          <w:bCs/>
        </w:rPr>
        <w:t xml:space="preserve">in the </w:t>
      </w:r>
      <w:r w:rsidRPr="00DD2D90">
        <w:rPr>
          <w:rStyle w:val="Emphasis"/>
          <w:b w:val="0"/>
          <w:bCs/>
          <w:highlight w:val="green"/>
        </w:rPr>
        <w:t>U</w:t>
      </w:r>
      <w:r w:rsidRPr="009278EB">
        <w:rPr>
          <w:sz w:val="16"/>
          <w:lang w:val="vi-VN"/>
        </w:rPr>
        <w:t xml:space="preserve">nited </w:t>
      </w:r>
      <w:r w:rsidRPr="00DD2D90">
        <w:rPr>
          <w:rStyle w:val="Emphasis"/>
          <w:b w:val="0"/>
          <w:bCs/>
          <w:highlight w:val="green"/>
        </w:rPr>
        <w:t>S</w:t>
      </w:r>
      <w:r w:rsidRPr="009278EB">
        <w:rPr>
          <w:sz w:val="16"/>
          <w:lang w:val="vi-VN"/>
        </w:rPr>
        <w:t xml:space="preserve">tates, the </w:t>
      </w:r>
      <w:r w:rsidRPr="00DD2D90">
        <w:rPr>
          <w:rStyle w:val="Emphasis"/>
          <w:b w:val="0"/>
          <w:bCs/>
          <w:highlight w:val="green"/>
        </w:rPr>
        <w:t>life expectancy disparity</w:t>
      </w:r>
      <w:r w:rsidRPr="00DD2D90">
        <w:rPr>
          <w:rStyle w:val="Emphasis"/>
          <w:b w:val="0"/>
          <w:bCs/>
        </w:rPr>
        <w:t xml:space="preserve"> </w:t>
      </w:r>
      <w:r w:rsidRPr="00DD2D90">
        <w:rPr>
          <w:rStyle w:val="Emphasis"/>
          <w:b w:val="0"/>
          <w:bCs/>
          <w:highlight w:val="green"/>
        </w:rPr>
        <w:t>between the</w:t>
      </w:r>
      <w:r w:rsidRPr="00DD2D90">
        <w:rPr>
          <w:rStyle w:val="Emphasis"/>
          <w:b w:val="0"/>
          <w:bCs/>
        </w:rPr>
        <w:t xml:space="preserve"> </w:t>
      </w:r>
      <w:r w:rsidRPr="00DD2D90">
        <w:rPr>
          <w:rStyle w:val="Emphasis"/>
          <w:b w:val="0"/>
          <w:bCs/>
          <w:highlight w:val="green"/>
        </w:rPr>
        <w:t>rich</w:t>
      </w:r>
      <w:r w:rsidRPr="00DD2D90">
        <w:rPr>
          <w:rStyle w:val="Emphasis"/>
          <w:b w:val="0"/>
          <w:bCs/>
        </w:rPr>
        <w:t xml:space="preserve">est 1% </w:t>
      </w:r>
      <w:r w:rsidRPr="00DD2D90">
        <w:rPr>
          <w:rStyle w:val="Emphasis"/>
          <w:b w:val="0"/>
          <w:bCs/>
          <w:highlight w:val="green"/>
        </w:rPr>
        <w:t>and</w:t>
      </w:r>
      <w:r w:rsidRPr="00DD2D90">
        <w:rPr>
          <w:rStyle w:val="Emphasis"/>
          <w:b w:val="0"/>
          <w:bCs/>
        </w:rPr>
        <w:t xml:space="preserve"> the </w:t>
      </w:r>
      <w:r w:rsidRPr="00DD2D90">
        <w:rPr>
          <w:rStyle w:val="Emphasis"/>
          <w:b w:val="0"/>
          <w:bCs/>
          <w:highlight w:val="green"/>
        </w:rPr>
        <w:t>poor</w:t>
      </w:r>
      <w:r w:rsidRPr="00DD2D90">
        <w:rPr>
          <w:rStyle w:val="Emphasis"/>
          <w:b w:val="0"/>
          <w:bCs/>
        </w:rPr>
        <w:t xml:space="preserve">est 1% of </w:t>
      </w:r>
      <w:r w:rsidRPr="00DD2D90">
        <w:rPr>
          <w:rStyle w:val="StyleUnderline"/>
        </w:rPr>
        <w:t xml:space="preserve">individuals </w:t>
      </w:r>
      <w:r w:rsidRPr="00DD2D90">
        <w:rPr>
          <w:rStyle w:val="StyleUnderline"/>
          <w:highlight w:val="green"/>
        </w:rPr>
        <w:t>is</w:t>
      </w:r>
      <w:r w:rsidRPr="00DD2D90">
        <w:rPr>
          <w:rStyle w:val="Emphasis"/>
        </w:rPr>
        <w:t xml:space="preserve"> </w:t>
      </w:r>
      <w:r w:rsidRPr="009278EB">
        <w:rPr>
          <w:sz w:val="16"/>
          <w:lang w:val="vi-VN"/>
        </w:rPr>
        <w:t>approximately</w:t>
      </w:r>
      <w:r w:rsidRPr="009278EB">
        <w:rPr>
          <w:b/>
          <w:bCs/>
          <w:sz w:val="16"/>
          <w:lang w:val="vi-VN"/>
        </w:rPr>
        <w:t xml:space="preserve"> </w:t>
      </w:r>
      <w:r w:rsidRPr="00DD2D90">
        <w:rPr>
          <w:rStyle w:val="Emphasis"/>
          <w:highlight w:val="green"/>
        </w:rPr>
        <w:t>15 years</w:t>
      </w:r>
      <w:r w:rsidRPr="00DD2D90">
        <w:rPr>
          <w:rStyle w:val="Emphasis"/>
          <w:b w:val="0"/>
          <w:bCs/>
          <w:highlight w:val="green"/>
        </w:rPr>
        <w:t xml:space="preserve"> for men and </w:t>
      </w:r>
      <w:r w:rsidRPr="00DD2D90">
        <w:rPr>
          <w:rStyle w:val="Emphasis"/>
          <w:highlight w:val="green"/>
        </w:rPr>
        <w:t>10 years</w:t>
      </w:r>
      <w:r w:rsidRPr="00DD2D90">
        <w:rPr>
          <w:rStyle w:val="Emphasis"/>
          <w:b w:val="0"/>
          <w:bCs/>
          <w:highlight w:val="green"/>
        </w:rPr>
        <w:t xml:space="preserve"> for women</w:t>
      </w:r>
      <w:r w:rsidRPr="00DD2D90">
        <w:rPr>
          <w:rStyle w:val="Emphasis"/>
          <w:b w:val="0"/>
          <w:bCs/>
        </w:rPr>
        <w:t>.</w:t>
      </w:r>
      <w:r w:rsidRPr="009278EB">
        <w:rPr>
          <w:sz w:val="16"/>
          <w:lang w:val="vi-VN"/>
        </w:rPr>
        <w:t xml:space="preserve"> The magnitude of this difference suggests the profound impact of economic inequality on health outcomes. </w:t>
      </w:r>
      <w:r w:rsidRPr="00DD2D90">
        <w:rPr>
          <w:rStyle w:val="Emphasis"/>
          <w:b w:val="0"/>
          <w:bCs/>
        </w:rPr>
        <w:t xml:space="preserve">The </w:t>
      </w:r>
      <w:r w:rsidRPr="00DD2D90">
        <w:rPr>
          <w:rStyle w:val="Emphasis"/>
          <w:b w:val="0"/>
          <w:bCs/>
          <w:highlight w:val="green"/>
        </w:rPr>
        <w:t>U</w:t>
      </w:r>
      <w:r w:rsidRPr="00DD2D90">
        <w:rPr>
          <w:rStyle w:val="Emphasis"/>
          <w:b w:val="0"/>
          <w:bCs/>
        </w:rPr>
        <w:t xml:space="preserve">nited </w:t>
      </w:r>
      <w:r w:rsidRPr="00DD2D90">
        <w:rPr>
          <w:rStyle w:val="Emphasis"/>
          <w:b w:val="0"/>
          <w:bCs/>
          <w:highlight w:val="green"/>
        </w:rPr>
        <w:t>N</w:t>
      </w:r>
      <w:r w:rsidRPr="00DD2D90">
        <w:rPr>
          <w:rStyle w:val="Emphasis"/>
          <w:b w:val="0"/>
          <w:bCs/>
        </w:rPr>
        <w:t xml:space="preserve">ations </w:t>
      </w:r>
      <w:r w:rsidRPr="00DD2D90">
        <w:rPr>
          <w:rStyle w:val="Emphasis"/>
          <w:b w:val="0"/>
          <w:bCs/>
          <w:highlight w:val="green"/>
        </w:rPr>
        <w:t>S</w:t>
      </w:r>
      <w:r w:rsidRPr="00DD2D90">
        <w:rPr>
          <w:rStyle w:val="Emphasis"/>
          <w:b w:val="0"/>
          <w:bCs/>
        </w:rPr>
        <w:t xml:space="preserve">ustainable </w:t>
      </w:r>
      <w:r w:rsidRPr="00DD2D90">
        <w:rPr>
          <w:rStyle w:val="Emphasis"/>
          <w:b w:val="0"/>
          <w:bCs/>
          <w:highlight w:val="green"/>
        </w:rPr>
        <w:t>D</w:t>
      </w:r>
      <w:r w:rsidRPr="00DD2D90">
        <w:rPr>
          <w:rStyle w:val="Emphasis"/>
          <w:b w:val="0"/>
          <w:bCs/>
        </w:rPr>
        <w:t xml:space="preserve">evelopment </w:t>
      </w:r>
      <w:r w:rsidRPr="00DD2D90">
        <w:rPr>
          <w:rStyle w:val="Emphasis"/>
          <w:b w:val="0"/>
          <w:bCs/>
          <w:highlight w:val="green"/>
        </w:rPr>
        <w:t>G</w:t>
      </w:r>
      <w:r w:rsidRPr="00DD2D90">
        <w:rPr>
          <w:rStyle w:val="Emphasis"/>
          <w:b w:val="0"/>
          <w:bCs/>
        </w:rPr>
        <w:t>oals</w:t>
      </w:r>
      <w:r w:rsidRPr="009278EB">
        <w:rPr>
          <w:sz w:val="16"/>
          <w:lang w:val="vi-VN"/>
        </w:rPr>
        <w:t>, particularly Goal 10, (“</w:t>
      </w:r>
      <w:r w:rsidRPr="00DD2D90">
        <w:rPr>
          <w:rStyle w:val="Emphasis"/>
          <w:b w:val="0"/>
          <w:bCs/>
        </w:rPr>
        <w:t>Reduce inequality within and among countries</w:t>
      </w:r>
      <w:r w:rsidRPr="009278EB">
        <w:rPr>
          <w:sz w:val="16"/>
          <w:lang w:val="vi-VN"/>
        </w:rPr>
        <w:t xml:space="preserve">”) </w:t>
      </w:r>
      <w:r w:rsidRPr="00DD2D90">
        <w:rPr>
          <w:rStyle w:val="StyleUnderline"/>
          <w:highlight w:val="green"/>
        </w:rPr>
        <w:t>recognize</w:t>
      </w:r>
      <w:r w:rsidRPr="00DD2D90">
        <w:rPr>
          <w:rStyle w:val="StyleUnderline"/>
        </w:rPr>
        <w:t xml:space="preserve"> </w:t>
      </w:r>
      <w:r w:rsidRPr="00DD2D90">
        <w:rPr>
          <w:rStyle w:val="StyleUnderline"/>
          <w:highlight w:val="green"/>
        </w:rPr>
        <w:t>the</w:t>
      </w:r>
      <w:r w:rsidRPr="00DD2D90">
        <w:rPr>
          <w:rStyle w:val="StyleUnderline"/>
        </w:rPr>
        <w:t xml:space="preserve"> inherent connection between health and economic outcomes</w:t>
      </w:r>
      <w:r w:rsidRPr="009278EB">
        <w:rPr>
          <w:sz w:val="16"/>
          <w:lang w:val="vi-VN"/>
        </w:rPr>
        <w:t xml:space="preserve">, </w:t>
      </w:r>
      <w:r w:rsidRPr="00DD2D90">
        <w:rPr>
          <w:rStyle w:val="StyleUnderline"/>
        </w:rPr>
        <w:t xml:space="preserve">emphasizing the </w:t>
      </w:r>
      <w:r w:rsidRPr="00DD2D90">
        <w:rPr>
          <w:rStyle w:val="StyleUnderline"/>
          <w:highlight w:val="green"/>
        </w:rPr>
        <w:t>need to address inequality</w:t>
      </w:r>
      <w:r w:rsidRPr="00DD2D90">
        <w:rPr>
          <w:rStyle w:val="StyleUnderline"/>
        </w:rPr>
        <w:t xml:space="preserve"> in order </w:t>
      </w:r>
      <w:r w:rsidRPr="00DD2D90">
        <w:rPr>
          <w:rStyle w:val="Emphasis"/>
          <w:b w:val="0"/>
          <w:bCs/>
          <w:highlight w:val="green"/>
        </w:rPr>
        <w:t>to improve global</w:t>
      </w:r>
      <w:r w:rsidRPr="00DD2D90">
        <w:rPr>
          <w:rStyle w:val="Emphasis"/>
          <w:b w:val="0"/>
          <w:bCs/>
        </w:rPr>
        <w:t xml:space="preserve"> </w:t>
      </w:r>
      <w:r w:rsidRPr="00DD2D90">
        <w:rPr>
          <w:rStyle w:val="Emphasis"/>
          <w:b w:val="0"/>
          <w:bCs/>
          <w:highlight w:val="green"/>
        </w:rPr>
        <w:t>health</w:t>
      </w:r>
      <w:r w:rsidRPr="00DD2D90">
        <w:rPr>
          <w:rStyle w:val="Emphasis"/>
          <w:highlight w:val="green"/>
        </w:rPr>
        <w:t xml:space="preserve"> </w:t>
      </w:r>
      <w:r w:rsidRPr="00DD2D90">
        <w:rPr>
          <w:rStyle w:val="StyleUnderline"/>
        </w:rPr>
        <w:t>and well-being</w:t>
      </w:r>
      <w:r w:rsidRPr="009278EB">
        <w:rPr>
          <w:sz w:val="16"/>
          <w:lang w:val="vi-VN"/>
        </w:rPr>
        <w:t xml:space="preserve">. Achieving these objectives, </w:t>
      </w:r>
      <w:r w:rsidRPr="009278EB">
        <w:rPr>
          <w:sz w:val="16"/>
        </w:rPr>
        <w:t xml:space="preserve">nonetheless, requires more than mere policy declarations; it necessitates a substantial reevaluation of the implementation of global health initiatives and the alignment of geopolitical strategies with human rights principles. </w:t>
      </w:r>
      <w:r w:rsidRPr="00DD2D90">
        <w:rPr>
          <w:rStyle w:val="StyleUnderline"/>
        </w:rPr>
        <w:t>Socio-economic inequalities often shape the quality of public health infrastructure, which is usually related to and caused by factors such as income, education, and employment status</w:t>
      </w:r>
      <w:r w:rsidRPr="009278EB">
        <w:rPr>
          <w:sz w:val="16"/>
          <w:lang w:val="vi-VN"/>
        </w:rPr>
        <w:t>. The determinants in question are of paramount importance since they determine the conditions in which individuals reside and work, ultimately impacting the</w:t>
      </w:r>
      <w:r w:rsidRPr="009278EB">
        <w:rPr>
          <w:sz w:val="16"/>
        </w:rPr>
        <w:t xml:space="preserve">ir health outcomes. Of particular importance is education, which is widely recognized as a primary conduit to socioeconomic advancement, with higher levels of education serving as a strong predictor of both good jobs and high income. Indeed, education is closely intertwined with inequality.14 Notably, remarkable differences in access to high-quality education and income-generating opportunities often result in unequal access </w:t>
      </w:r>
      <w:r w:rsidRPr="009278EB">
        <w:rPr>
          <w:sz w:val="16"/>
          <w:lang w:val="vi-VN"/>
        </w:rPr>
        <w:t xml:space="preserve">to </w:t>
      </w:r>
      <w:r w:rsidRPr="00DD2D90">
        <w:rPr>
          <w:rStyle w:val="StyleUnderline"/>
        </w:rPr>
        <w:t>healthcare</w:t>
      </w:r>
      <w:r w:rsidRPr="009278EB">
        <w:rPr>
          <w:sz w:val="16"/>
          <w:lang w:val="vi-VN"/>
        </w:rPr>
        <w:t xml:space="preserve">, nutritious food, and safe living environments, which </w:t>
      </w:r>
      <w:r w:rsidRPr="00DD2D90">
        <w:rPr>
          <w:rStyle w:val="StyleUnderline"/>
        </w:rPr>
        <w:t>are</w:t>
      </w:r>
      <w:r w:rsidRPr="009278EB">
        <w:rPr>
          <w:sz w:val="16"/>
          <w:lang w:val="vi-VN"/>
        </w:rPr>
        <w:t xml:space="preserve"> all </w:t>
      </w:r>
      <w:r w:rsidRPr="00DD2D90">
        <w:rPr>
          <w:rStyle w:val="Emphasis"/>
        </w:rPr>
        <w:t>necessary</w:t>
      </w:r>
      <w:r w:rsidRPr="009278EB">
        <w:rPr>
          <w:sz w:val="16"/>
          <w:lang w:val="vi-VN"/>
        </w:rPr>
        <w:t xml:space="preserve"> </w:t>
      </w:r>
      <w:r w:rsidRPr="00DD2D90">
        <w:rPr>
          <w:rStyle w:val="StyleUnderline"/>
        </w:rPr>
        <w:t>for good health conditions and disease prevention efforts</w:t>
      </w:r>
      <w:r w:rsidRPr="009278EB">
        <w:rPr>
          <w:sz w:val="16"/>
          <w:lang w:val="vi-VN"/>
        </w:rPr>
        <w:t xml:space="preserve">. </w:t>
      </w:r>
      <w:r w:rsidRPr="00DD2D90">
        <w:rPr>
          <w:rStyle w:val="StyleUnderline"/>
        </w:rPr>
        <w:t xml:space="preserve">Individuals in </w:t>
      </w:r>
      <w:r w:rsidRPr="00DD2D90">
        <w:rPr>
          <w:rStyle w:val="StyleUnderline"/>
          <w:highlight w:val="green"/>
        </w:rPr>
        <w:t>low</w:t>
      </w:r>
      <w:r w:rsidRPr="00DD2D90">
        <w:rPr>
          <w:rStyle w:val="StyleUnderline"/>
        </w:rPr>
        <w:t xml:space="preserve">er socio-economic </w:t>
      </w:r>
      <w:r w:rsidRPr="00DD2D90">
        <w:rPr>
          <w:rStyle w:val="StyleUnderline"/>
          <w:highlight w:val="green"/>
        </w:rPr>
        <w:t>brackets</w:t>
      </w:r>
      <w:r w:rsidRPr="00DD2D90">
        <w:rPr>
          <w:rStyle w:val="StyleUnderline"/>
        </w:rPr>
        <w:t xml:space="preserve"> are more likely to </w:t>
      </w:r>
      <w:r w:rsidRPr="00DD2D90">
        <w:rPr>
          <w:rStyle w:val="StyleUnderline"/>
          <w:highlight w:val="green"/>
        </w:rPr>
        <w:t>experience poor health due to limited</w:t>
      </w:r>
      <w:r w:rsidRPr="00DD2D90">
        <w:rPr>
          <w:rStyle w:val="StyleUnderline"/>
        </w:rPr>
        <w:t xml:space="preserve"> access to </w:t>
      </w:r>
      <w:r w:rsidRPr="00DD2D90">
        <w:rPr>
          <w:rStyle w:val="StyleUnderline"/>
          <w:highlight w:val="green"/>
        </w:rPr>
        <w:t>healthcare</w:t>
      </w:r>
      <w:r w:rsidRPr="009278EB">
        <w:rPr>
          <w:sz w:val="16"/>
          <w:lang w:val="vi-VN"/>
        </w:rPr>
        <w:t xml:space="preserve">, unhealthy living conditions, and higher stress levels. For example, financially poor individuals are significantly more likely to suffer from chronic conditions such as diabetes and heart disease,15 while the crisis conditions during the </w:t>
      </w:r>
      <w:r w:rsidRPr="00DD2D90">
        <w:rPr>
          <w:rStyle w:val="StyleUnderline"/>
        </w:rPr>
        <w:t>COVID</w:t>
      </w:r>
      <w:r w:rsidRPr="009278EB">
        <w:rPr>
          <w:sz w:val="16"/>
          <w:lang w:val="vi-VN"/>
        </w:rPr>
        <w:t xml:space="preserve">-19 pandemic </w:t>
      </w:r>
      <w:r w:rsidRPr="00DD2D90">
        <w:rPr>
          <w:rStyle w:val="StyleUnderline"/>
        </w:rPr>
        <w:t>revealed</w:t>
      </w:r>
      <w:r w:rsidRPr="009278EB">
        <w:rPr>
          <w:sz w:val="16"/>
          <w:lang w:val="vi-VN"/>
        </w:rPr>
        <w:t xml:space="preserve"> that economic </w:t>
      </w:r>
      <w:r w:rsidRPr="00DD2D90">
        <w:rPr>
          <w:rStyle w:val="StyleUnderline"/>
        </w:rPr>
        <w:t>inequality exacerbated health disparities</w:t>
      </w:r>
      <w:r w:rsidRPr="009278EB">
        <w:rPr>
          <w:sz w:val="16"/>
          <w:lang w:val="vi-VN"/>
        </w:rPr>
        <w:t xml:space="preserve">. In many countries, </w:t>
      </w:r>
      <w:r w:rsidRPr="00DD2D90">
        <w:rPr>
          <w:rStyle w:val="StyleUnderline"/>
        </w:rPr>
        <w:t xml:space="preserve">individuals from socially and economically underprivileged groups have experienced </w:t>
      </w:r>
      <w:r w:rsidRPr="00DD2D90">
        <w:rPr>
          <w:rStyle w:val="StyleUnderline"/>
          <w:highlight w:val="green"/>
        </w:rPr>
        <w:t>increased infection rates and suboptimal health conditions</w:t>
      </w:r>
      <w:r w:rsidRPr="00DD2D90">
        <w:rPr>
          <w:rStyle w:val="StyleUnderline"/>
        </w:rPr>
        <w:t xml:space="preserve">, </w:t>
      </w:r>
      <w:r w:rsidRPr="00DD2D90">
        <w:rPr>
          <w:rStyle w:val="StyleUnderline"/>
          <w:highlight w:val="green"/>
        </w:rPr>
        <w:t>which</w:t>
      </w:r>
      <w:r w:rsidRPr="00DD2D90">
        <w:rPr>
          <w:rStyle w:val="StyleUnderline"/>
        </w:rPr>
        <w:t xml:space="preserve"> preexisting </w:t>
      </w:r>
      <w:r w:rsidRPr="00DD2D90">
        <w:rPr>
          <w:rStyle w:val="StyleUnderline"/>
          <w:highlight w:val="green"/>
        </w:rPr>
        <w:t>disparities in healthcare</w:t>
      </w:r>
      <w:r w:rsidRPr="00DD2D90">
        <w:rPr>
          <w:rStyle w:val="StyleUnderline"/>
        </w:rPr>
        <w:t xml:space="preserve"> access</w:t>
      </w:r>
      <w:r w:rsidRPr="009278EB">
        <w:rPr>
          <w:sz w:val="16"/>
        </w:rPr>
        <w:t xml:space="preserve"> and socioeconomic vulnerabilities </w:t>
      </w:r>
      <w:r w:rsidRPr="00DD2D90">
        <w:rPr>
          <w:rStyle w:val="StyleUnderline"/>
          <w:highlight w:val="green"/>
        </w:rPr>
        <w:t>reinforce</w:t>
      </w:r>
      <w:r w:rsidRPr="009278EB">
        <w:rPr>
          <w:sz w:val="16"/>
          <w:lang w:val="vi-VN"/>
        </w:rPr>
        <w:t xml:space="preserve">. Governance and Inequality Governance structures exert a profound influence on inequality. In several democratic countries marked by high material inequality, economic and public policies frequently advantage the wealthy, adversely affecting public health and social equity. This structural condition further facilitates the unequal distribution of healthcare, education, and essential services, ultimately resulting in health disparities. For instance, despite its status as one of the world’s largest economies, Brazil has substantial </w:t>
      </w:r>
      <w:r w:rsidRPr="009278EB">
        <w:rPr>
          <w:sz w:val="16"/>
        </w:rPr>
        <w:t>portions of its population living in poverty, and they have limited access to quality healthcare. The wealthy elite benefit from private healthcare systems, while the majority of the population relies on an underfunded public health system. In Nepal, highly educated and high-income patients tend to visit private hospitals, which offer higher overall patient satisfaction and quality of services compared to public hospitals. Brazil exhibits a stark disparity in post-intensive care unit (ICU) discharge survival rates between patients in the private healthcare system and those in the public system. In Puerto Rico, women with private health insurance have greater access to healthcare services for endometriosis than those with public insurance, a structural condition that is attributed to disparities in socioeconomic resources that influence healthcare access. Similarly, excessive strain characterizes the public healthcare system in India, and those who possess financial means have greater access to better quality private healthcare services, leading to substantial disparities in health outcomes. Public health professionals are in a good position to bridge the gap between policy and practice by providing evidence-based insights into the health impacts of governance decisions and advocating for equity-focused policies. This responsibility includes not only addressing short-term health concerns but also challenging the systemic inequalities that contribute to long-term disparities in health outcomes. State and civil society actors must advocate for expanded</w:t>
      </w:r>
      <w:r w:rsidRPr="009278EB">
        <w:rPr>
          <w:sz w:val="16"/>
          <w:lang w:val="vi-VN"/>
        </w:rPr>
        <w:t xml:space="preserve"> access to high-quality social and healthcare services and economic opportunities for financially disadvantaged communities. Political empowerment, which constitutes the full actualization of political rights and civil liberties, is positively associated with better health outcomes. This suggests that when inequality limits empowerment, it may also harm health. </w:t>
      </w:r>
      <w:r w:rsidRPr="00DD2D90">
        <w:rPr>
          <w:rStyle w:val="Emphasis"/>
          <w:b w:val="0"/>
          <w:bCs/>
          <w:highlight w:val="green"/>
        </w:rPr>
        <w:t xml:space="preserve">The </w:t>
      </w:r>
      <w:r w:rsidRPr="00DD2D90">
        <w:rPr>
          <w:rStyle w:val="Emphasis"/>
          <w:highlight w:val="green"/>
        </w:rPr>
        <w:t>right to health</w:t>
      </w:r>
      <w:r w:rsidRPr="00DD2D90">
        <w:rPr>
          <w:rStyle w:val="Emphasis"/>
          <w:b w:val="0"/>
          <w:bCs/>
        </w:rPr>
        <w:t xml:space="preserve"> </w:t>
      </w:r>
      <w:r w:rsidRPr="00DD2D90">
        <w:rPr>
          <w:rStyle w:val="Emphasis"/>
          <w:b w:val="0"/>
          <w:bCs/>
          <w:highlight w:val="green"/>
        </w:rPr>
        <w:t xml:space="preserve">is </w:t>
      </w:r>
      <w:r w:rsidRPr="00DD2D90">
        <w:rPr>
          <w:rStyle w:val="Emphasis"/>
          <w:highlight w:val="green"/>
        </w:rPr>
        <w:t>guaranteed</w:t>
      </w:r>
      <w:r w:rsidRPr="00DD2D90">
        <w:rPr>
          <w:rStyle w:val="Emphasis"/>
          <w:b w:val="0"/>
          <w:bCs/>
        </w:rPr>
        <w:t xml:space="preserve"> </w:t>
      </w:r>
      <w:r w:rsidRPr="00DD2D90">
        <w:rPr>
          <w:rStyle w:val="Emphasis"/>
          <w:b w:val="0"/>
          <w:bCs/>
          <w:highlight w:val="green"/>
        </w:rPr>
        <w:t>in international human rights law</w:t>
      </w:r>
      <w:r w:rsidRPr="009278EB">
        <w:rPr>
          <w:sz w:val="16"/>
          <w:lang w:val="vi-VN"/>
        </w:rPr>
        <w:t xml:space="preserve">, </w:t>
      </w:r>
      <w:r w:rsidRPr="00DD2D90">
        <w:rPr>
          <w:rStyle w:val="StyleUnderline"/>
        </w:rPr>
        <w:t>particularly</w:t>
      </w:r>
      <w:r w:rsidRPr="009278EB">
        <w:rPr>
          <w:sz w:val="16"/>
        </w:rPr>
        <w:t xml:space="preserve"> </w:t>
      </w:r>
      <w:r w:rsidRPr="00DD2D90">
        <w:rPr>
          <w:rStyle w:val="StyleUnderline"/>
        </w:rPr>
        <w:t>the Universal Declaration of Human Rights and the International Covenant on Economic, Social, and Cultural Rights</w:t>
      </w:r>
      <w:r w:rsidRPr="009278EB">
        <w:rPr>
          <w:sz w:val="16"/>
        </w:rPr>
        <w:t>.</w:t>
      </w:r>
      <w:r w:rsidRPr="009278EB">
        <w:rPr>
          <w:sz w:val="16"/>
          <w:lang w:val="vi-VN"/>
        </w:rPr>
        <w:t xml:space="preserve"> The concrete actualization, however, of this right remains very challenging due to systemic inequalities. For example, indigenous populations often experience poorer health conditions when compared to non-indigenous populations. In Australia, Aboriginal and Torres Strait Islander people have a life expectancy that is about ten years shorter than that of non-indigenous Australians. The disparity in life expectancy between Indigenous Australians and non-Indigenous Australians is a pressing public health issue that cannot be overlooked. Cardiovascular system diseases are the leading cause of mortality among Indigenous Australians and a contributing factor in the disparity in life expectancy between these populations. This disparity is entrenched in historical and ongoing social, economic, and political marginalization, illustrating how structural inequalities violate human rights and undermine public health. Intergovernmental organizations can orchestrate concerted efforts amongst civil society, state, and market actors in addressing global health inequalities by considering entrenched socioeconomic disparities. </w:t>
      </w:r>
      <w:r w:rsidRPr="009278EB">
        <w:rPr>
          <w:sz w:val="16"/>
        </w:rPr>
        <w:t>The United Nations (UN) system, including</w:t>
      </w:r>
      <w:r w:rsidRPr="00DD2D90">
        <w:rPr>
          <w:rStyle w:val="Emphasis"/>
          <w:b w:val="0"/>
          <w:bCs/>
        </w:rPr>
        <w:t xml:space="preserve"> the </w:t>
      </w:r>
      <w:r w:rsidRPr="009278EB">
        <w:rPr>
          <w:sz w:val="16"/>
        </w:rPr>
        <w:t xml:space="preserve">World Health Organization </w:t>
      </w:r>
      <w:r w:rsidRPr="00DD2D90">
        <w:rPr>
          <w:rStyle w:val="Emphasis"/>
          <w:b w:val="0"/>
          <w:bCs/>
        </w:rPr>
        <w:t>(</w:t>
      </w:r>
      <w:r w:rsidRPr="00DD2D90">
        <w:rPr>
          <w:rStyle w:val="Emphasis"/>
          <w:b w:val="0"/>
          <w:bCs/>
          <w:highlight w:val="green"/>
        </w:rPr>
        <w:t xml:space="preserve">WHO) </w:t>
      </w:r>
      <w:r w:rsidRPr="00DD2D90">
        <w:rPr>
          <w:rStyle w:val="Emphasis"/>
          <w:b w:val="0"/>
          <w:bCs/>
        </w:rPr>
        <w:t>and other agencies</w:t>
      </w:r>
      <w:r w:rsidRPr="009278EB">
        <w:rPr>
          <w:b/>
          <w:bCs/>
          <w:sz w:val="16"/>
          <w:lang w:val="vi-VN"/>
        </w:rPr>
        <w:t>,</w:t>
      </w:r>
      <w:r w:rsidRPr="009278EB">
        <w:rPr>
          <w:sz w:val="16"/>
          <w:lang w:val="vi-VN"/>
        </w:rPr>
        <w:t xml:space="preserve"> </w:t>
      </w:r>
      <w:r w:rsidRPr="00DD2D90">
        <w:rPr>
          <w:rStyle w:val="StyleUnderline"/>
          <w:highlight w:val="green"/>
        </w:rPr>
        <w:t>frames</w:t>
      </w:r>
      <w:r w:rsidRPr="00DD2D90">
        <w:rPr>
          <w:rStyle w:val="StyleUnderline"/>
        </w:rPr>
        <w:t xml:space="preserve"> its global </w:t>
      </w:r>
      <w:r w:rsidRPr="00DD2D90">
        <w:rPr>
          <w:rStyle w:val="StyleUnderline"/>
          <w:highlight w:val="green"/>
        </w:rPr>
        <w:t>health</w:t>
      </w:r>
      <w:r w:rsidRPr="00DD2D90">
        <w:rPr>
          <w:rStyle w:val="StyleUnderline"/>
        </w:rPr>
        <w:t xml:space="preserve"> policies, programs, and practices </w:t>
      </w:r>
      <w:r w:rsidRPr="00DD2D90">
        <w:rPr>
          <w:rStyle w:val="StyleUnderline"/>
          <w:highlight w:val="green"/>
        </w:rPr>
        <w:t>within the context of human rights obligations</w:t>
      </w:r>
      <w:r w:rsidRPr="009278EB">
        <w:rPr>
          <w:sz w:val="16"/>
          <w:lang w:val="vi-VN"/>
        </w:rPr>
        <w:t xml:space="preserve">. For example, the </w:t>
      </w:r>
      <w:r w:rsidRPr="00DD2D90">
        <w:rPr>
          <w:rStyle w:val="Emphasis"/>
          <w:b w:val="0"/>
          <w:bCs/>
        </w:rPr>
        <w:t xml:space="preserve">WHO’s Commission on Social Determinants of Health underscored that </w:t>
      </w:r>
      <w:r w:rsidRPr="00DD2D90">
        <w:rPr>
          <w:rStyle w:val="Emphasis"/>
          <w:b w:val="0"/>
          <w:bCs/>
          <w:highlight w:val="green"/>
        </w:rPr>
        <w:t xml:space="preserve">social injustice facilitates death on a </w:t>
      </w:r>
      <w:r w:rsidRPr="00DD2D90">
        <w:rPr>
          <w:rStyle w:val="Emphasis"/>
          <w:highlight w:val="green"/>
        </w:rPr>
        <w:t>massive scale</w:t>
      </w:r>
      <w:r w:rsidRPr="00DD2D90">
        <w:rPr>
          <w:rStyle w:val="Emphasis"/>
          <w:b w:val="0"/>
          <w:bCs/>
        </w:rPr>
        <w:t xml:space="preserve"> and urged countries to address the root causes of health inequities</w:t>
      </w:r>
      <w:r w:rsidRPr="00DD2D90">
        <w:rPr>
          <w:rStyle w:val="Emphasis"/>
        </w:rPr>
        <w:t>.</w:t>
      </w:r>
      <w:r w:rsidRPr="009278EB">
        <w:rPr>
          <w:sz w:val="16"/>
          <w:lang w:val="vi-VN"/>
        </w:rPr>
        <w:t xml:space="preserve"> As such, the </w:t>
      </w:r>
      <w:r w:rsidRPr="00DD2D90">
        <w:rPr>
          <w:rStyle w:val="StyleUnderline"/>
          <w:highlight w:val="green"/>
        </w:rPr>
        <w:t>COVID</w:t>
      </w:r>
      <w:r w:rsidRPr="00DD2D90">
        <w:rPr>
          <w:rStyle w:val="StyleUnderline"/>
        </w:rPr>
        <w:t xml:space="preserve">-19 pandemic </w:t>
      </w:r>
      <w:r w:rsidRPr="00DD2D90">
        <w:rPr>
          <w:rStyle w:val="StyleUnderline"/>
          <w:highlight w:val="green"/>
        </w:rPr>
        <w:t>is marked by</w:t>
      </w:r>
      <w:r w:rsidRPr="00DD2D90">
        <w:rPr>
          <w:rStyle w:val="StyleUnderline"/>
        </w:rPr>
        <w:t xml:space="preserve"> numerous </w:t>
      </w:r>
      <w:r w:rsidRPr="00DD2D90">
        <w:rPr>
          <w:rStyle w:val="StyleUnderline"/>
          <w:highlight w:val="green"/>
        </w:rPr>
        <w:t>fatalities caused by</w:t>
      </w:r>
      <w:r w:rsidRPr="00DD2D90">
        <w:rPr>
          <w:rStyle w:val="StyleUnderline"/>
        </w:rPr>
        <w:t xml:space="preserve"> inadequacies of global health governance</w:t>
      </w:r>
      <w:r w:rsidRPr="009278EB">
        <w:rPr>
          <w:sz w:val="16"/>
          <w:lang w:val="vi-VN"/>
        </w:rPr>
        <w:t xml:space="preserve"> </w:t>
      </w:r>
      <w:r w:rsidRPr="00DD2D90">
        <w:rPr>
          <w:rStyle w:val="StyleUnderline"/>
        </w:rPr>
        <w:t>and</w:t>
      </w:r>
      <w:r w:rsidRPr="009278EB">
        <w:rPr>
          <w:sz w:val="16"/>
          <w:lang w:val="vi-VN"/>
        </w:rPr>
        <w:t xml:space="preserve"> </w:t>
      </w:r>
      <w:r w:rsidRPr="00DD2D90">
        <w:rPr>
          <w:rStyle w:val="StyleUnderline"/>
          <w:highlight w:val="green"/>
        </w:rPr>
        <w:t>the self-interested</w:t>
      </w:r>
      <w:r w:rsidRPr="00DD2D90">
        <w:rPr>
          <w:rStyle w:val="StyleUnderline"/>
        </w:rPr>
        <w:t xml:space="preserve"> </w:t>
      </w:r>
      <w:r w:rsidRPr="00DD2D90">
        <w:rPr>
          <w:rStyle w:val="StyleUnderline"/>
          <w:highlight w:val="green"/>
        </w:rPr>
        <w:t>actions of</w:t>
      </w:r>
      <w:r w:rsidRPr="00DD2D90">
        <w:rPr>
          <w:rStyle w:val="StyleUnderline"/>
        </w:rPr>
        <w:t xml:space="preserve"> </w:t>
      </w:r>
      <w:r w:rsidRPr="009278EB">
        <w:rPr>
          <w:sz w:val="16"/>
        </w:rPr>
        <w:t>states and</w:t>
      </w:r>
      <w:r w:rsidRPr="00DD2D90">
        <w:rPr>
          <w:rStyle w:val="StyleUnderline"/>
        </w:rPr>
        <w:t xml:space="preserve"> </w:t>
      </w:r>
      <w:r w:rsidRPr="00DD2D90">
        <w:rPr>
          <w:rStyle w:val="StyleUnderline"/>
          <w:highlight w:val="green"/>
        </w:rPr>
        <w:t>pharma</w:t>
      </w:r>
      <w:r w:rsidRPr="00DD2D90">
        <w:rPr>
          <w:rStyle w:val="StyleUnderline"/>
        </w:rPr>
        <w:t xml:space="preserve">ceutical </w:t>
      </w:r>
      <w:r w:rsidRPr="00DD2D90">
        <w:rPr>
          <w:rStyle w:val="StyleUnderline"/>
          <w:highlight w:val="green"/>
        </w:rPr>
        <w:t>companies</w:t>
      </w:r>
      <w:r w:rsidRPr="00DD2D90">
        <w:rPr>
          <w:rStyle w:val="StyleUnderline"/>
        </w:rPr>
        <w:t>.</w:t>
      </w:r>
      <w:r w:rsidRPr="009278EB">
        <w:rPr>
          <w:sz w:val="16"/>
          <w:lang w:val="vi-VN"/>
        </w:rPr>
        <w:t xml:space="preserve"> In response, international non-governmental organizations (INGOs) have advocated for global health justice, employing various frameworks such as human rights, scientific evidence, and </w:t>
      </w:r>
      <w:r w:rsidRPr="009278EB">
        <w:rPr>
          <w:sz w:val="16"/>
        </w:rPr>
        <w:t>security, which reflect their mandates and historical identities. This advocacy</w:t>
      </w:r>
      <w:r w:rsidRPr="009278EB">
        <w:rPr>
          <w:sz w:val="16"/>
          <w:lang w:val="vi-VN"/>
        </w:rPr>
        <w:t xml:space="preserve"> underscores the urgent need for a more equitable and just approach to global health governance.</w:t>
      </w:r>
    </w:p>
    <w:p w14:paraId="6BF08924" w14:textId="77777777" w:rsidR="002637A5" w:rsidRPr="009278EB" w:rsidRDefault="002637A5" w:rsidP="00026E60">
      <w:pPr>
        <w:rPr>
          <w:sz w:val="16"/>
        </w:rPr>
      </w:pPr>
    </w:p>
    <w:p w14:paraId="46CCB7D3" w14:textId="77777777" w:rsidR="00EA6776" w:rsidRPr="009278EB" w:rsidRDefault="00EA6776">
      <w:pPr>
        <w:rPr>
          <w:rFonts w:eastAsiaTheme="majorEastAsia" w:cstheme="majorBidi"/>
          <w:b/>
          <w:iCs/>
          <w:sz w:val="16"/>
        </w:rPr>
      </w:pPr>
      <w:r w:rsidRPr="009278EB">
        <w:rPr>
          <w:sz w:val="16"/>
        </w:rPr>
        <w:br w:type="page"/>
      </w:r>
    </w:p>
    <w:p w14:paraId="63180203" w14:textId="363FC09B" w:rsidR="009C702C" w:rsidRPr="009278EB" w:rsidRDefault="00F62882" w:rsidP="009C702C">
      <w:pPr>
        <w:pStyle w:val="Heading4"/>
        <w:rPr>
          <w:szCs w:val="26"/>
        </w:rPr>
      </w:pPr>
      <w:r w:rsidRPr="009278EB">
        <w:rPr>
          <w:szCs w:val="26"/>
        </w:rPr>
        <w:t xml:space="preserve">Worsening </w:t>
      </w:r>
      <w:r w:rsidR="009C702C" w:rsidRPr="009278EB">
        <w:rPr>
          <w:szCs w:val="26"/>
        </w:rPr>
        <w:t xml:space="preserve">inequality </w:t>
      </w:r>
      <w:r w:rsidRPr="009278EB">
        <w:rPr>
          <w:szCs w:val="26"/>
        </w:rPr>
        <w:t>worsens</w:t>
      </w:r>
      <w:r w:rsidR="009C702C" w:rsidRPr="009278EB">
        <w:rPr>
          <w:szCs w:val="26"/>
        </w:rPr>
        <w:t xml:space="preserve"> health</w:t>
      </w:r>
      <w:r w:rsidRPr="009278EB">
        <w:rPr>
          <w:szCs w:val="26"/>
        </w:rPr>
        <w:t xml:space="preserve"> – social determinants of health</w:t>
      </w:r>
    </w:p>
    <w:p w14:paraId="2B121EE8" w14:textId="77777777" w:rsidR="009C702C" w:rsidRPr="00DD2D90" w:rsidRDefault="009C702C" w:rsidP="009C702C">
      <w:r w:rsidRPr="009278EB">
        <w:rPr>
          <w:b/>
          <w:bCs/>
          <w:sz w:val="26"/>
          <w:szCs w:val="26"/>
        </w:rPr>
        <w:t>Sell 19</w:t>
      </w:r>
      <w:r w:rsidRPr="00DD2D90">
        <w:t xml:space="preserve"> [Susan K. Sell, researcher at the School of Regulation and Global Governance at The Australian National University, 2019, “21st-century capitalism: structural challenges for universal health care,” Globalization and Health, https://d-nb.info/1206868740/34]/Kankee</w:t>
      </w:r>
    </w:p>
    <w:p w14:paraId="713880BF" w14:textId="77777777" w:rsidR="009C702C" w:rsidRPr="009278EB" w:rsidRDefault="009C702C" w:rsidP="009C702C">
      <w:pPr>
        <w:rPr>
          <w:sz w:val="16"/>
        </w:rPr>
      </w:pPr>
      <w:r w:rsidRPr="009278EB">
        <w:rPr>
          <w:sz w:val="16"/>
        </w:rPr>
        <w:t xml:space="preserve">Inequality Many scholars have noted sharply increased income in- equality both across and within countries. One of the most profound changes in the global economy in the past 40 years has been the re-industrialization of the Global South and the relative economic convergence be- tween North and South, with China leading the way— but stark differences between “headquarter countries” and “factory countries” remain ([34], pp.7–8). Even within the Global South, trends are uneven, with some countries experiencing premature de-industrialization and falling wage shares [45]. Inequalities within coun- tries persist and sharpen. Income inequality reduces the social solidarity essen- tial to UHC. “UHC coverage implies a sense of solidarity and interconnectedness within a society as members agree to pool resources to guarantee at least an accept- able level of response to those in need” ([7], p.S36). In- equality is a barrier to social comity, because “wealthy elites in fast-growing yet highly unequal countries are able to opt for high-priced private care, creating a sys- tem where they see little benefit in having their tax funds invested” ([6], p.S43). Structural changes in the global economy include de- clining labor power as footloose global corporations seek low-wage production abroad. Producers’ profit margins drop, given the competition to keep buyers on board with very low prices; this exerts downward pressure on returns to producers and their employees’ wages. Twenty-First-century trade and financialized capitalism reinforce short-termism due to the quarterly shareholder value pressure, as well as further eroding the already weak link between labor productivity and wage growth. The shift toward “flexible” employment and downward pressure on wages has sharply reduced the political and economic power of labor. Profitability requires firms to reduce their labor and physical footprints [22, 23]. </w:t>
      </w:r>
      <w:r w:rsidRPr="00DD2D90">
        <w:rPr>
          <w:rStyle w:val="StyleUnderline"/>
          <w:highlight w:val="green"/>
        </w:rPr>
        <w:t xml:space="preserve">Increasing </w:t>
      </w:r>
      <w:r w:rsidRPr="00DD2D90">
        <w:rPr>
          <w:rStyle w:val="StyleUnderline"/>
        </w:rPr>
        <w:t xml:space="preserve">income </w:t>
      </w:r>
      <w:r w:rsidRPr="00DD2D90">
        <w:rPr>
          <w:rStyle w:val="StyleUnderline"/>
          <w:highlight w:val="green"/>
        </w:rPr>
        <w:t>inequality</w:t>
      </w:r>
      <w:r w:rsidRPr="009278EB">
        <w:rPr>
          <w:sz w:val="16"/>
        </w:rPr>
        <w:t xml:space="preserve"> has </w:t>
      </w:r>
      <w:r w:rsidRPr="00DD2D90">
        <w:rPr>
          <w:rStyle w:val="StyleUnderline"/>
          <w:highlight w:val="green"/>
        </w:rPr>
        <w:t>facilitated</w:t>
      </w:r>
      <w:r w:rsidRPr="009278EB">
        <w:rPr>
          <w:sz w:val="16"/>
        </w:rPr>
        <w:t xml:space="preserve"> </w:t>
      </w:r>
      <w:r w:rsidRPr="00DD2D90">
        <w:rPr>
          <w:rStyle w:val="StyleUnderline"/>
          <w:highlight w:val="green"/>
        </w:rPr>
        <w:t>new pat- terns of consumption</w:t>
      </w:r>
      <w:r w:rsidRPr="00DD2D90">
        <w:rPr>
          <w:rStyle w:val="StyleUnderline"/>
        </w:rPr>
        <w:t xml:space="preserve">, with negative effects on health and greater pressure on health-care systems. </w:t>
      </w:r>
      <w:r w:rsidRPr="00DD2D90">
        <w:rPr>
          <w:rStyle w:val="StyleUnderline"/>
          <w:highlight w:val="green"/>
        </w:rPr>
        <w:t>The spike in</w:t>
      </w:r>
      <w:r w:rsidRPr="00DD2D90">
        <w:rPr>
          <w:rStyle w:val="StyleUnderline"/>
        </w:rPr>
        <w:t xml:space="preserve"> such </w:t>
      </w:r>
      <w:r w:rsidRPr="00DD2D90">
        <w:rPr>
          <w:rStyle w:val="StyleUnderline"/>
          <w:highlight w:val="green"/>
        </w:rPr>
        <w:t>non-communicable diseases</w:t>
      </w:r>
      <w:r w:rsidRPr="00DD2D90">
        <w:rPr>
          <w:rStyle w:val="StyleUnderline"/>
        </w:rPr>
        <w:t xml:space="preserve"> (NCDs) as diabetes, heart disease, and obesity </w:t>
      </w:r>
      <w:r w:rsidRPr="00DD2D90">
        <w:rPr>
          <w:rStyle w:val="StyleUnderline"/>
          <w:highlight w:val="green"/>
        </w:rPr>
        <w:t>places more stress on health- care systems</w:t>
      </w:r>
      <w:r w:rsidRPr="00DD2D90">
        <w:rPr>
          <w:rStyle w:val="StyleUnderline"/>
        </w:rPr>
        <w:t>. Fast food and ultra-processed food have contributed to the global rise in NCDs</w:t>
      </w:r>
      <w:r w:rsidRPr="009278EB">
        <w:rPr>
          <w:sz w:val="16"/>
        </w:rPr>
        <w:t xml:space="preserve">. “Income and its distribution, </w:t>
      </w:r>
      <w:r w:rsidRPr="00DD2D90">
        <w:rPr>
          <w:rStyle w:val="StyleUnderline"/>
        </w:rPr>
        <w:t>income inequality</w:t>
      </w:r>
      <w:r w:rsidRPr="009278EB">
        <w:rPr>
          <w:sz w:val="16"/>
        </w:rPr>
        <w:t xml:space="preserve">, economic insecurity, and unhealthy lifestyles </w:t>
      </w:r>
      <w:r w:rsidRPr="00DD2D90">
        <w:rPr>
          <w:rStyle w:val="StyleUnderline"/>
        </w:rPr>
        <w:t>link</w:t>
      </w:r>
      <w:r w:rsidRPr="009278EB">
        <w:rPr>
          <w:sz w:val="16"/>
        </w:rPr>
        <w:t xml:space="preserve"> trade policy </w:t>
      </w:r>
      <w:r w:rsidRPr="00DD2D90">
        <w:rPr>
          <w:rStyle w:val="StyleUnderline"/>
        </w:rPr>
        <w:t xml:space="preserve">to </w:t>
      </w:r>
      <w:r w:rsidRPr="00DD2D90">
        <w:rPr>
          <w:rStyle w:val="Emphasis"/>
        </w:rPr>
        <w:t>social determi- nants of health</w:t>
      </w:r>
      <w:r w:rsidRPr="009278EB">
        <w:rPr>
          <w:sz w:val="16"/>
        </w:rPr>
        <w:t>” ([42], p. S15). As Pirie points out, “</w:t>
      </w:r>
      <w:r w:rsidRPr="00DD2D90">
        <w:rPr>
          <w:rStyle w:val="StyleUnderline"/>
          <w:highlight w:val="green"/>
        </w:rPr>
        <w:t>the growth</w:t>
      </w:r>
      <w:r w:rsidRPr="00DD2D90">
        <w:rPr>
          <w:rStyle w:val="StyleUnderline"/>
        </w:rPr>
        <w:t xml:space="preserve"> </w:t>
      </w:r>
      <w:r w:rsidRPr="00DD2D90">
        <w:rPr>
          <w:rStyle w:val="StyleUnderline"/>
          <w:highlight w:val="green"/>
        </w:rPr>
        <w:t>of</w:t>
      </w:r>
      <w:r w:rsidRPr="00DD2D90">
        <w:rPr>
          <w:rStyle w:val="StyleUnderline"/>
        </w:rPr>
        <w:t xml:space="preserve"> income </w:t>
      </w:r>
      <w:r w:rsidRPr="00DD2D90">
        <w:rPr>
          <w:rStyle w:val="StyleUnderline"/>
          <w:highlight w:val="green"/>
        </w:rPr>
        <w:t>inequality</w:t>
      </w:r>
      <w:r w:rsidRPr="00DD2D90">
        <w:rPr>
          <w:rStyle w:val="StyleUnderline"/>
        </w:rPr>
        <w:t xml:space="preserve"> has </w:t>
      </w:r>
      <w:r w:rsidRPr="00DD2D90">
        <w:rPr>
          <w:rStyle w:val="StyleUnderline"/>
          <w:highlight w:val="green"/>
        </w:rPr>
        <w:t>had a</w:t>
      </w:r>
      <w:r w:rsidRPr="00DD2D90">
        <w:rPr>
          <w:rStyle w:val="StyleUnderline"/>
        </w:rPr>
        <w:t xml:space="preserve"> far more </w:t>
      </w:r>
      <w:r w:rsidRPr="00DD2D90">
        <w:rPr>
          <w:rStyle w:val="StyleUnderline"/>
          <w:highlight w:val="green"/>
        </w:rPr>
        <w:t>direct role in shaping</w:t>
      </w:r>
      <w:r w:rsidRPr="00DD2D90">
        <w:rPr>
          <w:rStyle w:val="StyleUnderline"/>
        </w:rPr>
        <w:t xml:space="preserve"> the development of the </w:t>
      </w:r>
      <w:r w:rsidRPr="00DD2D90">
        <w:rPr>
          <w:rStyle w:val="StyleUnderline"/>
          <w:highlight w:val="green"/>
        </w:rPr>
        <w:t>fast food</w:t>
      </w:r>
      <w:r w:rsidRPr="00DD2D90">
        <w:rPr>
          <w:rStyle w:val="StyleUnderline"/>
        </w:rPr>
        <w:t xml:space="preserve"> indus- try</w:t>
      </w:r>
      <w:r w:rsidRPr="009278EB">
        <w:rPr>
          <w:sz w:val="16"/>
        </w:rPr>
        <w:t xml:space="preserve">” ([46], p.846). Two mutually reinforcing dynamics propel the global spread of the fast-food industry: </w:t>
      </w:r>
      <w:r w:rsidRPr="00DD2D90">
        <w:rPr>
          <w:rStyle w:val="StyleUnderline"/>
          <w:highlight w:val="green"/>
        </w:rPr>
        <w:t>it de- pends upon an ample supply of low-wage flexible labor, and these poorly paid workers create additional demand for cheap, filling food</w:t>
      </w:r>
      <w:r w:rsidRPr="009278EB">
        <w:rPr>
          <w:sz w:val="16"/>
        </w:rPr>
        <w:t xml:space="preserve"> [46]. The association between “increases in obesity, reductions in time spent in food preparation and a shift toward consumption of proc- essed foodstuffs” is well-documented in both developed and developing countries ([47], p.112). Trade liberalization has accelerated the adoption of “un- healthy ‘Western lifestyles’ and a worldwide increase in chronic diseases, with a heavier burden in poor countries” ([42], p.S15). Economic concentration among GVC con- trollers has meant that, “food production and processing is dominated by a small number of large, multinational agribusiness corporations that have global reach, a massive investment in increasing productivity …and an economic and scientific orientation towards feeding mass popula- tions rather than local communities” ([47], p.122). The dominance of supermarket chains and fast food outlets has enhanced “access to obesogenic and highly profitable ‘ultra-processed’ foodstuffs” ([47], p.113). These develop- ments have had the effect of “transforming the means of satisfying a physical need for food into a market activity populated by food consumers” ([47], p.123). Biomedical public-health discourses and industry nar- ratives around individual responsibility and choice- centric conceptions about consumption obscure these structural dimensions. As Pirie notes, “medicalization and biomedicalization obscure the role of capitalism in generating these problems [eating disorders] and en- courage a focus on individual dysfunction” ([46], p.839). These approaches “reduce the pressure on the state to intervene in the market” ([46], p.841). Spectrum of reform opportunities </w:t>
      </w:r>
    </w:p>
    <w:p w14:paraId="57A8D20A" w14:textId="77777777" w:rsidR="00EA6776" w:rsidRPr="009278EB" w:rsidRDefault="00EA6776">
      <w:pPr>
        <w:rPr>
          <w:rFonts w:eastAsiaTheme="majorEastAsia" w:cstheme="majorBidi"/>
          <w:b/>
          <w:iCs/>
          <w:sz w:val="16"/>
        </w:rPr>
      </w:pPr>
      <w:r w:rsidRPr="009278EB">
        <w:rPr>
          <w:sz w:val="16"/>
        </w:rPr>
        <w:br w:type="page"/>
      </w:r>
    </w:p>
    <w:p w14:paraId="2F293D92" w14:textId="36B4F85D" w:rsidR="00026E60" w:rsidRPr="009278EB" w:rsidRDefault="00026E60" w:rsidP="00026E60">
      <w:pPr>
        <w:pStyle w:val="Heading4"/>
        <w:rPr>
          <w:szCs w:val="26"/>
        </w:rPr>
      </w:pPr>
      <w:r w:rsidRPr="009278EB">
        <w:rPr>
          <w:szCs w:val="26"/>
        </w:rPr>
        <w:t xml:space="preserve">Health inequality destroys democracy and </w:t>
      </w:r>
      <w:proofErr w:type="gramStart"/>
      <w:r w:rsidRPr="009278EB">
        <w:rPr>
          <w:szCs w:val="26"/>
        </w:rPr>
        <w:t>causing</w:t>
      </w:r>
      <w:proofErr w:type="gramEnd"/>
      <w:r w:rsidRPr="009278EB">
        <w:rPr>
          <w:szCs w:val="26"/>
        </w:rPr>
        <w:t xml:space="preserve"> mass xenophobia</w:t>
      </w:r>
    </w:p>
    <w:p w14:paraId="5C2BCA40" w14:textId="77777777" w:rsidR="00026E60" w:rsidRPr="00DD2D90" w:rsidRDefault="00026E60" w:rsidP="00026E60">
      <w:r w:rsidRPr="009278EB">
        <w:rPr>
          <w:b/>
          <w:bCs/>
          <w:sz w:val="26"/>
          <w:szCs w:val="26"/>
        </w:rPr>
        <w:t>Patience 4-11</w:t>
      </w:r>
      <w:r w:rsidRPr="00DD2D90">
        <w:t xml:space="preserve"> [Allan Patience, honorary fellow in political science in the University of Melbourne, 4-11-2026, "Populism grows where inequality is ignored", Pearls and Irritations, https://johnmenadue.com/post/2026/04/understanding-populism-from-below/</w:t>
      </w:r>
    </w:p>
    <w:p w14:paraId="16FAECA4" w14:textId="77777777" w:rsidR="00026E60" w:rsidRPr="009278EB" w:rsidRDefault="00026E60" w:rsidP="00026E60">
      <w:pPr>
        <w:rPr>
          <w:sz w:val="16"/>
        </w:rPr>
      </w:pPr>
      <w:r w:rsidRPr="009278EB">
        <w:rPr>
          <w:sz w:val="16"/>
        </w:rPr>
        <w:t xml:space="preserve">In his 1963 book _The Making of the English Working Class_, EP Thompson highlighted the value of researching the experiences (and sufferings) of working class people – interpreting “history from below.” It was innovative alternative to the conventional ‘great men in history’ (and the occasional ‘great woman’) perspectives of many conventional historical narratives (“history from above”). Populists are among the most misunderstood and denigrated participants in contemporary politics. In their MAGA form they were loftily dismissed by Hilary Clinton as a “basket of deplorables.” Her comment reflected the prevailing view among many so-called </w:t>
      </w:r>
      <w:r w:rsidRPr="00DD2D90">
        <w:rPr>
          <w:rStyle w:val="StyleUnderline"/>
        </w:rPr>
        <w:t>’liberal’ ruling elites</w:t>
      </w:r>
      <w:r w:rsidRPr="009278EB">
        <w:rPr>
          <w:sz w:val="16"/>
        </w:rPr>
        <w:t xml:space="preserve"> and their Greek choruses around the world. Their slavish </w:t>
      </w:r>
      <w:r w:rsidRPr="00DD2D90">
        <w:rPr>
          <w:rStyle w:val="StyleUnderline"/>
        </w:rPr>
        <w:t xml:space="preserve">belief in </w:t>
      </w:r>
      <w:r w:rsidRPr="009278EB">
        <w:rPr>
          <w:sz w:val="16"/>
        </w:rPr>
        <w:t xml:space="preserve">the efficacy of </w:t>
      </w:r>
      <w:r w:rsidRPr="00DD2D90">
        <w:rPr>
          <w:rStyle w:val="StyleUnderline"/>
          <w:highlight w:val="green"/>
        </w:rPr>
        <w:t>neoliberal</w:t>
      </w:r>
      <w:r w:rsidRPr="009278EB">
        <w:rPr>
          <w:sz w:val="16"/>
        </w:rPr>
        <w:t xml:space="preserve"> and related </w:t>
      </w:r>
      <w:r w:rsidRPr="00DD2D90">
        <w:rPr>
          <w:rStyle w:val="StyleUnderline"/>
          <w:highlight w:val="green"/>
        </w:rPr>
        <w:t>policies</w:t>
      </w:r>
      <w:r w:rsidRPr="00DD2D90">
        <w:rPr>
          <w:rStyle w:val="StyleUnderline"/>
        </w:rPr>
        <w:t xml:space="preserve"> </w:t>
      </w:r>
      <w:r w:rsidRPr="009278EB">
        <w:rPr>
          <w:sz w:val="16"/>
        </w:rPr>
        <w:t xml:space="preserve">blinds them to the consequences that those policies </w:t>
      </w:r>
      <w:r w:rsidRPr="00DD2D90">
        <w:rPr>
          <w:rStyle w:val="StyleUnderline"/>
        </w:rPr>
        <w:t xml:space="preserve">are </w:t>
      </w:r>
      <w:r w:rsidRPr="00DD2D90">
        <w:rPr>
          <w:rStyle w:val="StyleUnderline"/>
          <w:highlight w:val="green"/>
        </w:rPr>
        <w:t>wreak</w:t>
      </w:r>
      <w:r w:rsidRPr="00DD2D90">
        <w:rPr>
          <w:rStyle w:val="StyleUnderline"/>
        </w:rPr>
        <w:t xml:space="preserve">ing on </w:t>
      </w:r>
      <w:r w:rsidRPr="00DD2D90">
        <w:rPr>
          <w:rStyle w:val="StyleUnderline"/>
          <w:highlight w:val="green"/>
        </w:rPr>
        <w:t>middle and working class people</w:t>
      </w:r>
      <w:r w:rsidRPr="00DD2D90">
        <w:rPr>
          <w:rStyle w:val="StyleUnderline"/>
        </w:rPr>
        <w:t xml:space="preserve">. </w:t>
      </w:r>
      <w:r w:rsidRPr="009278EB">
        <w:rPr>
          <w:sz w:val="16"/>
        </w:rPr>
        <w:t xml:space="preserve">It’s time for serious people to try to </w:t>
      </w:r>
      <w:r w:rsidRPr="00DD2D90">
        <w:rPr>
          <w:rStyle w:val="StyleUnderline"/>
        </w:rPr>
        <w:t xml:space="preserve">understand the world from the </w:t>
      </w:r>
      <w:r w:rsidRPr="00DD2D90">
        <w:rPr>
          <w:rStyle w:val="StyleUnderline"/>
          <w:highlight w:val="green"/>
        </w:rPr>
        <w:t>populists’</w:t>
      </w:r>
      <w:r w:rsidRPr="00DD2D90">
        <w:rPr>
          <w:rStyle w:val="StyleUnderline"/>
        </w:rPr>
        <w:t xml:space="preserve"> point of view</w:t>
      </w:r>
      <w:r w:rsidRPr="009278EB">
        <w:rPr>
          <w:sz w:val="16"/>
        </w:rPr>
        <w:t xml:space="preserve">, not to defend populism but </w:t>
      </w:r>
      <w:r w:rsidRPr="00DD2D90">
        <w:rPr>
          <w:rStyle w:val="StyleUnderline"/>
        </w:rPr>
        <w:t>to understand what motivates it</w:t>
      </w:r>
      <w:r w:rsidRPr="009278EB">
        <w:rPr>
          <w:sz w:val="16"/>
        </w:rPr>
        <w:t xml:space="preserve">. While so many of the populist prejudices and demands are indeed deplorable, far too little attention has been paid to what provokes them. The </w:t>
      </w:r>
      <w:r w:rsidRPr="00DD2D90">
        <w:rPr>
          <w:rStyle w:val="StyleUnderline"/>
        </w:rPr>
        <w:t xml:space="preserve">most devastating </w:t>
      </w:r>
      <w:r w:rsidRPr="00DD2D90">
        <w:rPr>
          <w:rStyle w:val="StyleUnderline"/>
          <w:highlight w:val="green"/>
        </w:rPr>
        <w:t>provocation arises</w:t>
      </w:r>
      <w:r w:rsidRPr="00DD2D90">
        <w:rPr>
          <w:rStyle w:val="StyleUnderline"/>
        </w:rPr>
        <w:t xml:space="preserve"> </w:t>
      </w:r>
      <w:r w:rsidRPr="00DD2D90">
        <w:rPr>
          <w:rStyle w:val="StyleUnderline"/>
          <w:highlight w:val="green"/>
        </w:rPr>
        <w:t>from</w:t>
      </w:r>
      <w:r w:rsidRPr="00DD2D90">
        <w:rPr>
          <w:rStyle w:val="StyleUnderline"/>
        </w:rPr>
        <w:t xml:space="preserve"> the </w:t>
      </w:r>
      <w:r w:rsidRPr="00DD2D90">
        <w:rPr>
          <w:rStyle w:val="StyleUnderline"/>
          <w:highlight w:val="green"/>
        </w:rPr>
        <w:t>rapid growth in</w:t>
      </w:r>
      <w:r w:rsidRPr="00DD2D90">
        <w:rPr>
          <w:rStyle w:val="StyleUnderline"/>
        </w:rPr>
        <w:t xml:space="preserve"> socio-economic </w:t>
      </w:r>
      <w:r w:rsidRPr="00DD2D90">
        <w:rPr>
          <w:rStyle w:val="StyleUnderline"/>
          <w:highlight w:val="green"/>
        </w:rPr>
        <w:t>inequality</w:t>
      </w:r>
      <w:r w:rsidRPr="00DD2D90">
        <w:rPr>
          <w:rStyle w:val="StyleUnderline"/>
        </w:rPr>
        <w:t xml:space="preserve"> in</w:t>
      </w:r>
      <w:r w:rsidRPr="009278EB">
        <w:rPr>
          <w:sz w:val="16"/>
        </w:rPr>
        <w:t xml:space="preserve"> all of the so-called ‘</w:t>
      </w:r>
      <w:r w:rsidRPr="00DD2D90">
        <w:rPr>
          <w:rStyle w:val="StyleUnderline"/>
        </w:rPr>
        <w:t>advanced’ economies</w:t>
      </w:r>
      <w:r w:rsidRPr="009278EB">
        <w:rPr>
          <w:sz w:val="16"/>
        </w:rPr>
        <w:t xml:space="preserve">. This is true of Australia where inequality has grown exponentially over the past four or so decades. The growing ranks of the poor are the most worrying features of this toxic development. Few policymakers and commentators accept the fact that the roots of the present-day cost-of-living crisis are deeply embedded in neoliberal polices stretching back decades. The hollowing-out of Australia’s economy through deregulation, the privatisation of public assets, and the vandalising of its manufacturing sector (thanks to ideologues like Joe Hockey) have resulted in unparalleled levels of profiteering and rent-seeking by corporate bosses and their political accomplices, wages and working conditions being undermined by conniving company directors and shareholders, and a monopoly-controlled media that acts as their apologists and cheerleaders. Unskilled and semi-skilled workers have become a hardcore of the under-employed and unemployed; some have given up looking for work altogether. Meanwhile, governments of all persuasions, state and federal, persist in underfunding public education (kindergartens, schools, TAFE, universities) while subsidising privileged education providers (elite private schools, dodgy private ‘vocational’ entities). People who need access to sound educational opportunities to up-skill or change careers are being denied, even as labour markets are changing rapidly. The pitiful reactions by state and federal governments to the Gonski Report are merely the tip of an iceberg of reactionary failure in this country to maintain an equitable and healthy education system. </w:t>
      </w:r>
      <w:r w:rsidRPr="00DD2D90">
        <w:rPr>
          <w:rStyle w:val="StyleUnderline"/>
          <w:highlight w:val="green"/>
        </w:rPr>
        <w:t>Public hospitals</w:t>
      </w:r>
      <w:r w:rsidRPr="00DD2D90">
        <w:rPr>
          <w:rStyle w:val="StyleUnderline"/>
        </w:rPr>
        <w:t xml:space="preserve"> and related healthcare facilities </w:t>
      </w:r>
      <w:r w:rsidRPr="00DD2D90">
        <w:rPr>
          <w:rStyle w:val="StyleUnderline"/>
          <w:highlight w:val="green"/>
        </w:rPr>
        <w:t xml:space="preserve">are </w:t>
      </w:r>
      <w:r w:rsidRPr="00DD2D90">
        <w:rPr>
          <w:rStyle w:val="Emphasis"/>
          <w:highlight w:val="green"/>
        </w:rPr>
        <w:t>struggling</w:t>
      </w:r>
      <w:r w:rsidRPr="00DD2D90">
        <w:rPr>
          <w:rStyle w:val="StyleUnderline"/>
          <w:highlight w:val="green"/>
        </w:rPr>
        <w:t xml:space="preserve"> to</w:t>
      </w:r>
      <w:r w:rsidRPr="00DD2D90">
        <w:rPr>
          <w:rStyle w:val="StyleUnderline"/>
        </w:rPr>
        <w:t xml:space="preserve"> </w:t>
      </w:r>
      <w:r w:rsidRPr="00DD2D90">
        <w:rPr>
          <w:rStyle w:val="StyleUnderline"/>
          <w:highlight w:val="green"/>
        </w:rPr>
        <w:t>keep up with demands on</w:t>
      </w:r>
      <w:r w:rsidRPr="00DD2D90">
        <w:rPr>
          <w:rStyle w:val="StyleUnderline"/>
        </w:rPr>
        <w:t xml:space="preserve"> their </w:t>
      </w:r>
      <w:r w:rsidRPr="00DD2D90">
        <w:rPr>
          <w:rStyle w:val="StyleUnderline"/>
          <w:highlight w:val="green"/>
        </w:rPr>
        <w:t>emergency departments</w:t>
      </w:r>
      <w:r w:rsidRPr="00DD2D90">
        <w:rPr>
          <w:rStyle w:val="StyleUnderline"/>
        </w:rPr>
        <w:t xml:space="preserve"> – they struggle to recruit staff, and they are forced to cope with diminishing budgets. </w:t>
      </w:r>
      <w:r w:rsidRPr="00DD2D90">
        <w:rPr>
          <w:rStyle w:val="StyleUnderline"/>
          <w:highlight w:val="green"/>
        </w:rPr>
        <w:t>Meanwhile specialist</w:t>
      </w:r>
      <w:r w:rsidRPr="00DD2D90">
        <w:rPr>
          <w:rStyle w:val="StyleUnderline"/>
        </w:rPr>
        <w:t xml:space="preserve"> medical </w:t>
      </w:r>
      <w:r w:rsidRPr="00DD2D90">
        <w:rPr>
          <w:rStyle w:val="StyleUnderline"/>
          <w:highlight w:val="green"/>
        </w:rPr>
        <w:t>care is priced</w:t>
      </w:r>
      <w:r w:rsidRPr="00DD2D90">
        <w:rPr>
          <w:rStyle w:val="StyleUnderline"/>
        </w:rPr>
        <w:t xml:space="preserve"> way </w:t>
      </w:r>
      <w:r w:rsidRPr="00DD2D90">
        <w:rPr>
          <w:rStyle w:val="StyleUnderline"/>
          <w:highlight w:val="green"/>
        </w:rPr>
        <w:t>beyond the reach of</w:t>
      </w:r>
      <w:r w:rsidRPr="00DD2D90">
        <w:rPr>
          <w:rStyle w:val="StyleUnderline"/>
        </w:rPr>
        <w:t xml:space="preserve"> many of </w:t>
      </w:r>
      <w:r w:rsidRPr="00DD2D90">
        <w:rPr>
          <w:rStyle w:val="StyleUnderline"/>
          <w:highlight w:val="green"/>
        </w:rPr>
        <w:t>the working poor</w:t>
      </w:r>
      <w:r w:rsidRPr="00DD2D90">
        <w:rPr>
          <w:rStyle w:val="StyleUnderline"/>
        </w:rPr>
        <w:t xml:space="preserve">, pensioners and people out of work. </w:t>
      </w:r>
      <w:r w:rsidRPr="009278EB">
        <w:rPr>
          <w:sz w:val="16"/>
        </w:rPr>
        <w:t xml:space="preserve">And then there is the housing crisis. Investors and higher-end property owners (especially those who own multiple properties, including some MPs) are doing well out of the crisis via distorted policies such as capital gains tax concessions and negative gearing. This is an area that needs comprehensive policy reforms, but no government (including the querulous Albanese government) has had the guts to accept the moral and politically necessary challenge to affect them. All of these negative consequences of economic policy-making since the 1980s are exacerbating socio-economic inequalities in Australia today, producing a new kind of </w:t>
      </w:r>
      <w:r w:rsidRPr="00DD2D90">
        <w:rPr>
          <w:rStyle w:val="StyleUnderline"/>
          <w:highlight w:val="green"/>
        </w:rPr>
        <w:t>lumpenproletariat</w:t>
      </w:r>
      <w:r w:rsidRPr="009278EB">
        <w:rPr>
          <w:sz w:val="16"/>
        </w:rPr>
        <w:t xml:space="preserve"> – an underclass of misinformed, disenfranchised people, many of whom are unemployed or under-employed, many who </w:t>
      </w:r>
      <w:r w:rsidRPr="00DD2D90">
        <w:rPr>
          <w:rStyle w:val="StyleUnderline"/>
          <w:highlight w:val="green"/>
        </w:rPr>
        <w:t xml:space="preserve">suffer from </w:t>
      </w:r>
      <w:r w:rsidRPr="00DD2D90">
        <w:rPr>
          <w:rStyle w:val="Emphasis"/>
          <w:highlight w:val="green"/>
        </w:rPr>
        <w:t>serious health</w:t>
      </w:r>
      <w:r w:rsidRPr="00DD2D90">
        <w:rPr>
          <w:rStyle w:val="StyleUnderline"/>
          <w:highlight w:val="green"/>
        </w:rPr>
        <w:t xml:space="preserve"> problems</w:t>
      </w:r>
      <w:r w:rsidRPr="009278EB">
        <w:rPr>
          <w:sz w:val="16"/>
        </w:rPr>
        <w:t xml:space="preserve"> (</w:t>
      </w:r>
      <w:r w:rsidRPr="00DD2D90">
        <w:rPr>
          <w:rStyle w:val="StyleUnderline"/>
        </w:rPr>
        <w:t>poor diets, obesity, addictions to tobacco, alcohol and illicit drugs, many suffering from mental health problems, some dealing with disabilities</w:t>
      </w:r>
      <w:r w:rsidRPr="009278EB">
        <w:rPr>
          <w:sz w:val="16"/>
        </w:rPr>
        <w:t xml:space="preserve">). Many are forced to live in poor accommodation or on the streets. They are the tragic victims of policies that lock them out of the benefits of a good society. </w:t>
      </w:r>
      <w:r w:rsidRPr="00DD2D90">
        <w:rPr>
          <w:rStyle w:val="StyleUnderline"/>
          <w:highlight w:val="green"/>
        </w:rPr>
        <w:t xml:space="preserve">This makes them ripe for </w:t>
      </w:r>
      <w:r w:rsidRPr="00DD2D90">
        <w:rPr>
          <w:rStyle w:val="StyleUnderline"/>
        </w:rPr>
        <w:t xml:space="preserve">the </w:t>
      </w:r>
      <w:r w:rsidRPr="00DD2D90">
        <w:rPr>
          <w:rStyle w:val="StyleUnderline"/>
          <w:highlight w:val="green"/>
        </w:rPr>
        <w:t xml:space="preserve">siren songs </w:t>
      </w:r>
      <w:r w:rsidRPr="00DD2D90">
        <w:rPr>
          <w:rStyle w:val="StyleUnderline"/>
        </w:rPr>
        <w:t>of</w:t>
      </w:r>
      <w:r w:rsidRPr="009278EB">
        <w:rPr>
          <w:sz w:val="16"/>
        </w:rPr>
        <w:t xml:space="preserve"> deviously motivated leaders like Marine </w:t>
      </w:r>
      <w:r w:rsidRPr="00DD2D90">
        <w:rPr>
          <w:rStyle w:val="StyleUnderline"/>
        </w:rPr>
        <w:t>Le Pen</w:t>
      </w:r>
      <w:r w:rsidRPr="009278EB">
        <w:rPr>
          <w:sz w:val="16"/>
        </w:rPr>
        <w:t xml:space="preserve"> in France, Nigel </w:t>
      </w:r>
      <w:r w:rsidRPr="00DD2D90">
        <w:rPr>
          <w:rStyle w:val="StyleUnderline"/>
        </w:rPr>
        <w:t>Farage</w:t>
      </w:r>
      <w:r w:rsidRPr="009278EB">
        <w:rPr>
          <w:sz w:val="16"/>
        </w:rPr>
        <w:t xml:space="preserve"> in the UK, </w:t>
      </w:r>
      <w:r w:rsidRPr="00DD2D90">
        <w:rPr>
          <w:rStyle w:val="StyleUnderline"/>
        </w:rPr>
        <w:t>or</w:t>
      </w:r>
      <w:r w:rsidRPr="009278EB">
        <w:rPr>
          <w:sz w:val="16"/>
        </w:rPr>
        <w:t xml:space="preserve"> Donald </w:t>
      </w:r>
      <w:r w:rsidRPr="00DD2D90">
        <w:rPr>
          <w:rStyle w:val="StyleUnderline"/>
        </w:rPr>
        <w:t>Trump</w:t>
      </w:r>
      <w:r w:rsidRPr="009278EB">
        <w:rPr>
          <w:sz w:val="16"/>
        </w:rPr>
        <w:t xml:space="preserve"> in the US. In the US </w:t>
      </w:r>
      <w:r w:rsidRPr="00DD2D90">
        <w:rPr>
          <w:rStyle w:val="StyleUnderline"/>
        </w:rPr>
        <w:t xml:space="preserve">the members of the underclass are the </w:t>
      </w:r>
      <w:r w:rsidRPr="00DD2D90">
        <w:rPr>
          <w:rStyle w:val="Emphasis"/>
        </w:rPr>
        <w:t>core constituents</w:t>
      </w:r>
      <w:r w:rsidRPr="00DD2D90">
        <w:rPr>
          <w:rStyle w:val="StyleUnderline"/>
        </w:rPr>
        <w:t xml:space="preserve"> of the MAGA movement</w:t>
      </w:r>
      <w:r w:rsidRPr="009278EB">
        <w:rPr>
          <w:sz w:val="16"/>
        </w:rPr>
        <w:t xml:space="preserve">, as the Trump-inspired assault on the Congress on 6 January 2021 so vividly demonstrated. In Australia the buffoonish Clive Palmer, the conniving Pauline Hanson and her oafish side-kick Barnaby Joyce, along with some right faction MPs in </w:t>
      </w:r>
      <w:r w:rsidRPr="00DD2D90">
        <w:rPr>
          <w:rStyle w:val="StyleUnderline"/>
          <w:highlight w:val="green"/>
        </w:rPr>
        <w:t>the Coalition</w:t>
      </w:r>
      <w:r w:rsidRPr="00DD2D90">
        <w:rPr>
          <w:rStyle w:val="StyleUnderline"/>
        </w:rPr>
        <w:t xml:space="preserve">, are </w:t>
      </w:r>
      <w:r w:rsidRPr="00DD2D90">
        <w:rPr>
          <w:rStyle w:val="StyleUnderline"/>
          <w:highlight w:val="green"/>
        </w:rPr>
        <w:t>try</w:t>
      </w:r>
      <w:r w:rsidRPr="00DD2D90">
        <w:rPr>
          <w:rStyle w:val="StyleUnderline"/>
        </w:rPr>
        <w:t xml:space="preserve">ing </w:t>
      </w:r>
      <w:r w:rsidRPr="00DD2D90">
        <w:rPr>
          <w:rStyle w:val="StyleUnderline"/>
          <w:highlight w:val="green"/>
        </w:rPr>
        <w:t>to</w:t>
      </w:r>
      <w:r w:rsidRPr="00DD2D90">
        <w:rPr>
          <w:rStyle w:val="StyleUnderline"/>
        </w:rPr>
        <w:t xml:space="preserve"> </w:t>
      </w:r>
      <w:r w:rsidRPr="00DD2D90">
        <w:rPr>
          <w:rStyle w:val="StyleUnderline"/>
          <w:highlight w:val="green"/>
        </w:rPr>
        <w:t>inflame and manipulate</w:t>
      </w:r>
      <w:r w:rsidRPr="00DD2D90">
        <w:rPr>
          <w:rStyle w:val="StyleUnderline"/>
        </w:rPr>
        <w:t xml:space="preserve"> the </w:t>
      </w:r>
      <w:r w:rsidRPr="00DD2D90">
        <w:rPr>
          <w:rStyle w:val="StyleUnderline"/>
          <w:highlight w:val="green"/>
        </w:rPr>
        <w:t>alienation</w:t>
      </w:r>
      <w:r w:rsidRPr="00DD2D90">
        <w:rPr>
          <w:rStyle w:val="StyleUnderline"/>
        </w:rPr>
        <w:t xml:space="preserve"> </w:t>
      </w:r>
      <w:r w:rsidRPr="00DD2D90">
        <w:rPr>
          <w:rStyle w:val="StyleUnderline"/>
          <w:highlight w:val="green"/>
        </w:rPr>
        <w:t>felt</w:t>
      </w:r>
      <w:r w:rsidRPr="00DD2D90">
        <w:rPr>
          <w:rStyle w:val="StyleUnderline"/>
        </w:rPr>
        <w:t xml:space="preserve"> </w:t>
      </w:r>
      <w:r w:rsidRPr="00DD2D90">
        <w:rPr>
          <w:rStyle w:val="StyleUnderline"/>
          <w:highlight w:val="green"/>
        </w:rPr>
        <w:t xml:space="preserve">by Australians falling into the country’s </w:t>
      </w:r>
      <w:r w:rsidRPr="00DD2D90">
        <w:rPr>
          <w:rStyle w:val="StyleUnderline"/>
        </w:rPr>
        <w:t xml:space="preserve">growing </w:t>
      </w:r>
      <w:r w:rsidRPr="00DD2D90">
        <w:rPr>
          <w:rStyle w:val="StyleUnderline"/>
          <w:highlight w:val="green"/>
        </w:rPr>
        <w:t>underclass</w:t>
      </w:r>
      <w:r w:rsidRPr="009278EB">
        <w:rPr>
          <w:sz w:val="16"/>
        </w:rPr>
        <w:t xml:space="preserve">. Many of the alienated think that false prophets like Hanson and Palmer are their saviours. What they fail to understand is that if those leaders gain power, they will makes their lives far worse – consider the chaos that Trump’s policies are inflicting on the contemporary American underclass. It should hardly be surprising then that many alienated populists see themselves as the ‘pure people’, the salt of the earth, who are being relentlessly exploited by society at large and especially by people at the top in politics, business and in cultural institutions – the ‘corrupt elites’ (see Cas Mudde, The Far Right). Their blinkered view of the causes of their </w:t>
      </w:r>
      <w:r w:rsidRPr="00DD2D90">
        <w:rPr>
          <w:rStyle w:val="StyleUnderline"/>
        </w:rPr>
        <w:t>alienation leads them to believe that it is down to immigrants, coloured people, so-called ’experts’, queers, trans people, ‘uppity’ women, and people flouting what they believe are right values and beliefs about what is ’normal’ behaviour and acceptable morality</w:t>
      </w:r>
      <w:r w:rsidRPr="009278EB">
        <w:rPr>
          <w:sz w:val="16"/>
        </w:rPr>
        <w:t xml:space="preserve">. </w:t>
      </w:r>
      <w:r w:rsidRPr="00DD2D90">
        <w:rPr>
          <w:rStyle w:val="StyleUnderline"/>
        </w:rPr>
        <w:t>They seethe with resentment at those who seem to be better off than they are</w:t>
      </w:r>
      <w:r w:rsidRPr="009278EB">
        <w:rPr>
          <w:sz w:val="16"/>
        </w:rPr>
        <w:t xml:space="preserve">, whom they accuse of stealing their jobs, occupying houses that they should have, while getting preferential treatment from governments. That they are wrong about all that is beside the point. </w:t>
      </w:r>
      <w:r w:rsidRPr="00DD2D90">
        <w:rPr>
          <w:rStyle w:val="StyleUnderline"/>
          <w:highlight w:val="green"/>
        </w:rPr>
        <w:t>Populism</w:t>
      </w:r>
      <w:r w:rsidRPr="009278EB">
        <w:rPr>
          <w:sz w:val="16"/>
        </w:rPr>
        <w:t xml:space="preserve">, then, </w:t>
      </w:r>
      <w:r w:rsidRPr="00DD2D90">
        <w:rPr>
          <w:rStyle w:val="StyleUnderline"/>
          <w:highlight w:val="green"/>
        </w:rPr>
        <w:t>is a danger to</w:t>
      </w:r>
      <w:r w:rsidRPr="009278EB">
        <w:rPr>
          <w:sz w:val="16"/>
        </w:rPr>
        <w:t xml:space="preserve"> Australian society and our system of </w:t>
      </w:r>
      <w:r w:rsidRPr="00DD2D90">
        <w:rPr>
          <w:rStyle w:val="StyleUnderline"/>
          <w:highlight w:val="green"/>
        </w:rPr>
        <w:t>representative government</w:t>
      </w:r>
      <w:r w:rsidRPr="009278EB">
        <w:rPr>
          <w:sz w:val="16"/>
        </w:rPr>
        <w:t xml:space="preserve">. It is eating into the support base of the Coalition and is beginning to do so to the Labor side of politics. What is to be done? </w:t>
      </w:r>
      <w:r w:rsidRPr="00DD2D90">
        <w:rPr>
          <w:rStyle w:val="StyleUnderline"/>
        </w:rPr>
        <w:t>The</w:t>
      </w:r>
      <w:r w:rsidRPr="009278EB">
        <w:rPr>
          <w:sz w:val="16"/>
        </w:rPr>
        <w:t xml:space="preserve"> supercilious attitude by mainstream political leaders and commentators towards Australia’s growing </w:t>
      </w:r>
      <w:r w:rsidRPr="00DD2D90">
        <w:rPr>
          <w:rStyle w:val="StyleUnderline"/>
        </w:rPr>
        <w:t>underclass</w:t>
      </w:r>
      <w:r w:rsidRPr="009278EB">
        <w:rPr>
          <w:sz w:val="16"/>
        </w:rPr>
        <w:t xml:space="preserve"> has to change. As a loosely broad-based class it has to be acknowledged that they </w:t>
      </w:r>
      <w:r w:rsidRPr="00DD2D90">
        <w:rPr>
          <w:rStyle w:val="StyleUnderline"/>
        </w:rPr>
        <w:t>are the innocent victims of flawed policies devised by</w:t>
      </w:r>
      <w:r w:rsidRPr="009278EB">
        <w:rPr>
          <w:sz w:val="16"/>
        </w:rPr>
        <w:t xml:space="preserve"> political </w:t>
      </w:r>
      <w:r w:rsidRPr="00DD2D90">
        <w:rPr>
          <w:rStyle w:val="StyleUnderline"/>
        </w:rPr>
        <w:t>elites</w:t>
      </w:r>
      <w:r w:rsidRPr="009278EB">
        <w:rPr>
          <w:sz w:val="16"/>
        </w:rPr>
        <w:t xml:space="preserve"> and their accomplices, some of whom are in fact sometimes corrupt – consider the tepid state government response to the Watson report on criminal actions in the CFMEU. That response looks every bit like a cover-up. </w:t>
      </w:r>
      <w:r w:rsidRPr="00DD2D90">
        <w:rPr>
          <w:rStyle w:val="StyleUnderline"/>
          <w:highlight w:val="green"/>
        </w:rPr>
        <w:t>Understanding populism</w:t>
      </w:r>
      <w:r w:rsidRPr="00DD2D90">
        <w:rPr>
          <w:rStyle w:val="StyleUnderline"/>
        </w:rPr>
        <w:t xml:space="preserve"> “</w:t>
      </w:r>
      <w:r w:rsidRPr="00DD2D90">
        <w:rPr>
          <w:rStyle w:val="StyleUnderline"/>
          <w:highlight w:val="green"/>
        </w:rPr>
        <w:t>from below</w:t>
      </w:r>
      <w:r w:rsidRPr="009278EB">
        <w:rPr>
          <w:sz w:val="16"/>
        </w:rPr>
        <w:t xml:space="preserve">” does not mean condoning it. It </w:t>
      </w:r>
      <w:r w:rsidRPr="00DD2D90">
        <w:rPr>
          <w:rStyle w:val="StyleUnderline"/>
          <w:highlight w:val="green"/>
        </w:rPr>
        <w:t>means</w:t>
      </w:r>
      <w:r w:rsidRPr="00DD2D90">
        <w:rPr>
          <w:rStyle w:val="StyleUnderline"/>
        </w:rPr>
        <w:t xml:space="preserve"> </w:t>
      </w:r>
      <w:r w:rsidRPr="00DD2D90">
        <w:rPr>
          <w:rStyle w:val="StyleUnderline"/>
          <w:highlight w:val="green"/>
        </w:rPr>
        <w:t>finding the right way to combat its</w:t>
      </w:r>
      <w:r w:rsidRPr="00DD2D90">
        <w:rPr>
          <w:rStyle w:val="StyleUnderline"/>
        </w:rPr>
        <w:t xml:space="preserve"> invidious </w:t>
      </w:r>
      <w:r w:rsidRPr="00DD2D90">
        <w:rPr>
          <w:rStyle w:val="StyleUnderline"/>
          <w:highlight w:val="green"/>
        </w:rPr>
        <w:t>allure</w:t>
      </w:r>
      <w:r w:rsidRPr="009278EB">
        <w:rPr>
          <w:sz w:val="16"/>
        </w:rPr>
        <w:t xml:space="preserve"> based on lies peddled by false prophets like Hanson, Joyce, Palmer and their ilk. And it means the political class and their influencers have to return to policy-making for the common good, not just for the rich and powerful.</w:t>
      </w:r>
    </w:p>
    <w:p w14:paraId="39AB411A" w14:textId="49CDA021" w:rsidR="00F63522" w:rsidRPr="00D05211" w:rsidRDefault="00F63522" w:rsidP="00EC046E">
      <w:pPr>
        <w:pStyle w:val="Heading3"/>
        <w:rPr>
          <w:rFonts w:ascii="Arial Black" w:hAnsi="Arial Black"/>
          <w:color w:val="B43E1F"/>
          <w:szCs w:val="32"/>
        </w:rPr>
      </w:pPr>
      <w:bookmarkStart w:id="32" w:name="_l6fu2xg0spl1" w:colFirst="0" w:colLast="0"/>
      <w:bookmarkStart w:id="33" w:name="_v4u90mxygnke" w:colFirst="0" w:colLast="0"/>
      <w:bookmarkStart w:id="34" w:name="_mjv8ke6uplf" w:colFirst="0" w:colLast="0"/>
      <w:bookmarkStart w:id="35" w:name="_qza9uaencd6m" w:colFirst="0" w:colLast="0"/>
      <w:bookmarkEnd w:id="32"/>
      <w:bookmarkEnd w:id="33"/>
      <w:bookmarkEnd w:id="34"/>
      <w:bookmarkEnd w:id="35"/>
      <w:r w:rsidRPr="00D05211">
        <w:rPr>
          <w:rFonts w:ascii="Arial Black" w:hAnsi="Arial Black"/>
          <w:color w:val="B43E1F"/>
          <w:szCs w:val="32"/>
        </w:rPr>
        <w:t xml:space="preserve">Contention 4: </w:t>
      </w:r>
      <w:r w:rsidR="00914260" w:rsidRPr="00D05211">
        <w:rPr>
          <w:rFonts w:ascii="Arial Black" w:hAnsi="Arial Black"/>
          <w:color w:val="B43E1F"/>
          <w:szCs w:val="32"/>
        </w:rPr>
        <w:t>Public Health</w:t>
      </w:r>
    </w:p>
    <w:p w14:paraId="0EF450F2" w14:textId="4A976C8A" w:rsidR="00146D72" w:rsidRPr="009278EB" w:rsidRDefault="00146D72" w:rsidP="00146D72">
      <w:pPr>
        <w:pStyle w:val="Heading4"/>
        <w:rPr>
          <w:szCs w:val="26"/>
        </w:rPr>
      </w:pPr>
      <w:r w:rsidRPr="009278EB">
        <w:rPr>
          <w:rFonts w:eastAsia="Calibri"/>
          <w:szCs w:val="26"/>
        </w:rPr>
        <w:t>The physician burnout crisis threatens the healthcare system</w:t>
      </w:r>
    </w:p>
    <w:p w14:paraId="4DD20E0F" w14:textId="77777777" w:rsidR="00146D72" w:rsidRPr="00DD2D90" w:rsidRDefault="00146D72" w:rsidP="00146D72">
      <w:pPr>
        <w:spacing w:line="240" w:lineRule="auto"/>
        <w:rPr>
          <w:highlight w:val="white"/>
        </w:rPr>
      </w:pPr>
      <w:r w:rsidRPr="009278EB">
        <w:rPr>
          <w:rFonts w:eastAsia="Calibri"/>
          <w:b/>
          <w:bCs/>
          <w:sz w:val="26"/>
          <w:szCs w:val="26"/>
          <w:highlight w:val="white"/>
        </w:rPr>
        <w:t>Resneck 23</w:t>
      </w:r>
      <w:r w:rsidRPr="00DD2D90">
        <w:rPr>
          <w:rFonts w:eastAsia="Calibri"/>
          <w:b/>
          <w:bCs/>
          <w:highlight w:val="white"/>
        </w:rPr>
        <w:t xml:space="preserve"> </w:t>
      </w:r>
      <w:r w:rsidRPr="00DD2D90">
        <w:rPr>
          <w:rFonts w:eastAsia="Calibri"/>
          <w:highlight w:val="white"/>
        </w:rPr>
        <w:t>[Jack Resneck Jr., Former President of the American Medical Association, 3-9-2023, “</w:t>
      </w:r>
      <w:r w:rsidRPr="00DD2D90">
        <w:rPr>
          <w:rStyle w:val="StyleUnderline"/>
          <w:highlight w:val="white"/>
        </w:rPr>
        <w:t>Burnout is a health crisis for doctors—and patients</w:t>
      </w:r>
      <w:r w:rsidRPr="00DD2D90">
        <w:rPr>
          <w:rFonts w:eastAsia="Calibri"/>
          <w:highlight w:val="white"/>
        </w:rPr>
        <w:t>”, AMA Association, https://www.ama-assn.org/about/leadership/burnout-health-crisis-doctors-and-patients]/Kankee</w:t>
      </w:r>
    </w:p>
    <w:p w14:paraId="40D9CA04" w14:textId="3E5F23C7" w:rsidR="002233F1" w:rsidRPr="009278EB" w:rsidRDefault="00146D72" w:rsidP="002233F1">
      <w:pPr>
        <w:spacing w:line="240" w:lineRule="auto"/>
        <w:rPr>
          <w:sz w:val="16"/>
          <w:highlight w:val="white"/>
        </w:rPr>
      </w:pPr>
      <w:r w:rsidRPr="009278EB">
        <w:rPr>
          <w:sz w:val="16"/>
        </w:rPr>
        <w:t>Many factors drive burnout in the practice of medicine, a complex</w:t>
      </w:r>
      <w:r w:rsidRPr="009278EB">
        <w:rPr>
          <w:rFonts w:eastAsia="Calibri"/>
          <w:sz w:val="16"/>
          <w:highlight w:val="white"/>
        </w:rPr>
        <w:t xml:space="preserve"> and pervasive issue with widespread implications for both physicians and patients. In response, physician leaders across organized medicine must </w:t>
      </w:r>
      <w:r w:rsidRPr="00DD2D90">
        <w:rPr>
          <w:rStyle w:val="StyleUnderline"/>
          <w:highlight w:val="green"/>
        </w:rPr>
        <w:t xml:space="preserve">act with great urgency to protect </w:t>
      </w:r>
      <w:r w:rsidRPr="00DD2D90">
        <w:rPr>
          <w:rStyle w:val="StyleUnderline"/>
          <w:highlight w:val="white"/>
        </w:rPr>
        <w:t xml:space="preserve">one of </w:t>
      </w:r>
      <w:r w:rsidRPr="00DD2D90">
        <w:rPr>
          <w:rStyle w:val="StyleUnderline"/>
          <w:highlight w:val="green"/>
        </w:rPr>
        <w:t xml:space="preserve">our </w:t>
      </w:r>
      <w:r w:rsidRPr="00DD2D90">
        <w:rPr>
          <w:rStyle w:val="StyleUnderline"/>
          <w:highlight w:val="white"/>
        </w:rPr>
        <w:t xml:space="preserve">nation’s </w:t>
      </w:r>
      <w:r w:rsidRPr="00DD2D90">
        <w:rPr>
          <w:rStyle w:val="Emphasis"/>
          <w:highlight w:val="green"/>
        </w:rPr>
        <w:t>most valuable</w:t>
      </w:r>
      <w:r w:rsidRPr="00DD2D90">
        <w:rPr>
          <w:rStyle w:val="StyleUnderline"/>
          <w:highlight w:val="green"/>
        </w:rPr>
        <w:t xml:space="preserve"> resources</w:t>
      </w:r>
      <w:r w:rsidRPr="00DD2D90">
        <w:rPr>
          <w:rStyle w:val="StyleUnderline"/>
          <w:highlight w:val="white"/>
        </w:rPr>
        <w:t xml:space="preserve">: </w:t>
      </w:r>
      <w:r w:rsidRPr="00DD2D90">
        <w:rPr>
          <w:rStyle w:val="StyleUnderline"/>
          <w:highlight w:val="green"/>
        </w:rPr>
        <w:t>Our medical workforce</w:t>
      </w:r>
      <w:r w:rsidRPr="009278EB">
        <w:rPr>
          <w:rFonts w:eastAsia="Calibri"/>
          <w:sz w:val="16"/>
          <w:highlight w:val="white"/>
        </w:rPr>
        <w:t xml:space="preserve">. In short, we need to fix what’s broken in health care today—and it’s not the doctor. It was my privilege recently to explore the issue of physician burnout and the search for solutions with U.S. Surgeon General Vivek H. Murthy, MD, as well as a panel of experts on physician well-being. Our </w:t>
      </w:r>
      <w:hyperlink r:id="rId23">
        <w:r w:rsidRPr="009278EB">
          <w:rPr>
            <w:rFonts w:eastAsia="Calibri"/>
            <w:sz w:val="16"/>
            <w:highlight w:val="white"/>
          </w:rPr>
          <w:t>wide-ranging discussion</w:t>
        </w:r>
      </w:hyperlink>
      <w:r w:rsidRPr="009278EB">
        <w:rPr>
          <w:rFonts w:eastAsia="Calibri"/>
          <w:sz w:val="16"/>
          <w:highlight w:val="white"/>
        </w:rPr>
        <w:t xml:space="preserve"> is being presented as part of the AMA Recovery Plan Webinar Series. Our goal? To engage physician leaders from public and private health systems, as well as the AMA, in a frank discussion about the underlying causes of burnout, who is affected, and which solutions are most effective. There is no doubt that the stress and uncertainty of the </w:t>
      </w:r>
      <w:r w:rsidRPr="00DD2D90">
        <w:rPr>
          <w:rStyle w:val="StyleUnderline"/>
          <w:highlight w:val="white"/>
        </w:rPr>
        <w:t>COVID</w:t>
      </w:r>
      <w:r w:rsidRPr="009278EB">
        <w:rPr>
          <w:rFonts w:eastAsia="Calibri"/>
          <w:sz w:val="16"/>
          <w:highlight w:val="white"/>
        </w:rPr>
        <w:t xml:space="preserve">-19 pandemic </w:t>
      </w:r>
      <w:r w:rsidRPr="00DD2D90">
        <w:rPr>
          <w:rStyle w:val="Emphasis"/>
          <w:highlight w:val="white"/>
        </w:rPr>
        <w:t>accelerated</w:t>
      </w:r>
      <w:r w:rsidRPr="009278EB">
        <w:rPr>
          <w:rFonts w:eastAsia="Calibri"/>
          <w:sz w:val="16"/>
          <w:highlight w:val="white"/>
        </w:rPr>
        <w:t xml:space="preserve"> </w:t>
      </w:r>
      <w:r w:rsidRPr="00DD2D90">
        <w:rPr>
          <w:rFonts w:eastAsia="Calibri"/>
          <w:highlight w:val="white"/>
          <w:u w:val="single"/>
        </w:rPr>
        <w:t>physician burnout</w:t>
      </w:r>
      <w:r w:rsidRPr="009278EB">
        <w:rPr>
          <w:rFonts w:eastAsia="Calibri"/>
          <w:sz w:val="16"/>
          <w:highlight w:val="white"/>
        </w:rPr>
        <w:t xml:space="preserve">. The most recent survey from the AMA, Mayo Clinic and Stanford Medicine in December showed an alarming </w:t>
      </w:r>
      <w:r w:rsidRPr="00DD2D90">
        <w:rPr>
          <w:rFonts w:eastAsia="Calibri"/>
          <w:b/>
          <w:bCs/>
          <w:highlight w:val="green"/>
          <w:u w:val="single"/>
        </w:rPr>
        <w:t>62.8% of physicians</w:t>
      </w:r>
      <w:r w:rsidRPr="00DD2D90">
        <w:rPr>
          <w:rFonts w:eastAsia="Calibri"/>
          <w:highlight w:val="green"/>
          <w:u w:val="single"/>
        </w:rPr>
        <w:t xml:space="preserve"> experienced</w:t>
      </w:r>
      <w:r w:rsidRPr="00DD2D90">
        <w:rPr>
          <w:rFonts w:eastAsia="Calibri"/>
          <w:u w:val="single"/>
        </w:rPr>
        <w:t xml:space="preserve"> symptoms of </w:t>
      </w:r>
      <w:r w:rsidRPr="00DD2D90">
        <w:rPr>
          <w:rFonts w:eastAsia="Calibri"/>
          <w:highlight w:val="green"/>
          <w:u w:val="single"/>
        </w:rPr>
        <w:t>burnout</w:t>
      </w:r>
      <w:r w:rsidRPr="009278EB">
        <w:rPr>
          <w:rFonts w:eastAsia="Calibri"/>
          <w:sz w:val="16"/>
          <w:highlight w:val="white"/>
        </w:rPr>
        <w:t xml:space="preserve"> in 2021, </w:t>
      </w:r>
      <w:r w:rsidRPr="00DD2D90">
        <w:rPr>
          <w:rStyle w:val="StyleUnderline"/>
          <w:highlight w:val="green"/>
        </w:rPr>
        <w:t>up from 38% the previous year</w:t>
      </w:r>
      <w:r w:rsidRPr="009278EB">
        <w:rPr>
          <w:rFonts w:eastAsia="Calibri"/>
          <w:sz w:val="16"/>
          <w:highlight w:val="white"/>
        </w:rPr>
        <w:t xml:space="preserve">. This follows similarly concerning </w:t>
      </w:r>
      <w:r w:rsidRPr="00DD2D90">
        <w:rPr>
          <w:rFonts w:eastAsia="Calibri"/>
          <w:highlight w:val="green"/>
          <w:u w:val="single"/>
        </w:rPr>
        <w:t>studies</w:t>
      </w:r>
      <w:r w:rsidRPr="00DD2D90">
        <w:rPr>
          <w:rFonts w:eastAsia="Calibri"/>
          <w:highlight w:val="white"/>
          <w:u w:val="single"/>
        </w:rPr>
        <w:t xml:space="preserve"> that </w:t>
      </w:r>
      <w:r w:rsidRPr="00DD2D90">
        <w:rPr>
          <w:rFonts w:eastAsia="Calibri"/>
          <w:highlight w:val="green"/>
          <w:u w:val="single"/>
        </w:rPr>
        <w:t xml:space="preserve">indicated </w:t>
      </w:r>
      <w:r w:rsidRPr="00DD2D90">
        <w:rPr>
          <w:rStyle w:val="Emphasis"/>
          <w:highlight w:val="green"/>
        </w:rPr>
        <w:t xml:space="preserve">one in </w:t>
      </w:r>
      <w:r w:rsidRPr="009278EB">
        <w:rPr>
          <w:sz w:val="16"/>
        </w:rPr>
        <w:t>every</w:t>
      </w:r>
      <w:r w:rsidRPr="009278EB">
        <w:rPr>
          <w:sz w:val="16"/>
          <w:highlight w:val="green"/>
        </w:rPr>
        <w:t xml:space="preserve"> </w:t>
      </w:r>
      <w:r w:rsidRPr="00DD2D90">
        <w:rPr>
          <w:rStyle w:val="Emphasis"/>
          <w:highlight w:val="green"/>
        </w:rPr>
        <w:t>five</w:t>
      </w:r>
      <w:r w:rsidRPr="00DD2D90">
        <w:rPr>
          <w:rStyle w:val="StyleUnderline"/>
          <w:highlight w:val="green"/>
        </w:rPr>
        <w:t xml:space="preserve"> physicians</w:t>
      </w:r>
      <w:r w:rsidRPr="00DD2D90">
        <w:rPr>
          <w:rFonts w:eastAsia="Calibri"/>
          <w:highlight w:val="white"/>
          <w:u w:val="single"/>
        </w:rPr>
        <w:t>—</w:t>
      </w:r>
      <w:r w:rsidRPr="00DD2D90">
        <w:rPr>
          <w:rFonts w:eastAsia="Calibri"/>
          <w:highlight w:val="green"/>
          <w:u w:val="single"/>
        </w:rPr>
        <w:t xml:space="preserve">and </w:t>
      </w:r>
      <w:r w:rsidRPr="00DD2D90">
        <w:rPr>
          <w:rStyle w:val="Emphasis"/>
          <w:highlight w:val="green"/>
        </w:rPr>
        <w:t>twice</w:t>
      </w:r>
      <w:r w:rsidRPr="00DD2D90">
        <w:rPr>
          <w:rFonts w:eastAsia="Calibri"/>
          <w:highlight w:val="green"/>
          <w:u w:val="single"/>
        </w:rPr>
        <w:t xml:space="preserve"> as many nurses</w:t>
      </w:r>
      <w:r w:rsidRPr="00DD2D90">
        <w:rPr>
          <w:rFonts w:eastAsia="Calibri"/>
          <w:highlight w:val="white"/>
          <w:u w:val="single"/>
        </w:rPr>
        <w:t>—</w:t>
      </w:r>
      <w:r w:rsidRPr="00DD2D90">
        <w:rPr>
          <w:rFonts w:eastAsia="Calibri"/>
          <w:b/>
          <w:bCs/>
          <w:highlight w:val="green"/>
          <w:u w:val="single"/>
        </w:rPr>
        <w:t>planned to leave</w:t>
      </w:r>
      <w:r w:rsidRPr="00DD2D90">
        <w:rPr>
          <w:rFonts w:eastAsia="Calibri"/>
          <w:highlight w:val="white"/>
          <w:u w:val="single"/>
        </w:rPr>
        <w:t xml:space="preserve"> practice within two years, </w:t>
      </w:r>
      <w:r w:rsidRPr="00DD2D90">
        <w:rPr>
          <w:rFonts w:eastAsia="Calibri"/>
          <w:highlight w:val="green"/>
          <w:u w:val="single"/>
        </w:rPr>
        <w:t xml:space="preserve">while </w:t>
      </w:r>
      <w:r w:rsidRPr="00DD2D90">
        <w:rPr>
          <w:rStyle w:val="Emphasis"/>
          <w:highlight w:val="green"/>
        </w:rPr>
        <w:t>one in three</w:t>
      </w:r>
      <w:r w:rsidRPr="00DD2D90">
        <w:rPr>
          <w:rFonts w:eastAsia="Calibri"/>
          <w:highlight w:val="green"/>
          <w:u w:val="single"/>
        </w:rPr>
        <w:t xml:space="preserve"> doctors anticipated cutting</w:t>
      </w:r>
      <w:r w:rsidRPr="00DD2D90">
        <w:rPr>
          <w:rFonts w:eastAsia="Calibri"/>
          <w:u w:val="single"/>
        </w:rPr>
        <w:t xml:space="preserve"> back their </w:t>
      </w:r>
      <w:r w:rsidRPr="00DD2D90">
        <w:rPr>
          <w:rFonts w:eastAsia="Calibri"/>
          <w:highlight w:val="green"/>
          <w:u w:val="single"/>
        </w:rPr>
        <w:t>hours</w:t>
      </w:r>
      <w:r w:rsidRPr="009278EB">
        <w:rPr>
          <w:rFonts w:eastAsia="Calibri"/>
          <w:sz w:val="16"/>
          <w:highlight w:val="white"/>
        </w:rPr>
        <w:t xml:space="preserve">. The reasons are apparent to anyone who practices medicine today: </w:t>
      </w:r>
      <w:r w:rsidRPr="00DD2D90">
        <w:rPr>
          <w:rStyle w:val="StyleUnderline"/>
          <w:highlight w:val="white"/>
        </w:rPr>
        <w:t>ever-increasing administrative burdens and</w:t>
      </w:r>
      <w:r w:rsidRPr="009278EB">
        <w:rPr>
          <w:rFonts w:eastAsia="Calibri"/>
          <w:sz w:val="16"/>
          <w:highlight w:val="white"/>
        </w:rPr>
        <w:t xml:space="preserve"> hassles, inadequate support in practices and health systems to mitigate these obstacles, deliberate disinformation campaigns, political attacks on medical science, </w:t>
      </w:r>
      <w:r w:rsidRPr="00DD2D90">
        <w:rPr>
          <w:rStyle w:val="StyleUnderline"/>
          <w:highlight w:val="white"/>
        </w:rPr>
        <w:t>and third-party interference in the patient-physician relationship</w:t>
      </w:r>
      <w:r w:rsidRPr="009278EB">
        <w:rPr>
          <w:rFonts w:eastAsia="Calibri"/>
          <w:sz w:val="16"/>
          <w:highlight w:val="white"/>
        </w:rPr>
        <w:t xml:space="preserve">. Across-the-board </w:t>
      </w:r>
      <w:r w:rsidRPr="00DD2D90">
        <w:rPr>
          <w:rStyle w:val="StyleUnderline"/>
          <w:highlight w:val="green"/>
        </w:rPr>
        <w:t>cuts in Medicare payments</w:t>
      </w:r>
      <w:r w:rsidRPr="009278EB">
        <w:rPr>
          <w:rFonts w:eastAsia="Calibri"/>
          <w:sz w:val="16"/>
          <w:highlight w:val="white"/>
        </w:rPr>
        <w:t xml:space="preserve">, just as physicians face soaring inflation in practice expenses, further </w:t>
      </w:r>
      <w:r w:rsidRPr="00DD2D90">
        <w:rPr>
          <w:rStyle w:val="Emphasis"/>
          <w:highlight w:val="green"/>
        </w:rPr>
        <w:t>demoralized</w:t>
      </w:r>
      <w:r w:rsidRPr="00DD2D90">
        <w:rPr>
          <w:rStyle w:val="StyleUnderline"/>
          <w:highlight w:val="green"/>
        </w:rPr>
        <w:t xml:space="preserve"> our workforce</w:t>
      </w:r>
      <w:r w:rsidRPr="009278EB">
        <w:rPr>
          <w:rFonts w:eastAsia="Calibri"/>
          <w:sz w:val="16"/>
          <w:highlight w:val="white"/>
        </w:rPr>
        <w:t xml:space="preserve">. Physicians haven’t lost the will to do our jobs—we are just frustrated that </w:t>
      </w:r>
      <w:r w:rsidRPr="00DD2D90">
        <w:rPr>
          <w:rStyle w:val="StyleUnderline"/>
          <w:highlight w:val="white"/>
        </w:rPr>
        <w:t xml:space="preserve">our health care system is putting </w:t>
      </w:r>
      <w:r w:rsidRPr="00DD2D90">
        <w:rPr>
          <w:rStyle w:val="Emphasis"/>
          <w:highlight w:val="white"/>
        </w:rPr>
        <w:t>too many obstacles</w:t>
      </w:r>
      <w:r w:rsidRPr="00DD2D90">
        <w:rPr>
          <w:rStyle w:val="StyleUnderline"/>
          <w:highlight w:val="white"/>
        </w:rPr>
        <w:t xml:space="preserve"> in the way</w:t>
      </w:r>
      <w:r w:rsidRPr="009278EB">
        <w:rPr>
          <w:rFonts w:eastAsia="Calibri"/>
          <w:sz w:val="16"/>
          <w:highlight w:val="white"/>
        </w:rPr>
        <w:t>. The answer lies not in offering us more yoga classes, coffee gift certificates or dinners with hospital leadership. While wellness has its place, to focus solely on physician resilience is to blame the victim. Curbing burnout for physicians will require actions at the system level, as well as a greater degree of collaboration among clinicians, health systems, insurers, government, medical societies, EHR vendors and other health system stakeholders. The surgeon general’s office and the AMA have each made physician well-being major advocacy priorities in recent years. The surgeon general’s advisory on health care worker burnout and the AMA Recovery Plan for America’s Physicians were both launched last year, sounding the alarm on the escalating burnout crisis in medicine. Each laid out concrete recommendations for policymakers, lawmakers and health systems to address the underlying drivers of burnout.</w:t>
      </w:r>
      <w:r w:rsidRPr="009278EB">
        <w:rPr>
          <w:sz w:val="16"/>
          <w:highlight w:val="white"/>
        </w:rPr>
        <w:t xml:space="preserve"> Expanding access to support Shedding the cultural stigma that still surrounds assistance for mental health concerns is an excellent starting point. We must ensure that physicians and their colleagues in the health care community have access to the care they need in periods of high stress and anxiety, or when they feel powerless to overcome the common frustrations and challenges that, too often, create a toxic working environment. Research tells us that many physicians are reluctant to seek help for these issues because they fear doing so could jeopardize their medical license for years to come. A physician’s mental health history should only be considered in licensing or credentialing decisions when it imposes a current adverse effect on that physician’s ability to practice medicine competently, ethically and professionally. We must also broaden access to mental and behavioral health resources. For physicians, this means offering these resources in the most convenient manner possible, such as at their clinical workplaces. Tremendous recent progress in telemedicine, including its seamless integration in mental healthcare, can also help promote access. Addressing prior authorization </w:t>
      </w:r>
      <w:r w:rsidRPr="00DD2D90">
        <w:rPr>
          <w:rStyle w:val="StyleUnderline"/>
          <w:highlight w:val="white"/>
        </w:rPr>
        <w:t>Prior</w:t>
      </w:r>
      <w:r w:rsidRPr="009278EB">
        <w:rPr>
          <w:sz w:val="16"/>
          <w:highlight w:val="white"/>
        </w:rPr>
        <w:t xml:space="preserve"> </w:t>
      </w:r>
      <w:r w:rsidRPr="00DD2D90">
        <w:rPr>
          <w:rStyle w:val="StyleUnderline"/>
          <w:highlight w:val="white"/>
        </w:rPr>
        <w:t>authorization is</w:t>
      </w:r>
      <w:r w:rsidRPr="009278EB">
        <w:rPr>
          <w:sz w:val="16"/>
          <w:highlight w:val="white"/>
        </w:rPr>
        <w:t xml:space="preserve"> a clear example of </w:t>
      </w:r>
      <w:r w:rsidRPr="00DD2D90">
        <w:rPr>
          <w:rStyle w:val="StyleUnderline"/>
          <w:highlight w:val="white"/>
        </w:rPr>
        <w:t>a growing administrative burden that must be reformed</w:t>
      </w:r>
      <w:r w:rsidRPr="009278EB">
        <w:rPr>
          <w:sz w:val="16"/>
          <w:highlight w:val="white"/>
        </w:rPr>
        <w:t xml:space="preserve"> at the system level. </w:t>
      </w:r>
      <w:r w:rsidRPr="00DD2D90">
        <w:rPr>
          <w:rStyle w:val="StyleUnderline"/>
          <w:highlight w:val="white"/>
        </w:rPr>
        <w:t>Streamlining and right-sizing this onerous, overused, and archaic process that delays and denies patients the medically necessary care they need is</w:t>
      </w:r>
      <w:r w:rsidRPr="009278EB">
        <w:rPr>
          <w:sz w:val="16"/>
          <w:highlight w:val="white"/>
        </w:rPr>
        <w:t xml:space="preserve"> one of the five </w:t>
      </w:r>
      <w:r w:rsidRPr="00DD2D90">
        <w:rPr>
          <w:rStyle w:val="StyleUnderline"/>
          <w:highlight w:val="white"/>
        </w:rPr>
        <w:t>core</w:t>
      </w:r>
      <w:r w:rsidRPr="009278EB">
        <w:rPr>
          <w:sz w:val="16"/>
          <w:highlight w:val="white"/>
        </w:rPr>
        <w:t xml:space="preserve"> elements in the AMA Recovery Plan for America’s Physicians. The Centers for Medicare &amp; Medicaid Services (CMS) recently proposed major and welcome changes to limit efforts by Medicare Advantage plans to inappropriately deny evidence-based patient care, but much more work remains. Research by the AMA and others has conclusively demonstrated that </w:t>
      </w:r>
      <w:r w:rsidRPr="00DD2D90">
        <w:rPr>
          <w:rStyle w:val="StyleUnderline"/>
          <w:highlight w:val="white"/>
        </w:rPr>
        <w:t>prior authorization delays care that patients need, and leads many patients to abandon treatment entirely</w:t>
      </w:r>
      <w:r w:rsidRPr="009278EB">
        <w:rPr>
          <w:sz w:val="16"/>
          <w:highlight w:val="white"/>
        </w:rPr>
        <w:t xml:space="preserve">. The consequences of doing so include hospitalization, disability and even death. Physicians want nothing more than to partner with their patients in the healing process, and we need to strike down the barriers that interfere with this partnership. </w:t>
      </w:r>
      <w:r w:rsidRPr="00DD2D90">
        <w:rPr>
          <w:rStyle w:val="StyleUnderline"/>
          <w:highlight w:val="white"/>
        </w:rPr>
        <w:t>Excessive use of prior-authorization, time-consuming submissions and appeals processes, and inappropriate denials of time-sensitive, evidence-based care, are tremendously demoralizing to patients and physicians alike</w:t>
      </w:r>
      <w:r w:rsidRPr="009278EB">
        <w:rPr>
          <w:sz w:val="16"/>
          <w:highlight w:val="white"/>
        </w:rPr>
        <w:t xml:space="preserve">. We are acting aggressively to eliminate these obstacles. Crisis of misinformation The polarization that arose during the COVID-19 pandemic, and the dissemination of both misinformation and disinformation, added new challenges to our roles as doctors. Even so, physicians remain one of the most trusted of all professions. We must build upon that base of trust by listening to our patients’ concerns, and by taking every opportunity to explain the evidence-based science at the heart of sound medical practice. Boosting the health literacy of patients will help them separate the wheat of science-based medical diagnosis and treatment from the chaff of dangerous disinformation. At the same time, physicians must not cede the public square to those who, for whatever reason, are intent on spreading falsehoods. Patient-physician relationship Perhaps to a greater degree than ever before, </w:t>
      </w:r>
      <w:r w:rsidRPr="00DD2D90">
        <w:rPr>
          <w:rStyle w:val="StyleUnderline"/>
          <w:highlight w:val="white"/>
        </w:rPr>
        <w:t>physician burnout is also being driven by the intrusion of third parties</w:t>
      </w:r>
      <w:r w:rsidRPr="009278EB">
        <w:rPr>
          <w:sz w:val="16"/>
          <w:highlight w:val="white"/>
        </w:rPr>
        <w:t>—judges, lawmakers and others—</w:t>
      </w:r>
      <w:r w:rsidRPr="00DD2D90">
        <w:rPr>
          <w:rStyle w:val="StyleUnderline"/>
          <w:highlight w:val="white"/>
        </w:rPr>
        <w:t>into the patient-physician relationship</w:t>
      </w:r>
      <w:r w:rsidRPr="009278EB">
        <w:rPr>
          <w:sz w:val="16"/>
          <w:highlight w:val="white"/>
        </w:rPr>
        <w:t xml:space="preserve">. </w:t>
      </w:r>
      <w:r w:rsidRPr="00DD2D90">
        <w:rPr>
          <w:rStyle w:val="StyleUnderline"/>
          <w:highlight w:val="white"/>
        </w:rPr>
        <w:t>Physicians’ jobs are hard enough without</w:t>
      </w:r>
      <w:r w:rsidRPr="009278EB">
        <w:rPr>
          <w:sz w:val="16"/>
          <w:highlight w:val="white"/>
        </w:rPr>
        <w:t xml:space="preserve"> all of those </w:t>
      </w:r>
      <w:r w:rsidRPr="00DD2D90">
        <w:rPr>
          <w:rStyle w:val="StyleUnderline"/>
          <w:highlight w:val="white"/>
        </w:rPr>
        <w:t>outsiders perched on our shoulders, waiting to second-guess what happens in our exam rooms</w:t>
      </w:r>
      <w:r w:rsidRPr="009278EB">
        <w:rPr>
          <w:sz w:val="16"/>
          <w:highlight w:val="white"/>
        </w:rPr>
        <w:t xml:space="preserve">. Tough decisions we make in partnership with patients every day don’t fit neatly into statute. The movement to criminalize certain aspects of comprehensive reproductive health care or gender-affirming care is as dangerous as it is unwarranted. Decision-making that is informed by medical science and shaped by patient autonomy is a foundational element of effective health care. Lawmakers or any other </w:t>
      </w:r>
      <w:r w:rsidRPr="00DD2D90">
        <w:rPr>
          <w:rStyle w:val="StyleUnderline"/>
          <w:highlight w:val="white"/>
        </w:rPr>
        <w:t>outside parties who insert themselves into those decisions undermine</w:t>
      </w:r>
      <w:r w:rsidRPr="009278EB">
        <w:rPr>
          <w:sz w:val="16"/>
          <w:highlight w:val="white"/>
        </w:rPr>
        <w:t xml:space="preserve"> the practice of </w:t>
      </w:r>
      <w:r w:rsidRPr="00DD2D90">
        <w:rPr>
          <w:rStyle w:val="StyleUnderline"/>
          <w:highlight w:val="white"/>
        </w:rPr>
        <w:t xml:space="preserve">medicine and directly </w:t>
      </w:r>
      <w:r w:rsidRPr="00DD2D90">
        <w:rPr>
          <w:rStyle w:val="Emphasis"/>
          <w:highlight w:val="white"/>
        </w:rPr>
        <w:t>threaten</w:t>
      </w:r>
      <w:r w:rsidRPr="00DD2D90">
        <w:rPr>
          <w:rStyle w:val="StyleUnderline"/>
          <w:highlight w:val="white"/>
        </w:rPr>
        <w:t xml:space="preserve"> public health</w:t>
      </w:r>
      <w:r w:rsidRPr="009278EB">
        <w:rPr>
          <w:sz w:val="16"/>
          <w:highlight w:val="white"/>
        </w:rPr>
        <w:t xml:space="preserve">. The burden of physician burnout did not grow to its current proportion overnight, nor will we make it disappear entirely tomorrow. But recognizing its severity, and taking bold action to limit its impact, are important steps in restoring joy to our profession and advancing the health of the nation. I’m not discouraged, though. In fact, I’m hopeful and optimistic because organizations such as the AMA are doing the difficult work to alleviate the pressure on physicians, renew our profession for the next generation, and create a health system that works for our patients. </w:t>
      </w:r>
    </w:p>
    <w:p w14:paraId="352ACA3E" w14:textId="77777777" w:rsidR="00EA6776" w:rsidRPr="009278EB" w:rsidRDefault="00EA6776">
      <w:pPr>
        <w:rPr>
          <w:rFonts w:eastAsiaTheme="majorEastAsia" w:cstheme="majorBidi"/>
          <w:b/>
          <w:iCs/>
          <w:sz w:val="16"/>
        </w:rPr>
      </w:pPr>
      <w:bookmarkStart w:id="36" w:name="_o2t0uhs55rya" w:colFirst="0" w:colLast="0"/>
      <w:bookmarkEnd w:id="36"/>
      <w:r w:rsidRPr="009278EB">
        <w:rPr>
          <w:sz w:val="16"/>
        </w:rPr>
        <w:br w:type="page"/>
      </w:r>
    </w:p>
    <w:p w14:paraId="7E27D0DE" w14:textId="028EA3B3" w:rsidR="002233F1" w:rsidRPr="009278EB" w:rsidRDefault="002233F1" w:rsidP="002233F1">
      <w:pPr>
        <w:pStyle w:val="Heading4"/>
        <w:rPr>
          <w:szCs w:val="26"/>
        </w:rPr>
      </w:pPr>
      <w:r w:rsidRPr="009278EB">
        <w:rPr>
          <w:szCs w:val="26"/>
        </w:rPr>
        <w:t>Affirming solves physician burnout</w:t>
      </w:r>
    </w:p>
    <w:p w14:paraId="5884D78C" w14:textId="77777777" w:rsidR="002233F1" w:rsidRPr="00DD2D90" w:rsidRDefault="002233F1" w:rsidP="002233F1">
      <w:pPr>
        <w:spacing w:line="240" w:lineRule="auto"/>
      </w:pPr>
      <w:r w:rsidRPr="009278EB">
        <w:rPr>
          <w:b/>
          <w:bCs/>
          <w:sz w:val="26"/>
          <w:szCs w:val="26"/>
        </w:rPr>
        <w:t>Greep et al. 21</w:t>
      </w:r>
      <w:r w:rsidRPr="00DD2D90">
        <w:rPr>
          <w:b/>
          <w:bCs/>
        </w:rPr>
        <w:t xml:space="preserve"> </w:t>
      </w:r>
      <w:r w:rsidRPr="00DD2D90">
        <w:t>[Nancy C Greep, Private Practice, Santa Barbara, Steffie Woolhandler, Lecturer at Harvard Medical School, and David Himmelstein, Lecturer at Harvard Medical School, 11-1-2021, “Physician Burnout: Fix the Doctor or Fix the System?”, Pub Med, https://pmc.ncbi.nlm.nih.gov/articles/PMC9745939/]/Kankee</w:t>
      </w:r>
    </w:p>
    <w:p w14:paraId="7B4DFC48" w14:textId="77777777" w:rsidR="002233F1" w:rsidRPr="009278EB" w:rsidRDefault="002233F1" w:rsidP="002233F1">
      <w:pPr>
        <w:spacing w:line="240" w:lineRule="auto"/>
        <w:rPr>
          <w:sz w:val="16"/>
          <w:highlight w:val="white"/>
        </w:rPr>
      </w:pPr>
      <w:r w:rsidRPr="009278EB">
        <w:rPr>
          <w:color w:val="1B1B1B"/>
          <w:sz w:val="16"/>
          <w:highlight w:val="white"/>
        </w:rPr>
        <w:t>The insurance system's dysfunction is attributable to the multiplicity of health insurers, their pursuit of profit, and the tethering of private insurance to employment. A multipayer system leads to billing nightmares. The profit motive means insurers seek to decrease costs by restricting care through prior authorizations and narrow networks. Because private insurance is tied to employment, patients lose their coverage, and often their doctors, when they lose their jobs, or their employer switches insurers. As a result, physicians are deprived of the gratification derived from long-term relationships with their patients.</w:t>
      </w:r>
      <w:r w:rsidRPr="009278EB">
        <w:rPr>
          <w:sz w:val="16"/>
          <w:highlight w:val="white"/>
        </w:rPr>
        <w:t xml:space="preserve"> For-profit enterprises have procured many hospitals, physician practices, dialysis units, nursing homes, home health agencies, and other health care entities. They prioritize their bottom line, a priority that often conflicts with physicians’ obligation to prioritize optimal care.</w:t>
      </w:r>
      <w:r w:rsidRPr="009278EB">
        <w:rPr>
          <w:sz w:val="16"/>
          <w:highlight w:val="white"/>
          <w:vertAlign w:val="superscript"/>
        </w:rPr>
        <w:t xml:space="preserve"> </w:t>
      </w:r>
      <w:r w:rsidRPr="00DD2D90">
        <w:rPr>
          <w:highlight w:val="green"/>
          <w:u w:val="single"/>
        </w:rPr>
        <w:t>The drive for profit</w:t>
      </w:r>
      <w:r w:rsidRPr="009278EB">
        <w:rPr>
          <w:sz w:val="16"/>
          <w:highlight w:val="white"/>
        </w:rPr>
        <w:t xml:space="preserve">, which has infected even many nonprofit health care organizations, </w:t>
      </w:r>
      <w:r w:rsidRPr="00DD2D90">
        <w:rPr>
          <w:highlight w:val="green"/>
          <w:u w:val="single"/>
        </w:rPr>
        <w:t>has reduced physicians</w:t>
      </w:r>
      <w:r w:rsidRPr="00DD2D90">
        <w:rPr>
          <w:highlight w:val="white"/>
          <w:u w:val="single"/>
        </w:rPr>
        <w:t xml:space="preserve">’ clinical </w:t>
      </w:r>
      <w:r w:rsidRPr="00DD2D90">
        <w:rPr>
          <w:highlight w:val="green"/>
          <w:u w:val="single"/>
        </w:rPr>
        <w:t>autonomy</w:t>
      </w:r>
      <w:r w:rsidRPr="00DD2D90">
        <w:rPr>
          <w:highlight w:val="white"/>
          <w:u w:val="single"/>
        </w:rPr>
        <w:t xml:space="preserve"> and changed their role from leaders to</w:t>
      </w:r>
      <w:r w:rsidRPr="009278EB">
        <w:rPr>
          <w:sz w:val="16"/>
          <w:highlight w:val="white"/>
        </w:rPr>
        <w:t xml:space="preserve"> expendable, albeit it, highly </w:t>
      </w:r>
      <w:r w:rsidRPr="00DD2D90">
        <w:rPr>
          <w:highlight w:val="white"/>
          <w:u w:val="single"/>
        </w:rPr>
        <w:t xml:space="preserve">paid workers. </w:t>
      </w:r>
      <w:r w:rsidRPr="00DD2D90">
        <w:rPr>
          <w:highlight w:val="green"/>
          <w:u w:val="single"/>
        </w:rPr>
        <w:t>To address burnout</w:t>
      </w:r>
      <w:r w:rsidRPr="00DD2D90">
        <w:rPr>
          <w:highlight w:val="white"/>
          <w:u w:val="single"/>
        </w:rPr>
        <w:t xml:space="preserve">, we advocate </w:t>
      </w:r>
      <w:r w:rsidRPr="00DD2D90">
        <w:rPr>
          <w:highlight w:val="green"/>
          <w:u w:val="single"/>
        </w:rPr>
        <w:t>moving to a</w:t>
      </w:r>
      <w:r w:rsidRPr="00DD2D90">
        <w:rPr>
          <w:highlight w:val="white"/>
          <w:u w:val="single"/>
        </w:rPr>
        <w:t xml:space="preserve"> single-payer, </w:t>
      </w:r>
      <w:r w:rsidRPr="00DD2D90">
        <w:rPr>
          <w:b/>
          <w:bCs/>
          <w:highlight w:val="green"/>
          <w:u w:val="single"/>
        </w:rPr>
        <w:t>nonprofit</w:t>
      </w:r>
      <w:r w:rsidRPr="00DD2D90">
        <w:rPr>
          <w:highlight w:val="white"/>
          <w:u w:val="single"/>
        </w:rPr>
        <w:t xml:space="preserve"> insurance </w:t>
      </w:r>
      <w:r w:rsidRPr="00DD2D90">
        <w:rPr>
          <w:highlight w:val="green"/>
          <w:u w:val="single"/>
        </w:rPr>
        <w:t>system, eliminating</w:t>
      </w:r>
      <w:r w:rsidRPr="00DD2D90">
        <w:rPr>
          <w:highlight w:val="white"/>
          <w:u w:val="single"/>
        </w:rPr>
        <w:t xml:space="preserve"> patients’ </w:t>
      </w:r>
      <w:r w:rsidRPr="00DD2D90">
        <w:rPr>
          <w:highlight w:val="green"/>
          <w:u w:val="single"/>
        </w:rPr>
        <w:t xml:space="preserve">out-of-pocket costs, and removing the </w:t>
      </w:r>
      <w:r w:rsidRPr="00DD2D90">
        <w:rPr>
          <w:b/>
          <w:bCs/>
          <w:highlight w:val="green"/>
          <w:u w:val="single"/>
        </w:rPr>
        <w:t>profit motive</w:t>
      </w:r>
      <w:r w:rsidRPr="00DD2D90">
        <w:rPr>
          <w:highlight w:val="white"/>
          <w:u w:val="single"/>
        </w:rPr>
        <w:t xml:space="preserve"> from patient care.</w:t>
      </w:r>
      <w:r w:rsidRPr="009278EB">
        <w:rPr>
          <w:sz w:val="16"/>
          <w:highlight w:val="white"/>
        </w:rPr>
        <w:t xml:space="preserve"> We are not alone: A single-payer system has been endorsed by the American College of Physicians and the Society of General Internal Medicine. How might such reform mitigate physician burnout? Access: </w:t>
      </w:r>
      <w:r w:rsidRPr="00DD2D90">
        <w:rPr>
          <w:highlight w:val="green"/>
          <w:u w:val="single"/>
        </w:rPr>
        <w:t>Because everyone would be equal</w:t>
      </w:r>
      <w:r w:rsidRPr="00DD2D90">
        <w:rPr>
          <w:highlight w:val="white"/>
          <w:u w:val="single"/>
        </w:rPr>
        <w:t>ly and well insured, there would be no need to check whether a patient had insurance</w:t>
      </w:r>
      <w:r w:rsidRPr="009278EB">
        <w:rPr>
          <w:sz w:val="16"/>
          <w:highlight w:val="white"/>
        </w:rPr>
        <w:t xml:space="preserve">, a drug was on their insurer's formulary, or a specialist to whom one wants to refer a patient was in the patient's network. </w:t>
      </w:r>
      <w:r w:rsidRPr="00DD2D90">
        <w:rPr>
          <w:highlight w:val="green"/>
          <w:u w:val="single"/>
        </w:rPr>
        <w:t>No time would be wasted searching for</w:t>
      </w:r>
      <w:r w:rsidRPr="00DD2D90">
        <w:rPr>
          <w:highlight w:val="white"/>
          <w:u w:val="single"/>
        </w:rPr>
        <w:t xml:space="preserve"> charity care or </w:t>
      </w:r>
      <w:r w:rsidRPr="00DD2D90">
        <w:rPr>
          <w:highlight w:val="green"/>
          <w:u w:val="single"/>
        </w:rPr>
        <w:t>workarounds for</w:t>
      </w:r>
      <w:r w:rsidRPr="00DD2D90">
        <w:rPr>
          <w:highlight w:val="white"/>
          <w:u w:val="single"/>
        </w:rPr>
        <w:t xml:space="preserve"> uninsured or underinsured </w:t>
      </w:r>
      <w:r w:rsidRPr="00DD2D90">
        <w:rPr>
          <w:highlight w:val="green"/>
          <w:u w:val="single"/>
        </w:rPr>
        <w:t>patients</w:t>
      </w:r>
      <w:r w:rsidRPr="009278EB">
        <w:rPr>
          <w:sz w:val="16"/>
          <w:highlight w:val="white"/>
        </w:rPr>
        <w:t xml:space="preserve">. Prior authorization requirements would be largely eliminated, as they have in many nations. Billing would be streamlined, and billing personnel redeployed to facilitate better care. Coding would be simplified and documentation for quality metrics decreased. EHRs could be redesigned for patient care rather than billing, and current commercially driven impediments to interoperability reduced. With administrative tasks decreased, and EHRs made more user friendly, physicians could spend more time facing patients and less time interacting with a computer—both during and after visits. Cost: </w:t>
      </w:r>
      <w:r w:rsidRPr="00DD2D90">
        <w:rPr>
          <w:highlight w:val="green"/>
          <w:u w:val="single"/>
        </w:rPr>
        <w:t>Physicians’ offices would not have to</w:t>
      </w:r>
      <w:r w:rsidRPr="00DD2D90">
        <w:rPr>
          <w:highlight w:val="white"/>
          <w:u w:val="single"/>
        </w:rPr>
        <w:t xml:space="preserve"> collect copays or </w:t>
      </w:r>
      <w:r w:rsidRPr="00DD2D90">
        <w:rPr>
          <w:highlight w:val="green"/>
          <w:u w:val="single"/>
        </w:rPr>
        <w:t>determine if a patient had met their</w:t>
      </w:r>
      <w:r w:rsidRPr="00DD2D90">
        <w:rPr>
          <w:highlight w:val="white"/>
          <w:u w:val="single"/>
        </w:rPr>
        <w:t xml:space="preserve"> annual </w:t>
      </w:r>
      <w:r w:rsidRPr="00DD2D90">
        <w:rPr>
          <w:highlight w:val="green"/>
          <w:u w:val="single"/>
        </w:rPr>
        <w:t>deductible. Physicians could prescribe medication</w:t>
      </w:r>
      <w:r w:rsidRPr="00DD2D90">
        <w:rPr>
          <w:u w:val="single"/>
        </w:rPr>
        <w:t>s, imaging studi</w:t>
      </w:r>
      <w:r w:rsidRPr="00DD2D90">
        <w:rPr>
          <w:highlight w:val="white"/>
          <w:u w:val="single"/>
        </w:rPr>
        <w:t xml:space="preserve">es, and ancillary tests </w:t>
      </w:r>
      <w:r w:rsidRPr="00DD2D90">
        <w:rPr>
          <w:b/>
          <w:bCs/>
          <w:highlight w:val="green"/>
          <w:u w:val="single"/>
        </w:rPr>
        <w:t xml:space="preserve">without worrying </w:t>
      </w:r>
      <w:r w:rsidRPr="00DD2D90">
        <w:rPr>
          <w:highlight w:val="green"/>
          <w:u w:val="single"/>
        </w:rPr>
        <w:t>whether a patient could afford them</w:t>
      </w:r>
      <w:r w:rsidRPr="00DD2D90">
        <w:rPr>
          <w:highlight w:val="white"/>
          <w:u w:val="single"/>
        </w:rPr>
        <w:t>.</w:t>
      </w:r>
      <w:r w:rsidRPr="009278EB">
        <w:rPr>
          <w:sz w:val="16"/>
          <w:highlight w:val="white"/>
        </w:rPr>
        <w:t xml:space="preserve"> Quality: Freeing clinicians from administrative and EHR burdens would allow them to </w:t>
      </w:r>
      <w:r w:rsidRPr="00DD2D90">
        <w:rPr>
          <w:highlight w:val="white"/>
          <w:u w:val="single"/>
        </w:rPr>
        <w:t>devote more time to their patients</w:t>
      </w:r>
      <w:r w:rsidRPr="009278EB">
        <w:rPr>
          <w:sz w:val="16"/>
          <w:highlight w:val="white"/>
        </w:rPr>
        <w:t xml:space="preserve"> and to thinking and learning. Eliminating insurance-mandated changes in providers would facilitate long-term doctor-patient relationships, a better understanding of patients’ priorities and concerns, and the avoidance of redundant workups that often result from breaks in continuity. Patients would no longer have to skip medications because of cost. The pressure to meet productivity targets would be reduced, decreasing one source of errors. Care would be directed by clinicians and not by bureaucrats and businessmen. </w:t>
      </w:r>
      <w:r w:rsidRPr="009278EB">
        <w:rPr>
          <w:color w:val="1B1B1B"/>
          <w:sz w:val="16"/>
          <w:highlight w:val="white"/>
        </w:rPr>
        <w:t>Converting to a nonprofit single-payer system will not be easy. For-profit medical enterprises will need to convert to nonprofit status and our multipayer system of insurance replaced by a single insurer, the federal government. Although a majority of the public and of physicians already support such reform, congresspeople, many of whom receive large donations from the corporate medical industrial complex, will need to vote for it.</w:t>
      </w:r>
    </w:p>
    <w:p w14:paraId="454CFC93" w14:textId="77777777" w:rsidR="00EA6776" w:rsidRPr="009278EB" w:rsidRDefault="00EA6776">
      <w:pPr>
        <w:rPr>
          <w:rFonts w:eastAsia="Calibri" w:cstheme="majorBidi"/>
          <w:b/>
          <w:iCs/>
          <w:sz w:val="16"/>
        </w:rPr>
      </w:pPr>
      <w:r w:rsidRPr="009278EB">
        <w:rPr>
          <w:rFonts w:eastAsia="Calibri"/>
          <w:sz w:val="16"/>
        </w:rPr>
        <w:br w:type="page"/>
      </w:r>
    </w:p>
    <w:p w14:paraId="5F5CCAEE" w14:textId="459D798D" w:rsidR="006C2D83" w:rsidRPr="009278EB" w:rsidRDefault="006C2D83" w:rsidP="006C2D83">
      <w:pPr>
        <w:pStyle w:val="Heading4"/>
        <w:rPr>
          <w:szCs w:val="26"/>
        </w:rPr>
      </w:pPr>
      <w:r w:rsidRPr="009278EB">
        <w:rPr>
          <w:rFonts w:eastAsia="Calibri"/>
          <w:szCs w:val="26"/>
        </w:rPr>
        <w:t>Physician burnout incentivizes quick fixes like overprescription, contributing to the antibiotic resistance and opioid crises</w:t>
      </w:r>
    </w:p>
    <w:p w14:paraId="05E1F5AA" w14:textId="77777777" w:rsidR="006C2D83" w:rsidRPr="00DD2D90" w:rsidRDefault="006C2D83" w:rsidP="006C2D83">
      <w:r w:rsidRPr="009278EB">
        <w:rPr>
          <w:rFonts w:eastAsia="Calibri"/>
          <w:b/>
          <w:bCs/>
          <w:sz w:val="26"/>
          <w:szCs w:val="26"/>
        </w:rPr>
        <w:t>Steinberg 23</w:t>
      </w:r>
      <w:r w:rsidRPr="00DD2D90">
        <w:rPr>
          <w:rFonts w:eastAsia="Calibri"/>
          <w:b/>
          <w:bCs/>
        </w:rPr>
        <w:t xml:space="preserve"> </w:t>
      </w:r>
      <w:r w:rsidRPr="00DD2D90">
        <w:rPr>
          <w:rFonts w:eastAsia="Calibri"/>
        </w:rPr>
        <w:t>[Brooke Steinberg, Features Reporter at the New York Post, 4-5-2023, “Doctor burnout linked to overprescribing opioids, antibiotics: study”, The New York Post, https://nypost.com/2023/04/05/doctor-burnout-linked-to-overprescribing-opioids-antibiotics-study/]/Kankee</w:t>
      </w:r>
    </w:p>
    <w:p w14:paraId="489A2F22" w14:textId="02265D9E" w:rsidR="006C2D83" w:rsidRPr="009278EB" w:rsidRDefault="006C2D83" w:rsidP="006C2D83">
      <w:pPr>
        <w:shd w:val="clear" w:color="auto" w:fill="FFFFFF"/>
        <w:spacing w:after="300" w:line="240" w:lineRule="auto"/>
        <w:rPr>
          <w:sz w:val="16"/>
        </w:rPr>
      </w:pPr>
      <w:r w:rsidRPr="00DD2D90">
        <w:rPr>
          <w:rFonts w:eastAsia="Calibri"/>
          <w:highlight w:val="green"/>
          <w:u w:val="single"/>
        </w:rPr>
        <w:t>Doctor burnout</w:t>
      </w:r>
      <w:r w:rsidRPr="00DD2D90">
        <w:rPr>
          <w:rFonts w:eastAsia="Calibri"/>
          <w:u w:val="single"/>
        </w:rPr>
        <w:t xml:space="preserve"> has been </w:t>
      </w:r>
      <w:r w:rsidRPr="00DD2D90">
        <w:rPr>
          <w:rFonts w:eastAsia="Calibri"/>
          <w:highlight w:val="green"/>
          <w:u w:val="single"/>
        </w:rPr>
        <w:t xml:space="preserve">linked to </w:t>
      </w:r>
      <w:r w:rsidRPr="00DD2D90">
        <w:rPr>
          <w:rFonts w:eastAsia="Calibri"/>
          <w:b/>
          <w:bCs/>
          <w:highlight w:val="green"/>
          <w:u w:val="single"/>
        </w:rPr>
        <w:t>overprescribing</w:t>
      </w:r>
      <w:r w:rsidRPr="00DD2D90">
        <w:rPr>
          <w:rFonts w:eastAsia="Calibri"/>
          <w:highlight w:val="green"/>
          <w:u w:val="single"/>
        </w:rPr>
        <w:t xml:space="preserve"> opioids and antibiotics</w:t>
      </w:r>
      <w:r w:rsidRPr="00DD2D90">
        <w:rPr>
          <w:rFonts w:eastAsia="Calibri"/>
          <w:u w:val="single"/>
        </w:rPr>
        <w:t>, a new study suggests.</w:t>
      </w:r>
      <w:r w:rsidRPr="009278EB">
        <w:rPr>
          <w:rFonts w:eastAsia="Calibri"/>
          <w:sz w:val="16"/>
        </w:rPr>
        <w:t xml:space="preserve"> The study published in the British Journal of General Practice found that general </w:t>
      </w:r>
      <w:r w:rsidRPr="00DD2D90">
        <w:rPr>
          <w:rFonts w:eastAsia="Calibri"/>
          <w:highlight w:val="green"/>
          <w:u w:val="single"/>
        </w:rPr>
        <w:t>practitioners who work long hours are</w:t>
      </w:r>
      <w:r w:rsidRPr="00DD2D90">
        <w:rPr>
          <w:rFonts w:eastAsia="Calibri"/>
          <w:u w:val="single"/>
        </w:rPr>
        <w:t xml:space="preserve"> up to</w:t>
      </w:r>
      <w:r w:rsidRPr="00DD2D90">
        <w:rPr>
          <w:rFonts w:eastAsia="Calibri"/>
          <w:b/>
          <w:bCs/>
          <w:u w:val="single"/>
        </w:rPr>
        <w:t xml:space="preserve"> </w:t>
      </w:r>
      <w:r w:rsidRPr="00DD2D90">
        <w:rPr>
          <w:rFonts w:eastAsia="Calibri"/>
          <w:b/>
          <w:bCs/>
          <w:highlight w:val="green"/>
          <w:u w:val="single"/>
        </w:rPr>
        <w:t>five times more likely</w:t>
      </w:r>
      <w:r w:rsidRPr="00DD2D90">
        <w:rPr>
          <w:rFonts w:eastAsia="Calibri"/>
          <w:highlight w:val="green"/>
          <w:u w:val="single"/>
        </w:rPr>
        <w:t xml:space="preserve"> to prescribe high levels of medications.</w:t>
      </w:r>
      <w:r w:rsidRPr="009278EB">
        <w:rPr>
          <w:rFonts w:eastAsia="Calibri"/>
          <w:sz w:val="16"/>
        </w:rPr>
        <w:t xml:space="preserve"> Researchers at the National Institute for Health and Care Research (NIHR) center at the University of Manchester surveyed 320 GPs over 57 practices between December 2019 and April 2020 for signs of burnout including emotional exhaustion, low job satisfaction and feeling detached from colleagues and patients. They linked the burnout scores to an analysis of UK data from 13,483 patients on strong opioid prescriptions and 26,744 patients on antibiotics over the same four-month period. This was the first study to look at the association of prescribing potentially addictive medications with burnout as a practice-level problem, Dr. Alexander Hodkinson, of the NIHR at Manchester University, </w:t>
      </w:r>
      <w:hyperlink r:id="rId24">
        <w:r w:rsidRPr="009278EB">
          <w:rPr>
            <w:rFonts w:eastAsia="Calibri"/>
            <w:sz w:val="16"/>
          </w:rPr>
          <w:t>said in a release</w:t>
        </w:r>
      </w:hyperlink>
      <w:r w:rsidRPr="009278EB">
        <w:rPr>
          <w:rFonts w:eastAsia="Calibri"/>
          <w:sz w:val="16"/>
        </w:rPr>
        <w:t>. “</w:t>
      </w:r>
      <w:r w:rsidRPr="00DD2D90">
        <w:rPr>
          <w:rFonts w:eastAsia="Calibri"/>
          <w:u w:val="single"/>
        </w:rPr>
        <w:t>Over a four-month period we found higher prescribing of strong opioids and antibiotics among GPs experiencing more feelings of burnout</w:t>
      </w:r>
      <w:r w:rsidRPr="009278EB">
        <w:rPr>
          <w:rFonts w:eastAsia="Calibri"/>
          <w:sz w:val="16"/>
        </w:rPr>
        <w:t>,” Hodkinson said. “</w:t>
      </w:r>
      <w:r w:rsidRPr="00DD2D90">
        <w:rPr>
          <w:rFonts w:eastAsia="Calibri"/>
          <w:highlight w:val="green"/>
          <w:u w:val="single"/>
        </w:rPr>
        <w:t>Strong opioids and</w:t>
      </w:r>
      <w:r w:rsidRPr="00DD2D90">
        <w:rPr>
          <w:rFonts w:eastAsia="Calibri"/>
          <w:u w:val="single"/>
        </w:rPr>
        <w:t xml:space="preserve"> </w:t>
      </w:r>
      <w:r w:rsidRPr="00DD2D90">
        <w:rPr>
          <w:rFonts w:eastAsia="Calibri"/>
          <w:highlight w:val="green"/>
          <w:u w:val="single"/>
        </w:rPr>
        <w:t>antibiotic overuse</w:t>
      </w:r>
      <w:r w:rsidRPr="00DD2D90">
        <w:rPr>
          <w:rFonts w:eastAsia="Calibri"/>
          <w:u w:val="single"/>
        </w:rPr>
        <w:t xml:space="preserve"> can </w:t>
      </w:r>
      <w:r w:rsidRPr="00DD2D90">
        <w:rPr>
          <w:rFonts w:eastAsia="Calibri"/>
          <w:highlight w:val="green"/>
          <w:u w:val="single"/>
        </w:rPr>
        <w:t>harm patients</w:t>
      </w:r>
      <w:r w:rsidRPr="00DD2D90">
        <w:rPr>
          <w:rFonts w:eastAsia="Calibri"/>
          <w:u w:val="single"/>
        </w:rPr>
        <w:t xml:space="preserve"> in the long-term which is why </w:t>
      </w:r>
      <w:r w:rsidRPr="00DD2D90">
        <w:rPr>
          <w:rFonts w:eastAsia="Calibri"/>
          <w:highlight w:val="green"/>
          <w:u w:val="single"/>
        </w:rPr>
        <w:t>it is important to prevent their overprescribing</w:t>
      </w:r>
      <w:r w:rsidRPr="009278EB">
        <w:rPr>
          <w:rFonts w:eastAsia="Calibri"/>
          <w:sz w:val="16"/>
        </w:rPr>
        <w:t xml:space="preserve">.” He added, “That is why policies are urgently needed to help mitigate burnout in general practice.” </w:t>
      </w:r>
      <w:r w:rsidRPr="009278EB">
        <w:rPr>
          <w:sz w:val="16"/>
          <w:highlight w:val="white"/>
        </w:rPr>
        <w:t xml:space="preserve">The misuse and </w:t>
      </w:r>
      <w:r w:rsidRPr="00DD2D90">
        <w:rPr>
          <w:rStyle w:val="StyleUnderline"/>
          <w:highlight w:val="green"/>
        </w:rPr>
        <w:t xml:space="preserve">overuse </w:t>
      </w:r>
      <w:r w:rsidRPr="00DD2D90">
        <w:rPr>
          <w:rStyle w:val="StyleUnderline"/>
          <w:highlight w:val="white"/>
        </w:rPr>
        <w:t xml:space="preserve">of antibiotics </w:t>
      </w:r>
      <w:r w:rsidRPr="00DD2D90">
        <w:rPr>
          <w:rStyle w:val="StyleUnderline"/>
          <w:highlight w:val="green"/>
        </w:rPr>
        <w:t>can lead to antibiotic resistance</w:t>
      </w:r>
      <w:r w:rsidRPr="00DD2D90">
        <w:rPr>
          <w:rStyle w:val="StyleUnderline"/>
          <w:highlight w:val="white"/>
        </w:rPr>
        <w:t xml:space="preserve">, </w:t>
      </w:r>
      <w:r w:rsidRPr="00DD2D90">
        <w:rPr>
          <w:rStyle w:val="StyleUnderline"/>
          <w:highlight w:val="green"/>
        </w:rPr>
        <w:t xml:space="preserve">which means </w:t>
      </w:r>
      <w:r w:rsidRPr="00DD2D90">
        <w:rPr>
          <w:rStyle w:val="StyleUnderline"/>
          <w:highlight w:val="white"/>
        </w:rPr>
        <w:t xml:space="preserve">a number of </w:t>
      </w:r>
      <w:r w:rsidRPr="00DD2D90">
        <w:rPr>
          <w:rStyle w:val="StyleUnderline"/>
          <w:highlight w:val="green"/>
        </w:rPr>
        <w:t>infections</w:t>
      </w:r>
      <w:r w:rsidRPr="009278EB">
        <w:rPr>
          <w:sz w:val="16"/>
          <w:highlight w:val="green"/>
        </w:rPr>
        <w:t xml:space="preserve"> </w:t>
      </w:r>
      <w:r w:rsidRPr="009278EB">
        <w:rPr>
          <w:sz w:val="16"/>
          <w:highlight w:val="white"/>
        </w:rPr>
        <w:t xml:space="preserve">— including pneumonia, tuberculosis and gonorrhea </w:t>
      </w:r>
      <w:r w:rsidRPr="009278EB">
        <w:rPr>
          <w:sz w:val="16"/>
          <w:highlight w:val="green"/>
        </w:rPr>
        <w:t xml:space="preserve">— </w:t>
      </w:r>
      <w:r w:rsidRPr="00DD2D90">
        <w:rPr>
          <w:rStyle w:val="StyleUnderline"/>
          <w:highlight w:val="green"/>
        </w:rPr>
        <w:t xml:space="preserve">are becoming harder to treat </w:t>
      </w:r>
      <w:r w:rsidRPr="00DD2D90">
        <w:rPr>
          <w:rStyle w:val="StyleUnderline"/>
          <w:highlight w:val="white"/>
        </w:rPr>
        <w:t>as antibiotics become less affected</w:t>
      </w:r>
      <w:r w:rsidRPr="009278EB">
        <w:rPr>
          <w:sz w:val="16"/>
          <w:highlight w:val="white"/>
        </w:rPr>
        <w:t>, according to the World Health Organization.</w:t>
      </w:r>
      <w:r w:rsidR="002654C9" w:rsidRPr="009278EB">
        <w:rPr>
          <w:sz w:val="16"/>
        </w:rPr>
        <w:t xml:space="preserve"> </w:t>
      </w:r>
      <w:r w:rsidR="002654C9" w:rsidRPr="00DD2D90">
        <w:rPr>
          <w:rStyle w:val="StyleUnderline"/>
        </w:rPr>
        <w:t xml:space="preserve">Resistance to antibiotics can lead to higher medical costs, longer stays at the hospital and increased </w:t>
      </w:r>
      <w:r w:rsidR="002654C9" w:rsidRPr="00DD2D90">
        <w:rPr>
          <w:rStyle w:val="Emphasis"/>
        </w:rPr>
        <w:t>death</w:t>
      </w:r>
      <w:r w:rsidR="002654C9" w:rsidRPr="00DD2D90">
        <w:rPr>
          <w:rStyle w:val="StyleUnderline"/>
        </w:rPr>
        <w:t xml:space="preserve"> rates. </w:t>
      </w:r>
      <w:r w:rsidR="002654C9" w:rsidRPr="009278EB">
        <w:rPr>
          <w:sz w:val="16"/>
        </w:rPr>
        <w:t xml:space="preserve">Findings showed that </w:t>
      </w:r>
      <w:r w:rsidR="002654C9" w:rsidRPr="00DD2D90">
        <w:rPr>
          <w:rStyle w:val="StyleUnderline"/>
        </w:rPr>
        <w:t>GPs with low job satisfaction were 30% and 10% more likely to prescribe opioids and antibiotics</w:t>
      </w:r>
      <w:r w:rsidR="002654C9" w:rsidRPr="009278EB">
        <w:rPr>
          <w:sz w:val="16"/>
        </w:rPr>
        <w:t xml:space="preserve">, respectively, </w:t>
      </w:r>
      <w:r w:rsidR="002654C9" w:rsidRPr="00DD2D90">
        <w:rPr>
          <w:rStyle w:val="StyleUnderline"/>
        </w:rPr>
        <w:t>while those with more emotional exhaustion had a 20% greater risk of overprescribing both.</w:t>
      </w:r>
      <w:r w:rsidR="002654C9" w:rsidRPr="009278EB">
        <w:rPr>
          <w:sz w:val="16"/>
        </w:rPr>
        <w:t xml:space="preserve"> Detachment from colleagues and patients was linked with a 10% higher risk of prescribing opioids and a 20% higher risk for antibiotics. The study showed a higher correlation for GPs located in more deprived areas, with a two times greater risk of overprescribing opioids and a 1.6 times greater risk for antibiotics. Research also discovered that </w:t>
      </w:r>
      <w:r w:rsidR="002654C9" w:rsidRPr="00DD2D90">
        <w:rPr>
          <w:rStyle w:val="StyleUnderline"/>
        </w:rPr>
        <w:t>GPs who were looking to leave their jobs were 30% more likely to overprescribe opioids and 40% more likely to give out too many antibiotics</w:t>
      </w:r>
      <w:r w:rsidR="002654C9" w:rsidRPr="009278EB">
        <w:rPr>
          <w:sz w:val="16"/>
        </w:rPr>
        <w:t xml:space="preserve">. “Our findings suggest that one possible way to prevent overprescribing may be to </w:t>
      </w:r>
      <w:r w:rsidR="002654C9" w:rsidRPr="00DD2D90">
        <w:rPr>
          <w:rStyle w:val="StyleUnderline"/>
        </w:rPr>
        <w:t>encourage practices to take care of the well-being of their GP</w:t>
      </w:r>
      <w:r w:rsidR="002654C9" w:rsidRPr="009278EB">
        <w:rPr>
          <w:sz w:val="16"/>
        </w:rPr>
        <w:t>,” Hodkinson suggested. “Perhaps more regular monitoring of the well-being of GPs through health-related surveys, wellness programs and other measures to improve the working climate might be a helpful way to promote safe and appropriate prescribing strategies.”</w:t>
      </w:r>
    </w:p>
    <w:p w14:paraId="6857ED2D" w14:textId="77777777" w:rsidR="00EA6776" w:rsidRPr="009278EB" w:rsidRDefault="00EA6776">
      <w:pPr>
        <w:rPr>
          <w:rFonts w:eastAsiaTheme="majorEastAsia" w:cstheme="majorBidi"/>
          <w:b/>
          <w:iCs/>
          <w:sz w:val="16"/>
        </w:rPr>
      </w:pPr>
      <w:bookmarkStart w:id="37" w:name="_t2mjkxijtyf1" w:colFirst="0" w:colLast="0"/>
      <w:bookmarkEnd w:id="37"/>
      <w:r w:rsidRPr="009278EB">
        <w:rPr>
          <w:sz w:val="16"/>
        </w:rPr>
        <w:br w:type="page"/>
      </w:r>
    </w:p>
    <w:p w14:paraId="5E0F03EA" w14:textId="358271E3" w:rsidR="006C2D83" w:rsidRPr="009278EB" w:rsidRDefault="00026E60" w:rsidP="006C2D83">
      <w:pPr>
        <w:pStyle w:val="Heading4"/>
        <w:rPr>
          <w:szCs w:val="26"/>
        </w:rPr>
      </w:pPr>
      <w:r w:rsidRPr="009278EB">
        <w:rPr>
          <w:szCs w:val="26"/>
        </w:rPr>
        <w:t>M</w:t>
      </w:r>
      <w:r w:rsidR="006C2D83" w:rsidRPr="009278EB">
        <w:rPr>
          <w:szCs w:val="26"/>
        </w:rPr>
        <w:t>edical errors are caused by physician burnout</w:t>
      </w:r>
    </w:p>
    <w:p w14:paraId="066E7873" w14:textId="65BB59E9" w:rsidR="00026E60" w:rsidRPr="00DD2D90" w:rsidRDefault="006C2D83" w:rsidP="00026E60">
      <w:pPr>
        <w:spacing w:line="240" w:lineRule="auto"/>
      </w:pPr>
      <w:r w:rsidRPr="009278EB">
        <w:rPr>
          <w:b/>
          <w:bCs/>
          <w:sz w:val="26"/>
          <w:szCs w:val="26"/>
        </w:rPr>
        <w:t>White 18</w:t>
      </w:r>
      <w:r w:rsidRPr="00DD2D90">
        <w:rPr>
          <w:b/>
          <w:bCs/>
        </w:rPr>
        <w:t xml:space="preserve"> </w:t>
      </w:r>
      <w:r w:rsidRPr="00DD2D90">
        <w:t xml:space="preserve">[Tracie White, Science Writer in the Office of Communications at Stanford University Medicine, 7-9-2018, “Medical errors may stem more from physician burnout than unsafe health care settings”, Stanford Medicine News Center, </w:t>
      </w:r>
      <w:r w:rsidR="00026E60" w:rsidRPr="00DD2D90">
        <w:t>https://med.stanford.edu/news/all-news/2018/07/medical-errors-may-stem-more-from-physician-burnout.html]/Kankee</w:t>
      </w:r>
    </w:p>
    <w:p w14:paraId="4856C534" w14:textId="70C310F5" w:rsidR="006C2D83" w:rsidRPr="009278EB" w:rsidRDefault="00026E60" w:rsidP="00026E60">
      <w:pPr>
        <w:spacing w:line="240" w:lineRule="auto"/>
        <w:rPr>
          <w:sz w:val="16"/>
        </w:rPr>
      </w:pPr>
      <w:r w:rsidRPr="00DD2D90">
        <w:rPr>
          <w:highlight w:val="green"/>
          <w:u w:val="single"/>
        </w:rPr>
        <w:t>Physician</w:t>
      </w:r>
      <w:r w:rsidR="006C2D83" w:rsidRPr="00DD2D90">
        <w:rPr>
          <w:highlight w:val="green"/>
          <w:u w:val="single"/>
        </w:rPr>
        <w:t xml:space="preserve"> burnout is</w:t>
      </w:r>
      <w:r w:rsidR="006C2D83" w:rsidRPr="00DD2D90">
        <w:rPr>
          <w:u w:val="single"/>
        </w:rPr>
        <w:t xml:space="preserve"> at least equally </w:t>
      </w:r>
      <w:r w:rsidR="006C2D83" w:rsidRPr="00DD2D90">
        <w:rPr>
          <w:b/>
          <w:bCs/>
          <w:highlight w:val="green"/>
          <w:u w:val="single"/>
        </w:rPr>
        <w:t>responsible for medical errors</w:t>
      </w:r>
      <w:r w:rsidR="006C2D83" w:rsidRPr="00DD2D90">
        <w:rPr>
          <w:u w:val="single"/>
        </w:rPr>
        <w:t xml:space="preserve"> as unsafe medical workplace conditions, if not more so, according to a study led by researchers at the </w:t>
      </w:r>
      <w:hyperlink r:id="rId25">
        <w:r w:rsidR="006C2D83" w:rsidRPr="00DD2D90">
          <w:rPr>
            <w:u w:val="single"/>
          </w:rPr>
          <w:t>Stanford University School of Medicine</w:t>
        </w:r>
      </w:hyperlink>
      <w:r w:rsidR="006C2D83" w:rsidRPr="009278EB">
        <w:rPr>
          <w:sz w:val="16"/>
        </w:rPr>
        <w:t xml:space="preserve">. "If we are trying to maximize the safety and quality of medical care, we must address the factors in the work environment that lead to burnout among our health care providers," said </w:t>
      </w:r>
      <w:hyperlink r:id="rId26">
        <w:r w:rsidR="006C2D83" w:rsidRPr="009278EB">
          <w:rPr>
            <w:sz w:val="16"/>
          </w:rPr>
          <w:t>Tait Shanafelt</w:t>
        </w:r>
      </w:hyperlink>
      <w:r w:rsidR="006C2D83" w:rsidRPr="009278EB">
        <w:rPr>
          <w:sz w:val="16"/>
        </w:rPr>
        <w:t xml:space="preserve">, MD, director of the </w:t>
      </w:r>
      <w:hyperlink r:id="rId27">
        <w:r w:rsidR="006C2D83" w:rsidRPr="009278EB">
          <w:rPr>
            <w:sz w:val="16"/>
          </w:rPr>
          <w:t>Stanford WellMD Center</w:t>
        </w:r>
      </w:hyperlink>
      <w:r w:rsidR="006C2D83" w:rsidRPr="009278EB">
        <w:rPr>
          <w:sz w:val="16"/>
        </w:rPr>
        <w:t xml:space="preserve"> and associate dean of the School of Medicine. "Many system-level changes have been implemented to improve safety for patients in our medical workplaces. What we find in this study is that physician burnout levels appear to be equally, if not more, important than the work unit safety score to the risk of medical errors occurring." The study was published online July 9 in the </w:t>
      </w:r>
      <w:hyperlink r:id="rId28">
        <w:r w:rsidR="006C2D83" w:rsidRPr="009278EB">
          <w:rPr>
            <w:i/>
            <w:iCs/>
            <w:sz w:val="16"/>
          </w:rPr>
          <w:t>Mayo Clinic Proceedings</w:t>
        </w:r>
      </w:hyperlink>
      <w:r w:rsidR="006C2D83" w:rsidRPr="009278EB">
        <w:rPr>
          <w:i/>
          <w:iCs/>
          <w:sz w:val="16"/>
        </w:rPr>
        <w:t xml:space="preserve">. </w:t>
      </w:r>
      <w:r w:rsidR="006C2D83" w:rsidRPr="009278EB">
        <w:rPr>
          <w:sz w:val="16"/>
        </w:rPr>
        <w:t xml:space="preserve">Shanafelt, who is also a professor of hematology and the Jeanie and Stew Ritchie Professor, is the senior author. Daniel Tawfik, MD, an instructor in pediatric critical care medicine at Stanford, is the lead author. A national epidemic: </w:t>
      </w:r>
      <w:r w:rsidR="006C2D83" w:rsidRPr="00DD2D90">
        <w:rPr>
          <w:u w:val="single"/>
        </w:rPr>
        <w:t xml:space="preserve">Medical </w:t>
      </w:r>
      <w:r w:rsidR="006C2D83" w:rsidRPr="00DD2D90">
        <w:rPr>
          <w:highlight w:val="green"/>
          <w:u w:val="single"/>
        </w:rPr>
        <w:t>errors are common</w:t>
      </w:r>
      <w:r w:rsidR="006C2D83" w:rsidRPr="00DD2D90">
        <w:rPr>
          <w:u w:val="single"/>
        </w:rPr>
        <w:t xml:space="preserve"> in the United States. Previous studies estimate these errors are </w:t>
      </w:r>
      <w:r w:rsidR="006C2D83" w:rsidRPr="00DD2D90">
        <w:rPr>
          <w:highlight w:val="green"/>
          <w:u w:val="single"/>
        </w:rPr>
        <w:t xml:space="preserve">responsible for 100,000 to </w:t>
      </w:r>
      <w:r w:rsidR="006C2D83" w:rsidRPr="00DD2D90">
        <w:rPr>
          <w:b/>
          <w:bCs/>
          <w:highlight w:val="green"/>
          <w:u w:val="single"/>
        </w:rPr>
        <w:t>200,000 deaths</w:t>
      </w:r>
      <w:r w:rsidR="006C2D83" w:rsidRPr="00DD2D90">
        <w:rPr>
          <w:highlight w:val="green"/>
          <w:u w:val="single"/>
        </w:rPr>
        <w:t xml:space="preserve"> each year</w:t>
      </w:r>
      <w:r w:rsidR="006C2D83" w:rsidRPr="00DD2D90">
        <w:rPr>
          <w:u w:val="single"/>
        </w:rPr>
        <w:t xml:space="preserve">. Limited research, though, has focused on how </w:t>
      </w:r>
      <w:r w:rsidR="006C2D83" w:rsidRPr="00DD2D90">
        <w:rPr>
          <w:highlight w:val="green"/>
          <w:u w:val="single"/>
        </w:rPr>
        <w:t>physician burnout contributes to these</w:t>
      </w:r>
      <w:r w:rsidR="006C2D83" w:rsidRPr="00DD2D90">
        <w:rPr>
          <w:u w:val="single"/>
        </w:rPr>
        <w:t xml:space="preserve"> errors,</w:t>
      </w:r>
      <w:r w:rsidR="006C2D83" w:rsidRPr="009278EB">
        <w:rPr>
          <w:sz w:val="16"/>
        </w:rPr>
        <w:t xml:space="preserve"> according to the new study. The researchers sent surveys to physicians in active practice across the United States. Of the 6,695 who responded, 3,574 - 55 percent - reported symptoms of burnout. Ten percent also reported that they had made at least one major medical error during the prior three months, a figure consistent with previous published research, the study said. The physicians were also asked to rank safety levels in the hospitals or clinics where they worked using a standardized questionnaire to assess work unit safety. "</w:t>
      </w:r>
      <w:r w:rsidR="006C2D83" w:rsidRPr="00DD2D90">
        <w:rPr>
          <w:u w:val="single"/>
        </w:rPr>
        <w:t xml:space="preserve">We found that </w:t>
      </w:r>
      <w:r w:rsidR="006C2D83" w:rsidRPr="00DD2D90">
        <w:rPr>
          <w:highlight w:val="green"/>
          <w:u w:val="single"/>
        </w:rPr>
        <w:t>physicians with burnout had</w:t>
      </w:r>
      <w:r w:rsidR="006C2D83" w:rsidRPr="00DD2D90">
        <w:rPr>
          <w:u w:val="single"/>
        </w:rPr>
        <w:t xml:space="preserve"> more than </w:t>
      </w:r>
      <w:r w:rsidR="006C2D83" w:rsidRPr="00DD2D90">
        <w:rPr>
          <w:highlight w:val="green"/>
          <w:u w:val="single"/>
        </w:rPr>
        <w:t>twice the odds of</w:t>
      </w:r>
      <w:r w:rsidR="006C2D83" w:rsidRPr="00DD2D90">
        <w:rPr>
          <w:u w:val="single"/>
        </w:rPr>
        <w:t xml:space="preserve"> self-reported </w:t>
      </w:r>
      <w:r w:rsidR="006C2D83" w:rsidRPr="00DD2D90">
        <w:rPr>
          <w:highlight w:val="green"/>
          <w:u w:val="single"/>
        </w:rPr>
        <w:t>medical error</w:t>
      </w:r>
      <w:r w:rsidR="006C2D83" w:rsidRPr="009278EB">
        <w:rPr>
          <w:sz w:val="16"/>
        </w:rPr>
        <w:t xml:space="preserve">, after adjusting for specialty, work hours, fatigue and work unit safety rating," Tawfik said. "We also found that low safety grades in work units were associated with three to four times the odds of medical error." Shanafelt said, "This indicates both the burnout level as well as work unit safety characteristics are independently related to the risk of errors." </w:t>
      </w:r>
      <w:r w:rsidR="006C2D83" w:rsidRPr="00DD2D90">
        <w:rPr>
          <w:u w:val="single"/>
        </w:rPr>
        <w:t>Physician burnout has become a national epidemic</w:t>
      </w:r>
      <w:r w:rsidR="006C2D83" w:rsidRPr="009278EB">
        <w:rPr>
          <w:sz w:val="16"/>
        </w:rPr>
        <w:t xml:space="preserve">, with multiple studies indicating that about half of all doctors experience symptoms of exhaustion, cynicism and feelings of reduced effectiveness. The new study notes that </w:t>
      </w:r>
      <w:r w:rsidR="006C2D83" w:rsidRPr="00DD2D90">
        <w:rPr>
          <w:u w:val="single"/>
        </w:rPr>
        <w:t xml:space="preserve">physician </w:t>
      </w:r>
      <w:r w:rsidR="006C2D83" w:rsidRPr="00DD2D90">
        <w:rPr>
          <w:highlight w:val="green"/>
          <w:u w:val="single"/>
        </w:rPr>
        <w:t>burnout</w:t>
      </w:r>
      <w:r w:rsidR="006C2D83" w:rsidRPr="00DD2D90">
        <w:rPr>
          <w:u w:val="single"/>
        </w:rPr>
        <w:t xml:space="preserve"> also </w:t>
      </w:r>
      <w:r w:rsidR="006C2D83" w:rsidRPr="00DD2D90">
        <w:rPr>
          <w:highlight w:val="green"/>
          <w:u w:val="single"/>
        </w:rPr>
        <w:t>influences</w:t>
      </w:r>
      <w:r w:rsidR="006C2D83" w:rsidRPr="00DD2D90">
        <w:rPr>
          <w:u w:val="single"/>
        </w:rPr>
        <w:t xml:space="preserve"> quality of </w:t>
      </w:r>
      <w:r w:rsidR="006C2D83" w:rsidRPr="00DD2D90">
        <w:rPr>
          <w:highlight w:val="green"/>
          <w:u w:val="single"/>
        </w:rPr>
        <w:t>care</w:t>
      </w:r>
      <w:r w:rsidR="006C2D83" w:rsidRPr="00DD2D90">
        <w:rPr>
          <w:u w:val="single"/>
        </w:rPr>
        <w:t xml:space="preserve">, patient </w:t>
      </w:r>
      <w:r w:rsidR="006C2D83" w:rsidRPr="00DD2D90">
        <w:rPr>
          <w:highlight w:val="green"/>
          <w:u w:val="single"/>
        </w:rPr>
        <w:t>safety</w:t>
      </w:r>
      <w:r w:rsidR="006C2D83" w:rsidRPr="00DD2D90">
        <w:rPr>
          <w:u w:val="single"/>
        </w:rPr>
        <w:t xml:space="preserve">, turnover rates </w:t>
      </w:r>
      <w:r w:rsidR="006C2D83" w:rsidRPr="00DD2D90">
        <w:rPr>
          <w:highlight w:val="green"/>
          <w:u w:val="single"/>
        </w:rPr>
        <w:t>and patient satisfaction</w:t>
      </w:r>
      <w:r w:rsidR="006C2D83" w:rsidRPr="009278EB">
        <w:rPr>
          <w:sz w:val="16"/>
        </w:rPr>
        <w:t xml:space="preserve">. "Today, most organizations invest substantial resources and have a system-level approach to improve safety on every work unit. Very few devote equal attention to address the system-level factors that drive burnout in the physicians and nurses working in that unit," Shanafelt said. "We need a holistic and systems-based approach to address the epidemic of burnout among health care providers if we are truly going to create the high-quality health care system we aspire to." The study also showed that rates of medical errors actually tripled in medical work units, even those ranked as extremely safe, if physicians working on that unit had high levels of burnout. This indicates that </w:t>
      </w:r>
      <w:r w:rsidR="006C2D83" w:rsidRPr="00DD2D90">
        <w:rPr>
          <w:u w:val="single"/>
        </w:rPr>
        <w:t>burnout may be an even bigger cause of medical error than a poor safety environment</w:t>
      </w:r>
      <w:r w:rsidR="006C2D83" w:rsidRPr="009278EB">
        <w:rPr>
          <w:sz w:val="16"/>
        </w:rPr>
        <w:t xml:space="preserve">, Tawfik said. "Up until just recently, the prevailing thought was that if medical errors are occurring, you need to fix the workplace safety with things like checklists and better teamwork," Tawfik said. "This study shows that that is probably insufficient. We need a two-pronged approach to reduce medical errors that also addresses physician burnout." </w:t>
      </w:r>
    </w:p>
    <w:p w14:paraId="05A73A63" w14:textId="77777777" w:rsidR="00EA6776" w:rsidRPr="009278EB" w:rsidRDefault="00EA6776">
      <w:pPr>
        <w:rPr>
          <w:rFonts w:eastAsiaTheme="majorEastAsia" w:cstheme="majorBidi"/>
          <w:b/>
          <w:iCs/>
          <w:sz w:val="16"/>
        </w:rPr>
      </w:pPr>
      <w:r w:rsidRPr="009278EB">
        <w:rPr>
          <w:sz w:val="16"/>
        </w:rPr>
        <w:br w:type="page"/>
      </w:r>
    </w:p>
    <w:p w14:paraId="09A6B8C0" w14:textId="1032BDC7" w:rsidR="0090242C" w:rsidRPr="009278EB" w:rsidRDefault="00C4743D" w:rsidP="0090242C">
      <w:pPr>
        <w:pStyle w:val="Heading4"/>
        <w:rPr>
          <w:szCs w:val="26"/>
        </w:rPr>
      </w:pPr>
      <w:r w:rsidRPr="009278EB">
        <w:rPr>
          <w:szCs w:val="26"/>
        </w:rPr>
        <w:t>Extreme profit-seeking causes p</w:t>
      </w:r>
      <w:r w:rsidR="0049349B" w:rsidRPr="009278EB">
        <w:rPr>
          <w:szCs w:val="26"/>
        </w:rPr>
        <w:t xml:space="preserve">hysician burnout </w:t>
      </w:r>
      <w:r w:rsidRPr="009278EB">
        <w:rPr>
          <w:szCs w:val="26"/>
        </w:rPr>
        <w:t xml:space="preserve">and </w:t>
      </w:r>
      <w:r w:rsidR="0049349B" w:rsidRPr="009278EB">
        <w:rPr>
          <w:szCs w:val="26"/>
        </w:rPr>
        <w:t>demoralization</w:t>
      </w:r>
    </w:p>
    <w:p w14:paraId="32BC3EF4" w14:textId="0F83103A" w:rsidR="0090242C" w:rsidRPr="00DD2D90" w:rsidRDefault="0090242C" w:rsidP="0090242C">
      <w:r w:rsidRPr="009278EB">
        <w:rPr>
          <w:b/>
          <w:bCs/>
          <w:sz w:val="26"/>
          <w:szCs w:val="26"/>
        </w:rPr>
        <w:t>Berwick 23</w:t>
      </w:r>
      <w:r w:rsidRPr="00DD2D90">
        <w:t xml:space="preserve"> [Donald M. Berwick, </w:t>
      </w:r>
      <w:r w:rsidR="009505C0" w:rsidRPr="00DD2D90">
        <w:t xml:space="preserve">researcher at the Institute for Healthcare Improvement with a </w:t>
      </w:r>
      <w:r w:rsidRPr="00DD2D90">
        <w:t>Md</w:t>
      </w:r>
      <w:r w:rsidR="009505C0" w:rsidRPr="00DD2D90">
        <w:t xml:space="preserve"> and </w:t>
      </w:r>
      <w:r w:rsidRPr="00DD2D90">
        <w:t xml:space="preserve">Mpp, 1-30-2023, "The Existential Threat of Greed in US Health Care", </w:t>
      </w:r>
      <w:r w:rsidR="00194AE1" w:rsidRPr="00DD2D90">
        <w:t>JAMA Network Open</w:t>
      </w:r>
      <w:r w:rsidRPr="00DD2D90">
        <w:t>, https://jamanetwork.com/journals/jama/fullarticle/2801097</w:t>
      </w:r>
      <w:r w:rsidR="00194AE1" w:rsidRPr="00DD2D90">
        <w:t>]/Kankee</w:t>
      </w:r>
    </w:p>
    <w:p w14:paraId="4F969C29" w14:textId="34F45B4F" w:rsidR="0090242C" w:rsidRPr="009278EB" w:rsidRDefault="0090242C" w:rsidP="0090242C">
      <w:pPr>
        <w:rPr>
          <w:sz w:val="16"/>
        </w:rPr>
      </w:pPr>
      <w:r w:rsidRPr="009278EB">
        <w:rPr>
          <w:sz w:val="16"/>
        </w:rPr>
        <w:t>Recent New York Times investigations have reported on nonprofit hospitals’ reducing and closing services in poor areas while opening new ones in wealthy suburbs and on their use of collection agencies for pursuing payment from patients with low income.6 The Massachusetts Health Policy Commission reported in 2022 that hospital prices and revenues increased during a decade at almost 4 times the rate of inflation.7</w:t>
      </w:r>
      <w:r w:rsidR="0085687F" w:rsidRPr="009278EB">
        <w:rPr>
          <w:sz w:val="16"/>
        </w:rPr>
        <w:t xml:space="preserve"> </w:t>
      </w:r>
      <w:r w:rsidRPr="009278EB">
        <w:rPr>
          <w:sz w:val="16"/>
        </w:rPr>
        <w:t xml:space="preserve">Windfall profits also appear in salaries and benefits for many health care executives. </w:t>
      </w:r>
      <w:r w:rsidRPr="00DD2D90">
        <w:rPr>
          <w:rStyle w:val="StyleUnderline"/>
        </w:rPr>
        <w:t>Of the 10 highest paid among all corporate executives in the US in 2020, 3 were from Oak Street Health</w:t>
      </w:r>
      <w:r w:rsidRPr="009278EB">
        <w:rPr>
          <w:sz w:val="16"/>
        </w:rPr>
        <w:t>, and salary and benefits included, reportedly, $568 million for the chief executive officer (</w:t>
      </w:r>
      <w:r w:rsidRPr="00DD2D90">
        <w:rPr>
          <w:rStyle w:val="StyleUnderline"/>
        </w:rPr>
        <w:t>CEO</w:t>
      </w:r>
      <w:r w:rsidRPr="009278EB">
        <w:rPr>
          <w:sz w:val="16"/>
        </w:rPr>
        <w:t xml:space="preserve">). Executives in large hospital systems commonly </w:t>
      </w:r>
      <w:r w:rsidRPr="00DD2D90">
        <w:rPr>
          <w:rStyle w:val="StyleUnderline"/>
        </w:rPr>
        <w:t>have</w:t>
      </w:r>
      <w:r w:rsidRPr="009278EB">
        <w:rPr>
          <w:sz w:val="16"/>
        </w:rPr>
        <w:t xml:space="preserve"> </w:t>
      </w:r>
      <w:r w:rsidRPr="00DD2D90">
        <w:rPr>
          <w:rStyle w:val="StyleUnderline"/>
        </w:rPr>
        <w:t>salaries</w:t>
      </w:r>
      <w:r w:rsidRPr="009278EB">
        <w:rPr>
          <w:sz w:val="16"/>
        </w:rPr>
        <w:t xml:space="preserve"> and benefits of </w:t>
      </w:r>
      <w:r w:rsidRPr="00DD2D90">
        <w:rPr>
          <w:rStyle w:val="Emphasis"/>
        </w:rPr>
        <w:t xml:space="preserve">several million </w:t>
      </w:r>
      <w:r w:rsidRPr="00DD2D90">
        <w:rPr>
          <w:rStyle w:val="StyleUnderline"/>
        </w:rPr>
        <w:t>dollars a</w:t>
      </w:r>
      <w:r w:rsidRPr="009278EB">
        <w:rPr>
          <w:sz w:val="16"/>
        </w:rPr>
        <w:t xml:space="preserve"> </w:t>
      </w:r>
      <w:r w:rsidRPr="00DD2D90">
        <w:rPr>
          <w:rStyle w:val="StyleUnderline"/>
        </w:rPr>
        <w:t>year</w:t>
      </w:r>
      <w:r w:rsidRPr="009278EB">
        <w:rPr>
          <w:sz w:val="16"/>
        </w:rPr>
        <w:t xml:space="preserve">.8 Some academic medical centers’ boards allow their CEO to serve for 6-figure stipends </w:t>
      </w:r>
      <w:r w:rsidRPr="00DD2D90">
        <w:rPr>
          <w:rStyle w:val="StyleUnderline"/>
        </w:rPr>
        <w:t>and multimillion-dollar stock options</w:t>
      </w:r>
      <w:r w:rsidRPr="009278EB">
        <w:rPr>
          <w:sz w:val="16"/>
        </w:rPr>
        <w:t xml:space="preserve"> on outside company boards, including ones that supply products and services to the medical center.</w:t>
      </w:r>
      <w:r w:rsidR="0085687F" w:rsidRPr="009278EB">
        <w:rPr>
          <w:sz w:val="16"/>
        </w:rPr>
        <w:t xml:space="preserve"> </w:t>
      </w:r>
      <w:r w:rsidRPr="009278EB">
        <w:rPr>
          <w:sz w:val="16"/>
        </w:rPr>
        <w:t>Avarice is manifest in mergers leading to market concentration, which, despite pleas of “economies of scale,” almost always raise costs. That is what is happening as hospital consolidations proceed largely unchecked in many urban markets9 and as physician practices are purchased by for-profit firms. Mergers, acquisitions, and public offerings have been occurring throughout health care, often at valuations that defy logic. Oak Street Health, an innovative primary care company that employs physicians and plays heavily in MA, had a $15 billion initial public offering in 2022, equivalent to $196 000 per patient in their panel.</w:t>
      </w:r>
      <w:r w:rsidR="0085687F" w:rsidRPr="009278EB">
        <w:rPr>
          <w:sz w:val="16"/>
        </w:rPr>
        <w:t xml:space="preserve"> </w:t>
      </w:r>
      <w:r w:rsidRPr="009278EB">
        <w:rPr>
          <w:sz w:val="16"/>
        </w:rPr>
        <w:t xml:space="preserve">Profit may have its place in motivating innovation and higher quality in health care, as in any industry. But </w:t>
      </w:r>
      <w:r w:rsidRPr="00DD2D90">
        <w:rPr>
          <w:rStyle w:val="Emphasis"/>
          <w:highlight w:val="green"/>
        </w:rPr>
        <w:t>kleptocapitalist</w:t>
      </w:r>
      <w:r w:rsidRPr="009278EB">
        <w:rPr>
          <w:sz w:val="16"/>
          <w:highlight w:val="green"/>
        </w:rPr>
        <w:t xml:space="preserve"> </w:t>
      </w:r>
      <w:r w:rsidRPr="00DD2D90">
        <w:rPr>
          <w:rStyle w:val="StyleUnderline"/>
          <w:highlight w:val="green"/>
        </w:rPr>
        <w:t>behaviors</w:t>
      </w:r>
      <w:r w:rsidRPr="009278EB">
        <w:rPr>
          <w:sz w:val="16"/>
        </w:rPr>
        <w:t xml:space="preserve"> that raise prices, salaries, market power, and government payment to extreme levels hurt patients and families, vulnerable institutions, governmental programs, small and large businesses, and workforce morale. Those behaviors, mostly legal but nonetheless wrong, have now accumulated to a level that </w:t>
      </w:r>
      <w:r w:rsidRPr="00DD2D90">
        <w:rPr>
          <w:rStyle w:val="StyleUnderline"/>
          <w:highlight w:val="green"/>
        </w:rPr>
        <w:t>poses an</w:t>
      </w:r>
      <w:r w:rsidRPr="00DD2D90">
        <w:rPr>
          <w:rStyle w:val="StyleUnderline"/>
        </w:rPr>
        <w:t xml:space="preserve"> </w:t>
      </w:r>
      <w:r w:rsidRPr="00DD2D90">
        <w:rPr>
          <w:rStyle w:val="Emphasis"/>
          <w:highlight w:val="green"/>
        </w:rPr>
        <w:t>existential threat</w:t>
      </w:r>
      <w:r w:rsidRPr="009278EB">
        <w:rPr>
          <w:sz w:val="16"/>
          <w:highlight w:val="green"/>
        </w:rPr>
        <w:t xml:space="preserve"> </w:t>
      </w:r>
      <w:r w:rsidRPr="00DD2D90">
        <w:rPr>
          <w:rStyle w:val="StyleUnderline"/>
          <w:highlight w:val="green"/>
        </w:rPr>
        <w:t>to</w:t>
      </w:r>
      <w:r w:rsidRPr="00DD2D90">
        <w:rPr>
          <w:rStyle w:val="StyleUnderline"/>
        </w:rPr>
        <w:t xml:space="preserve"> a</w:t>
      </w:r>
      <w:r w:rsidRPr="009278EB">
        <w:rPr>
          <w:sz w:val="16"/>
        </w:rPr>
        <w:t xml:space="preserve"> sustainable, equitable, and </w:t>
      </w:r>
      <w:r w:rsidRPr="00DD2D90">
        <w:rPr>
          <w:rStyle w:val="StyleUnderline"/>
        </w:rPr>
        <w:t xml:space="preserve">compassionate </w:t>
      </w:r>
      <w:r w:rsidRPr="00DD2D90">
        <w:rPr>
          <w:rStyle w:val="StyleUnderline"/>
          <w:highlight w:val="green"/>
        </w:rPr>
        <w:t>health care</w:t>
      </w:r>
      <w:r w:rsidRPr="00DD2D90">
        <w:rPr>
          <w:rStyle w:val="StyleUnderline"/>
        </w:rPr>
        <w:t xml:space="preserve"> system.</w:t>
      </w:r>
      <w:r w:rsidR="0085687F" w:rsidRPr="00DD2D90">
        <w:rPr>
          <w:rStyle w:val="StyleUnderline"/>
        </w:rPr>
        <w:t xml:space="preserve"> </w:t>
      </w:r>
      <w:r w:rsidRPr="009278EB">
        <w:rPr>
          <w:sz w:val="16"/>
        </w:rPr>
        <w:t>For individuals, the costs can be extremely painful.</w:t>
      </w:r>
      <w:r w:rsidR="0085687F" w:rsidRPr="009278EB">
        <w:rPr>
          <w:sz w:val="16"/>
        </w:rPr>
        <w:t xml:space="preserve"> </w:t>
      </w:r>
      <w:r w:rsidRPr="009278EB">
        <w:rPr>
          <w:sz w:val="16"/>
        </w:rPr>
        <w:t>A total of 41% of US adults, 100 million people, bear medical debts. One of every 8 individuals owes more than $10 000. In Massachusetts, 46% of adults say they skip needed care because of costs. As of 2021, 58% of all debt collections in the US are for medical bills.10 Health insurance premiums in Massachusetts have gone up more than 200% in 2 decades and now cost more annually per family than a car. People of lower income must choose high-deductible plans; they cannot afford more complete coverage. In no other developed nation on earth is deep medical debt as present a threat as in the US.</w:t>
      </w:r>
      <w:r w:rsidR="0085687F" w:rsidRPr="009278EB">
        <w:rPr>
          <w:sz w:val="16"/>
        </w:rPr>
        <w:t xml:space="preserve"> </w:t>
      </w:r>
      <w:r w:rsidRPr="00DD2D90">
        <w:rPr>
          <w:rStyle w:val="StyleUnderline"/>
          <w:highlight w:val="green"/>
        </w:rPr>
        <w:t xml:space="preserve">Greed harms the </w:t>
      </w:r>
      <w:r w:rsidRPr="00DD2D90">
        <w:rPr>
          <w:rStyle w:val="Emphasis"/>
          <w:highlight w:val="green"/>
        </w:rPr>
        <w:t>cultures of compassion</w:t>
      </w:r>
      <w:r w:rsidRPr="00DD2D90">
        <w:rPr>
          <w:rStyle w:val="StyleUnderline"/>
          <w:highlight w:val="green"/>
        </w:rPr>
        <w:t xml:space="preserve"> and</w:t>
      </w:r>
      <w:r w:rsidRPr="009278EB">
        <w:rPr>
          <w:sz w:val="16"/>
          <w:highlight w:val="green"/>
        </w:rPr>
        <w:t xml:space="preserve"> </w:t>
      </w:r>
      <w:r w:rsidRPr="00DD2D90">
        <w:rPr>
          <w:rStyle w:val="Emphasis"/>
          <w:highlight w:val="green"/>
        </w:rPr>
        <w:t>professionalism</w:t>
      </w:r>
      <w:r w:rsidRPr="009278EB">
        <w:rPr>
          <w:sz w:val="16"/>
        </w:rPr>
        <w:t xml:space="preserve"> </w:t>
      </w:r>
      <w:r w:rsidRPr="00DD2D90">
        <w:rPr>
          <w:rStyle w:val="StyleUnderline"/>
        </w:rPr>
        <w:t xml:space="preserve">that are </w:t>
      </w:r>
      <w:r w:rsidRPr="00DD2D90">
        <w:rPr>
          <w:rStyle w:val="Emphasis"/>
        </w:rPr>
        <w:t>bedrock</w:t>
      </w:r>
      <w:r w:rsidRPr="00DD2D90">
        <w:rPr>
          <w:rStyle w:val="StyleUnderline"/>
        </w:rPr>
        <w:t xml:space="preserve"> to healing care</w:t>
      </w:r>
      <w:r w:rsidRPr="009278EB">
        <w:rPr>
          <w:sz w:val="16"/>
        </w:rPr>
        <w:t xml:space="preserve">. Health care </w:t>
      </w:r>
      <w:r w:rsidRPr="00DD2D90">
        <w:rPr>
          <w:rStyle w:val="StyleUnderline"/>
        </w:rPr>
        <w:t>executives</w:t>
      </w:r>
      <w:r w:rsidRPr="009278EB">
        <w:rPr>
          <w:sz w:val="16"/>
        </w:rPr>
        <w:t xml:space="preserve"> and board members who know better nonetheless </w:t>
      </w:r>
      <w:r w:rsidRPr="00DD2D90">
        <w:rPr>
          <w:rStyle w:val="StyleUnderline"/>
        </w:rPr>
        <w:t xml:space="preserve">feel compelled to play the games of </w:t>
      </w:r>
      <w:r w:rsidRPr="009278EB">
        <w:rPr>
          <w:sz w:val="16"/>
        </w:rPr>
        <w:t>pricing, acquisition, and</w:t>
      </w:r>
      <w:r w:rsidRPr="00DD2D90">
        <w:rPr>
          <w:rStyle w:val="StyleUnderline"/>
        </w:rPr>
        <w:t xml:space="preserve"> revenue maximization</w:t>
      </w:r>
      <w:r w:rsidRPr="009278EB">
        <w:rPr>
          <w:sz w:val="16"/>
        </w:rPr>
        <w:t xml:space="preserve"> that others do. </w:t>
      </w:r>
      <w:r w:rsidRPr="00DD2D90">
        <w:rPr>
          <w:rStyle w:val="StyleUnderline"/>
          <w:highlight w:val="green"/>
        </w:rPr>
        <w:t>Professionals find themselves trapped in record keeping, coding behaviors, and productivity imperatives</w:t>
      </w:r>
      <w:r w:rsidRPr="00DD2D90">
        <w:rPr>
          <w:rStyle w:val="StyleUnderline"/>
        </w:rPr>
        <w:t xml:space="preserve"> </w:t>
      </w:r>
      <w:r w:rsidRPr="00DD2D90">
        <w:rPr>
          <w:rStyle w:val="StyleUnderline"/>
          <w:highlight w:val="green"/>
        </w:rPr>
        <w:t>that belie the reasons</w:t>
      </w:r>
      <w:r w:rsidRPr="00DD2D90">
        <w:rPr>
          <w:rStyle w:val="StyleUnderline"/>
        </w:rPr>
        <w:t xml:space="preserve"> </w:t>
      </w:r>
      <w:r w:rsidRPr="00DD2D90">
        <w:rPr>
          <w:rStyle w:val="StyleUnderline"/>
          <w:highlight w:val="green"/>
        </w:rPr>
        <w:t>many went into health</w:t>
      </w:r>
      <w:r w:rsidRPr="00DD2D90">
        <w:rPr>
          <w:rStyle w:val="StyleUnderline"/>
        </w:rPr>
        <w:t xml:space="preserve"> </w:t>
      </w:r>
      <w:r w:rsidRPr="00DD2D90">
        <w:rPr>
          <w:rStyle w:val="StyleUnderline"/>
          <w:highlight w:val="green"/>
        </w:rPr>
        <w:t>care</w:t>
      </w:r>
      <w:r w:rsidRPr="00DD2D90">
        <w:rPr>
          <w:rStyle w:val="StyleUnderline"/>
        </w:rPr>
        <w:t xml:space="preserve"> in the first place</w:t>
      </w:r>
      <w:r w:rsidRPr="009278EB">
        <w:rPr>
          <w:sz w:val="16"/>
        </w:rPr>
        <w:t>. “</w:t>
      </w:r>
      <w:r w:rsidRPr="00DD2D90">
        <w:rPr>
          <w:rStyle w:val="Emphasis"/>
          <w:highlight w:val="green"/>
        </w:rPr>
        <w:t>Moral injury</w:t>
      </w:r>
      <w:r w:rsidRPr="009278EB">
        <w:rPr>
          <w:sz w:val="16"/>
        </w:rPr>
        <w:t xml:space="preserve">” </w:t>
      </w:r>
      <w:r w:rsidRPr="00DD2D90">
        <w:rPr>
          <w:rStyle w:val="StyleUnderline"/>
          <w:highlight w:val="green"/>
        </w:rPr>
        <w:t xml:space="preserve">is the harvest, with </w:t>
      </w:r>
      <w:r w:rsidRPr="00DD2D90">
        <w:rPr>
          <w:rStyle w:val="Emphasis"/>
          <w:highlight w:val="green"/>
        </w:rPr>
        <w:t>demoralization</w:t>
      </w:r>
      <w:r w:rsidRPr="00DD2D90">
        <w:rPr>
          <w:rStyle w:val="StyleUnderline"/>
          <w:highlight w:val="green"/>
        </w:rPr>
        <w:t xml:space="preserve"> and </w:t>
      </w:r>
      <w:r w:rsidRPr="00DD2D90">
        <w:rPr>
          <w:rStyle w:val="Emphasis"/>
          <w:highlight w:val="green"/>
        </w:rPr>
        <w:t>disengagement</w:t>
      </w:r>
      <w:r w:rsidRPr="00DD2D90">
        <w:rPr>
          <w:rStyle w:val="StyleUnderline"/>
          <w:highlight w:val="green"/>
        </w:rPr>
        <w:t xml:space="preserve"> to follow</w:t>
      </w:r>
      <w:r w:rsidRPr="00DD2D90">
        <w:rPr>
          <w:rStyle w:val="StyleUnderline"/>
        </w:rPr>
        <w:t>.</w:t>
      </w:r>
      <w:r w:rsidR="0085687F" w:rsidRPr="00DD2D90">
        <w:rPr>
          <w:rStyle w:val="StyleUnderline"/>
        </w:rPr>
        <w:t xml:space="preserve"> </w:t>
      </w:r>
      <w:r w:rsidRPr="009278EB">
        <w:rPr>
          <w:sz w:val="16"/>
        </w:rPr>
        <w:t xml:space="preserve">US health care costs nearly twice as much as care in any other developed nation, whereas US health status, equity, and longevity lag far behind. Unchecked greed is not the only driver of that failure, but it is a major one. </w:t>
      </w:r>
      <w:r w:rsidRPr="00DD2D90">
        <w:rPr>
          <w:rStyle w:val="StyleUnderline"/>
          <w:highlight w:val="green"/>
        </w:rPr>
        <w:t>Few</w:t>
      </w:r>
      <w:r w:rsidRPr="009278EB">
        <w:rPr>
          <w:sz w:val="16"/>
        </w:rPr>
        <w:t xml:space="preserve">, if any, other developed </w:t>
      </w:r>
      <w:r w:rsidRPr="00DD2D90">
        <w:rPr>
          <w:rStyle w:val="StyleUnderline"/>
          <w:highlight w:val="green"/>
        </w:rPr>
        <w:t>nations tolerate</w:t>
      </w:r>
      <w:r w:rsidRPr="00DD2D90">
        <w:rPr>
          <w:rStyle w:val="StyleUnderline"/>
        </w:rPr>
        <w:t xml:space="preserve"> </w:t>
      </w:r>
      <w:r w:rsidRPr="00DD2D90">
        <w:rPr>
          <w:rStyle w:val="StyleUnderline"/>
          <w:highlight w:val="green"/>
        </w:rPr>
        <w:t>the levels of</w:t>
      </w:r>
      <w:r w:rsidRPr="00DD2D90">
        <w:rPr>
          <w:rStyle w:val="StyleUnderline"/>
        </w:rPr>
        <w:t xml:space="preserve"> avarice, manipulation, and </w:t>
      </w:r>
      <w:r w:rsidRPr="00DD2D90">
        <w:rPr>
          <w:rStyle w:val="StyleUnderline"/>
          <w:highlight w:val="green"/>
        </w:rPr>
        <w:t>profiteering</w:t>
      </w:r>
      <w:r w:rsidRPr="00DD2D90">
        <w:rPr>
          <w:rStyle w:val="StyleUnderline"/>
        </w:rPr>
        <w:t xml:space="preserve"> in health care that </w:t>
      </w:r>
      <w:r w:rsidRPr="00DD2D90">
        <w:rPr>
          <w:rStyle w:val="StyleUnderline"/>
          <w:highlight w:val="green"/>
        </w:rPr>
        <w:t>the US does</w:t>
      </w:r>
      <w:r w:rsidRPr="009278EB">
        <w:rPr>
          <w:sz w:val="16"/>
        </w:rPr>
        <w:t>. Salve lucrum is the wrong answer.</w:t>
      </w:r>
      <w:r w:rsidR="0085687F" w:rsidRPr="009278EB">
        <w:rPr>
          <w:sz w:val="16"/>
        </w:rPr>
        <w:t xml:space="preserve"> </w:t>
      </w:r>
      <w:r w:rsidRPr="009278EB">
        <w:rPr>
          <w:sz w:val="16"/>
        </w:rPr>
        <w:t>What to do about greed? No answer is easy, not least because of the political lobbying might of individuals and organizations that are thriving under the current laxity. The cycle is vicious: unchecked greed concentrates wealth, wealth concentrates political power, and political power blocks constraints on greed.</w:t>
      </w:r>
      <w:r w:rsidR="0085687F" w:rsidRPr="009278EB">
        <w:rPr>
          <w:sz w:val="16"/>
        </w:rPr>
        <w:t xml:space="preserve"> </w:t>
      </w:r>
      <w:r w:rsidRPr="009278EB">
        <w:rPr>
          <w:sz w:val="16"/>
        </w:rPr>
        <w:t>Perhaps the demoralization of professionals, the conflicted consciences of many executives, and the anger of the public represent potential political energy that, with proper leadership, can become kinetic.</w:t>
      </w:r>
      <w:r w:rsidR="0085687F" w:rsidRPr="009278EB">
        <w:rPr>
          <w:sz w:val="16"/>
        </w:rPr>
        <w:t xml:space="preserve"> </w:t>
      </w:r>
      <w:r w:rsidRPr="009278EB">
        <w:rPr>
          <w:sz w:val="16"/>
        </w:rPr>
        <w:t xml:space="preserve">First, </w:t>
      </w:r>
      <w:r w:rsidRPr="00DD2D90">
        <w:rPr>
          <w:rStyle w:val="StyleUnderline"/>
        </w:rPr>
        <w:t xml:space="preserve">health care </w:t>
      </w:r>
      <w:r w:rsidRPr="00DD2D90">
        <w:rPr>
          <w:rStyle w:val="StyleUnderline"/>
          <w:highlight w:val="green"/>
        </w:rPr>
        <w:t>professionals</w:t>
      </w:r>
      <w:r w:rsidRPr="009278EB">
        <w:rPr>
          <w:sz w:val="16"/>
        </w:rPr>
        <w:t xml:space="preserve"> in all disciplines </w:t>
      </w:r>
      <w:r w:rsidRPr="00DD2D90">
        <w:rPr>
          <w:rStyle w:val="StyleUnderline"/>
          <w:highlight w:val="green"/>
        </w:rPr>
        <w:t>need to become noisier about</w:t>
      </w:r>
      <w:r w:rsidRPr="00DD2D90">
        <w:rPr>
          <w:rStyle w:val="StyleUnderline"/>
        </w:rPr>
        <w:t xml:space="preserve"> </w:t>
      </w:r>
      <w:r w:rsidRPr="00DD2D90">
        <w:rPr>
          <w:rStyle w:val="StyleUnderline"/>
          <w:highlight w:val="green"/>
        </w:rPr>
        <w:t xml:space="preserve">the conflict between unchecked greed and the </w:t>
      </w:r>
      <w:r w:rsidRPr="00DD2D90">
        <w:rPr>
          <w:rStyle w:val="Emphasis"/>
          <w:highlight w:val="green"/>
        </w:rPr>
        <w:t>duty to heal</w:t>
      </w:r>
      <w:r w:rsidRPr="009278EB">
        <w:rPr>
          <w:sz w:val="16"/>
        </w:rPr>
        <w:t>. Extortionate drug prices, exploitation of market consolidation, coding games, excessive executive compensation, and promulgation of unnecessary care ought not to be met with silence. Silence is assent.</w:t>
      </w:r>
      <w:r w:rsidR="0085687F" w:rsidRPr="009278EB">
        <w:rPr>
          <w:sz w:val="16"/>
        </w:rPr>
        <w:t xml:space="preserve"> </w:t>
      </w:r>
      <w:r w:rsidRPr="009278EB">
        <w:rPr>
          <w:sz w:val="16"/>
        </w:rPr>
        <w:t xml:space="preserve">Second, </w:t>
      </w:r>
      <w:r w:rsidRPr="00DD2D90">
        <w:rPr>
          <w:rStyle w:val="StyleUnderline"/>
        </w:rPr>
        <w:t>health care professionals</w:t>
      </w:r>
      <w:r w:rsidRPr="009278EB">
        <w:rPr>
          <w:sz w:val="16"/>
        </w:rPr>
        <w:t xml:space="preserve"> should insist that their guilds and trade organizations demote the pursuit of higher payment among their priorities. They </w:t>
      </w:r>
      <w:r w:rsidRPr="00DD2D90">
        <w:rPr>
          <w:rStyle w:val="StyleUnderline"/>
        </w:rPr>
        <w:t>should insist</w:t>
      </w:r>
      <w:r w:rsidRPr="009278EB">
        <w:rPr>
          <w:sz w:val="16"/>
        </w:rPr>
        <w:t xml:space="preserve"> that </w:t>
      </w:r>
      <w:r w:rsidRPr="00DD2D90">
        <w:rPr>
          <w:rStyle w:val="StyleUnderline"/>
        </w:rPr>
        <w:t>resources flow to the neediest</w:t>
      </w:r>
      <w:r w:rsidRPr="009278EB">
        <w:rPr>
          <w:sz w:val="16"/>
        </w:rPr>
        <w:t xml:space="preserve"> in our society. </w:t>
      </w:r>
      <w:r w:rsidRPr="00DD2D90">
        <w:rPr>
          <w:rStyle w:val="StyleUnderline"/>
        </w:rPr>
        <w:t>The protection of patients</w:t>
      </w:r>
      <w:r w:rsidRPr="009278EB">
        <w:rPr>
          <w:sz w:val="16"/>
        </w:rPr>
        <w:t>—all patients—</w:t>
      </w:r>
      <w:r w:rsidRPr="00DD2D90">
        <w:rPr>
          <w:rStyle w:val="StyleUnderline"/>
        </w:rPr>
        <w:t xml:space="preserve">is the </w:t>
      </w:r>
      <w:r w:rsidRPr="00DD2D90">
        <w:rPr>
          <w:rStyle w:val="Emphasis"/>
        </w:rPr>
        <w:t>first</w:t>
      </w:r>
      <w:r w:rsidRPr="009278EB">
        <w:rPr>
          <w:sz w:val="16"/>
        </w:rPr>
        <w:t xml:space="preserve"> </w:t>
      </w:r>
      <w:r w:rsidRPr="00DD2D90">
        <w:rPr>
          <w:rStyle w:val="StyleUnderline"/>
        </w:rPr>
        <w:t>and</w:t>
      </w:r>
      <w:r w:rsidRPr="009278EB">
        <w:rPr>
          <w:sz w:val="16"/>
        </w:rPr>
        <w:t xml:space="preserve"> </w:t>
      </w:r>
      <w:r w:rsidRPr="00DD2D90">
        <w:rPr>
          <w:rStyle w:val="Emphasis"/>
        </w:rPr>
        <w:t>highest</w:t>
      </w:r>
      <w:r w:rsidRPr="009278EB">
        <w:rPr>
          <w:sz w:val="16"/>
        </w:rPr>
        <w:t xml:space="preserve"> </w:t>
      </w:r>
      <w:r w:rsidRPr="00DD2D90">
        <w:rPr>
          <w:rStyle w:val="StyleUnderline"/>
        </w:rPr>
        <w:t>calling</w:t>
      </w:r>
      <w:r w:rsidRPr="009278EB">
        <w:rPr>
          <w:sz w:val="16"/>
        </w:rPr>
        <w:t xml:space="preserve">, and </w:t>
      </w:r>
      <w:r w:rsidRPr="00DD2D90">
        <w:rPr>
          <w:rStyle w:val="StyleUnderline"/>
        </w:rPr>
        <w:t>that includes</w:t>
      </w:r>
      <w:r w:rsidRPr="009278EB">
        <w:rPr>
          <w:sz w:val="16"/>
        </w:rPr>
        <w:t xml:space="preserve"> </w:t>
      </w:r>
      <w:r w:rsidRPr="00DD2D90">
        <w:rPr>
          <w:rStyle w:val="StyleUnderline"/>
        </w:rPr>
        <w:t>protection against</w:t>
      </w:r>
      <w:r w:rsidRPr="009278EB">
        <w:rPr>
          <w:sz w:val="16"/>
        </w:rPr>
        <w:t xml:space="preserve"> onerous </w:t>
      </w:r>
      <w:r w:rsidRPr="00DD2D90">
        <w:rPr>
          <w:rStyle w:val="StyleUnderline"/>
        </w:rPr>
        <w:t>medical debt</w:t>
      </w:r>
      <w:r w:rsidRPr="009278EB">
        <w:rPr>
          <w:sz w:val="16"/>
        </w:rPr>
        <w:t xml:space="preserve"> and bankruptcy.</w:t>
      </w:r>
      <w:r w:rsidR="0085687F" w:rsidRPr="009278EB">
        <w:rPr>
          <w:sz w:val="16"/>
        </w:rPr>
        <w:t xml:space="preserve"> </w:t>
      </w:r>
      <w:r w:rsidRPr="009278EB">
        <w:rPr>
          <w:sz w:val="16"/>
        </w:rPr>
        <w:t>Third, health care leaders and professionals should lobby Congress to pass legislation to rein in greed. Reforming patent laws, changing coding and billing rules, strengthening antitrust enforcement, expanding price transparency, and accelerating global budgets for the care of populations are agendas that have languished without strong action in Congress for years because the money of incumbents drowns out the greater public interest.</w:t>
      </w:r>
      <w:r w:rsidR="0085687F" w:rsidRPr="009278EB">
        <w:rPr>
          <w:sz w:val="16"/>
        </w:rPr>
        <w:t xml:space="preserve"> </w:t>
      </w:r>
      <w:r w:rsidRPr="009278EB">
        <w:rPr>
          <w:sz w:val="16"/>
        </w:rPr>
        <w:t>Fourth, health care professionals should insist that their organizations invest actively in improving the true social influences on health. America’s hospitals should bring a fair share of their resources to mitigating the actual causes of illness, injury, and disability.</w:t>
      </w:r>
      <w:r w:rsidR="0085687F" w:rsidRPr="009278EB">
        <w:rPr>
          <w:sz w:val="16"/>
        </w:rPr>
        <w:t xml:space="preserve"> </w:t>
      </w:r>
      <w:r w:rsidRPr="009278EB">
        <w:rPr>
          <w:sz w:val="16"/>
        </w:rPr>
        <w:t xml:space="preserve">The glorification of profit, salve lucrum, is harming both care and health. Health care should not be an engine for excessive private gain. </w:t>
      </w:r>
    </w:p>
    <w:p w14:paraId="2C34E37C" w14:textId="568E9CE0" w:rsidR="0089044A" w:rsidRPr="009278EB" w:rsidRDefault="00EA6776" w:rsidP="00EA6776">
      <w:pPr>
        <w:pStyle w:val="Heading4"/>
        <w:rPr>
          <w:szCs w:val="26"/>
        </w:rPr>
      </w:pPr>
      <w:r w:rsidRPr="00DD2D90">
        <w:rPr>
          <w:sz w:val="22"/>
        </w:rPr>
        <w:br w:type="page"/>
      </w:r>
      <w:r w:rsidR="0089044A" w:rsidRPr="009278EB">
        <w:rPr>
          <w:szCs w:val="26"/>
        </w:rPr>
        <w:t>Corporatization causes medical proletarianization, which escalates burnout</w:t>
      </w:r>
    </w:p>
    <w:p w14:paraId="0407CD77" w14:textId="77777777" w:rsidR="0089044A" w:rsidRPr="00DD2D90" w:rsidRDefault="0089044A" w:rsidP="0089044A">
      <w:r w:rsidRPr="009278EB">
        <w:rPr>
          <w:b/>
          <w:bCs/>
          <w:sz w:val="26"/>
          <w:szCs w:val="26"/>
        </w:rPr>
        <w:t>Waitzkin 20</w:t>
      </w:r>
      <w:r w:rsidRPr="00DD2D90">
        <w:t xml:space="preserve"> [Howard Waitzkin, Distinguished Professor Emeritus in the Department of Sociology and Health Sciences Center at the University of New Mexico and director of the Civilian Medical Resources Network, 5-11-2020, "Moving Beyond Capitalism for Our Health", NYU Press Blog, https://nyupress.org/blog/2020/05/11/moving-beyond-capitalism-for-our-health/]/Kankee</w:t>
      </w:r>
    </w:p>
    <w:p w14:paraId="3A61F14C" w14:textId="77777777" w:rsidR="0089044A" w:rsidRPr="009278EB" w:rsidRDefault="0089044A" w:rsidP="0089044A">
      <w:pPr>
        <w:rPr>
          <w:sz w:val="16"/>
        </w:rPr>
      </w:pPr>
      <w:r w:rsidRPr="009278EB">
        <w:rPr>
          <w:sz w:val="16"/>
        </w:rPr>
        <w:t xml:space="preserve">Neoliberal policies have led to privatization, cutbacks in public-sector services and institutions, and public subsidization of private profit making through transfer of tax revenues into the private insurance corporations. A growing financialization of capitalist economies includes the increasingly oligopolistic and financialized character of health insurance, both public and private. The financial flows of both public and private health insurance programs increasingly merge with those of the broader finance capital and real estate industries (the so-called FIRE sector: finance, insurance, real estate). In addition to these financial changes related to neoliberalism, those struggling for just and accessible health systems now need to confront the shifting social class position of health professionals. </w:t>
      </w:r>
      <w:r w:rsidRPr="00DD2D90">
        <w:rPr>
          <w:rStyle w:val="StyleUnderline"/>
          <w:highlight w:val="green"/>
        </w:rPr>
        <w:t>The</w:t>
      </w:r>
      <w:r w:rsidRPr="009278EB">
        <w:rPr>
          <w:sz w:val="16"/>
          <w:highlight w:val="green"/>
        </w:rPr>
        <w:t xml:space="preserve"> </w:t>
      </w:r>
      <w:r w:rsidRPr="00DD2D90">
        <w:rPr>
          <w:rStyle w:val="Emphasis"/>
          <w:highlight w:val="green"/>
        </w:rPr>
        <w:t>social-class position</w:t>
      </w:r>
      <w:r w:rsidRPr="00DD2D90">
        <w:rPr>
          <w:rStyle w:val="StyleUnderline"/>
          <w:highlight w:val="green"/>
        </w:rPr>
        <w:t xml:space="preserve"> of physicians</w:t>
      </w:r>
      <w:r w:rsidRPr="009278EB">
        <w:rPr>
          <w:sz w:val="16"/>
        </w:rPr>
        <w:t xml:space="preserve"> and other health professionals has </w:t>
      </w:r>
      <w:r w:rsidRPr="00DD2D90">
        <w:rPr>
          <w:rStyle w:val="StyleUnderline"/>
          <w:highlight w:val="green"/>
        </w:rPr>
        <w:t xml:space="preserve">changed </w:t>
      </w:r>
      <w:r w:rsidRPr="00DD2D90">
        <w:rPr>
          <w:rStyle w:val="Emphasis"/>
          <w:highlight w:val="green"/>
        </w:rPr>
        <w:t>drastically</w:t>
      </w:r>
      <w:r w:rsidRPr="009278EB">
        <w:rPr>
          <w:sz w:val="16"/>
        </w:rPr>
        <w:t xml:space="preserve"> in the United States and most other capitalist countries. </w:t>
      </w:r>
      <w:r w:rsidRPr="00DD2D90">
        <w:rPr>
          <w:rStyle w:val="StyleUnderline"/>
        </w:rPr>
        <w:t>Previously</w:t>
      </w:r>
      <w:r w:rsidRPr="009278EB">
        <w:rPr>
          <w:sz w:val="16"/>
        </w:rPr>
        <w:t xml:space="preserve"> the majority of physicians worked in individual or group practices. Although some were employees receiving relatively high salaries and benefits, </w:t>
      </w:r>
      <w:r w:rsidRPr="00DD2D90">
        <w:rPr>
          <w:rStyle w:val="StyleUnderline"/>
          <w:highlight w:val="green"/>
        </w:rPr>
        <w:t>most</w:t>
      </w:r>
      <w:r w:rsidRPr="00DD2D90">
        <w:rPr>
          <w:rStyle w:val="StyleUnderline"/>
        </w:rPr>
        <w:t xml:space="preserve"> </w:t>
      </w:r>
      <w:r w:rsidRPr="00DD2D90">
        <w:rPr>
          <w:rStyle w:val="StyleUnderline"/>
          <w:highlight w:val="green"/>
        </w:rPr>
        <w:t xml:space="preserve">were </w:t>
      </w:r>
      <w:r w:rsidRPr="00DD2D90">
        <w:rPr>
          <w:rStyle w:val="StyleUnderline"/>
        </w:rPr>
        <w:t>small</w:t>
      </w:r>
      <w:r w:rsidRPr="009278EB">
        <w:rPr>
          <w:sz w:val="16"/>
        </w:rPr>
        <w:t xml:space="preserve"> </w:t>
      </w:r>
      <w:r w:rsidRPr="00DD2D90">
        <w:rPr>
          <w:rStyle w:val="StyleUnderline"/>
        </w:rPr>
        <w:t>entrepreneurs</w:t>
      </w:r>
      <w:r w:rsidRPr="009278EB">
        <w:rPr>
          <w:sz w:val="16"/>
        </w:rPr>
        <w:t xml:space="preserve">. In the “fee-for-service” system, </w:t>
      </w:r>
      <w:r w:rsidRPr="00DD2D90">
        <w:rPr>
          <w:rStyle w:val="StyleUnderline"/>
        </w:rPr>
        <w:t>they seldom accumulated capital on the scale of industrialists or financiers</w:t>
      </w:r>
      <w:r w:rsidRPr="009278EB">
        <w:rPr>
          <w:sz w:val="16"/>
        </w:rPr>
        <w:t xml:space="preserve">, </w:t>
      </w:r>
      <w:r w:rsidRPr="00DD2D90">
        <w:rPr>
          <w:rStyle w:val="StyleUnderline"/>
        </w:rPr>
        <w:t>but</w:t>
      </w:r>
      <w:r w:rsidRPr="009278EB">
        <w:rPr>
          <w:sz w:val="16"/>
        </w:rPr>
        <w:t xml:space="preserve"> they still </w:t>
      </w:r>
      <w:r w:rsidRPr="00DD2D90">
        <w:rPr>
          <w:rStyle w:val="StyleUnderline"/>
        </w:rPr>
        <w:t>saw themselves</w:t>
      </w:r>
      <w:r w:rsidRPr="009278EB">
        <w:rPr>
          <w:sz w:val="16"/>
        </w:rPr>
        <w:t xml:space="preserve"> and others saw them as members of an “upper class.” Some Marxist-oriented theorists of class viewed them </w:t>
      </w:r>
      <w:r w:rsidRPr="00DD2D90">
        <w:rPr>
          <w:rStyle w:val="StyleUnderline"/>
        </w:rPr>
        <w:t>as members of a “</w:t>
      </w:r>
      <w:r w:rsidRPr="00DD2D90">
        <w:rPr>
          <w:rStyle w:val="Emphasis"/>
          <w:highlight w:val="green"/>
        </w:rPr>
        <w:t>professional managerial class</w:t>
      </w:r>
      <w:r w:rsidRPr="009278EB">
        <w:rPr>
          <w:sz w:val="16"/>
        </w:rPr>
        <w:t xml:space="preserve">.”[ii] </w:t>
      </w:r>
      <w:r w:rsidRPr="00DD2D90">
        <w:rPr>
          <w:rStyle w:val="StyleUnderline"/>
        </w:rPr>
        <w:t>Physicians increasingly have become employees</w:t>
      </w:r>
      <w:r w:rsidRPr="009278EB">
        <w:rPr>
          <w:sz w:val="16"/>
        </w:rPr>
        <w:t xml:space="preserve"> of hospitals or practices at least partially owned by large health systems. </w:t>
      </w:r>
      <w:r w:rsidRPr="00DD2D90">
        <w:rPr>
          <w:rStyle w:val="StyleUnderline"/>
          <w:highlight w:val="green"/>
        </w:rPr>
        <w:t>In</w:t>
      </w:r>
      <w:r w:rsidRPr="009278EB">
        <w:rPr>
          <w:sz w:val="16"/>
        </w:rPr>
        <w:t xml:space="preserve"> a large </w:t>
      </w:r>
      <w:r w:rsidRPr="00DD2D90">
        <w:rPr>
          <w:rStyle w:val="StyleUnderline"/>
          <w:highlight w:val="green"/>
        </w:rPr>
        <w:t>2015</w:t>
      </w:r>
      <w:r w:rsidRPr="009278EB">
        <w:rPr>
          <w:sz w:val="16"/>
        </w:rPr>
        <w:t xml:space="preserve"> survey, </w:t>
      </w:r>
      <w:r w:rsidRPr="00DD2D90">
        <w:rPr>
          <w:rStyle w:val="Emphasis"/>
          <w:highlight w:val="green"/>
        </w:rPr>
        <w:t>63 percent</w:t>
      </w:r>
      <w:r w:rsidRPr="00DD2D90">
        <w:rPr>
          <w:rStyle w:val="StyleUnderline"/>
        </w:rPr>
        <w:t xml:space="preserve"> of all U.S. physicians </w:t>
      </w:r>
      <w:r w:rsidRPr="00DD2D90">
        <w:rPr>
          <w:rStyle w:val="StyleUnderline"/>
          <w:highlight w:val="green"/>
        </w:rPr>
        <w:t>report</w:t>
      </w:r>
      <w:r w:rsidRPr="00DD2D90">
        <w:rPr>
          <w:rStyle w:val="StyleUnderline"/>
        </w:rPr>
        <w:t xml:space="preserve">ed </w:t>
      </w:r>
      <w:r w:rsidRPr="00DD2D90">
        <w:rPr>
          <w:rStyle w:val="StyleUnderline"/>
          <w:highlight w:val="green"/>
        </w:rPr>
        <w:t>being</w:t>
      </w:r>
      <w:r w:rsidRPr="00DD2D90">
        <w:rPr>
          <w:rStyle w:val="StyleUnderline"/>
        </w:rPr>
        <w:t xml:space="preserve"> </w:t>
      </w:r>
      <w:r w:rsidRPr="00DD2D90">
        <w:rPr>
          <w:rStyle w:val="StyleUnderline"/>
          <w:highlight w:val="green"/>
        </w:rPr>
        <w:t>employed</w:t>
      </w:r>
      <w:r w:rsidRPr="009278EB">
        <w:rPr>
          <w:sz w:val="16"/>
        </w:rPr>
        <w:t xml:space="preserve">, including 72 percent of women physicians.[iii] These </w:t>
      </w:r>
      <w:r w:rsidRPr="00DD2D90">
        <w:rPr>
          <w:rStyle w:val="StyleUnderline"/>
        </w:rPr>
        <w:t>changes</w:t>
      </w:r>
      <w:r w:rsidRPr="009278EB">
        <w:rPr>
          <w:sz w:val="16"/>
        </w:rPr>
        <w:t xml:space="preserve"> mainly </w:t>
      </w:r>
      <w:r w:rsidRPr="00DD2D90">
        <w:rPr>
          <w:rStyle w:val="StyleUnderline"/>
        </w:rPr>
        <w:t>reflected</w:t>
      </w:r>
      <w:r w:rsidRPr="009278EB">
        <w:rPr>
          <w:sz w:val="16"/>
        </w:rPr>
        <w:t xml:space="preserve"> the </w:t>
      </w:r>
      <w:r w:rsidRPr="00DD2D90">
        <w:rPr>
          <w:rStyle w:val="StyleUnderline"/>
        </w:rPr>
        <w:t>increased costs</w:t>
      </w:r>
      <w:r w:rsidRPr="009278EB">
        <w:rPr>
          <w:sz w:val="16"/>
        </w:rPr>
        <w:t xml:space="preserve"> of owning a private practice due to </w:t>
      </w:r>
      <w:r w:rsidRPr="00DD2D90">
        <w:rPr>
          <w:rStyle w:val="StyleUnderline"/>
        </w:rPr>
        <w:t>billing</w:t>
      </w:r>
      <w:r w:rsidRPr="009278EB">
        <w:rPr>
          <w:sz w:val="16"/>
        </w:rPr>
        <w:t xml:space="preserve"> </w:t>
      </w:r>
      <w:r w:rsidRPr="00DD2D90">
        <w:rPr>
          <w:rStyle w:val="StyleUnderline"/>
        </w:rPr>
        <w:t>and</w:t>
      </w:r>
      <w:r w:rsidRPr="009278EB">
        <w:rPr>
          <w:sz w:val="16"/>
        </w:rPr>
        <w:t xml:space="preserve"> other </w:t>
      </w:r>
      <w:r w:rsidRPr="00DD2D90">
        <w:rPr>
          <w:rStyle w:val="StyleUnderline"/>
        </w:rPr>
        <w:t>administrative requirements</w:t>
      </w:r>
      <w:r w:rsidRPr="009278EB">
        <w:rPr>
          <w:sz w:val="16"/>
        </w:rPr>
        <w:t xml:space="preserve">. A study in 2019 showed that </w:t>
      </w:r>
      <w:r w:rsidRPr="00DD2D90">
        <w:rPr>
          <w:rStyle w:val="StyleUnderline"/>
          <w:highlight w:val="green"/>
        </w:rPr>
        <w:t>administrative costs</w:t>
      </w:r>
      <w:r w:rsidRPr="00DD2D90">
        <w:rPr>
          <w:rStyle w:val="StyleUnderline"/>
        </w:rPr>
        <w:t xml:space="preserve"> of interacting with public and private payers in the United States </w:t>
      </w:r>
      <w:r w:rsidRPr="00DD2D90">
        <w:rPr>
          <w:rStyle w:val="StyleUnderline"/>
          <w:highlight w:val="green"/>
        </w:rPr>
        <w:t xml:space="preserve">averaged about </w:t>
      </w:r>
      <w:r w:rsidRPr="00DD2D90">
        <w:rPr>
          <w:rStyle w:val="Emphasis"/>
          <w:highlight w:val="green"/>
        </w:rPr>
        <w:t>$169,300</w:t>
      </w:r>
      <w:r w:rsidRPr="00DD2D90">
        <w:rPr>
          <w:rStyle w:val="StyleUnderline"/>
          <w:highlight w:val="green"/>
        </w:rPr>
        <w:t xml:space="preserve"> annually</w:t>
      </w:r>
      <w:r w:rsidRPr="00DD2D90">
        <w:rPr>
          <w:rStyle w:val="StyleUnderline"/>
        </w:rPr>
        <w:t xml:space="preserve"> for physician’s practices, </w:t>
      </w:r>
      <w:r w:rsidRPr="00DD2D90">
        <w:rPr>
          <w:rStyle w:val="StyleUnderline"/>
          <w:highlight w:val="green"/>
        </w:rPr>
        <w:t xml:space="preserve">or </w:t>
      </w:r>
      <w:r w:rsidRPr="00DD2D90">
        <w:rPr>
          <w:rStyle w:val="Emphasis"/>
          <w:highlight w:val="green"/>
        </w:rPr>
        <w:t>21.8 percent</w:t>
      </w:r>
      <w:r w:rsidRPr="00DD2D90">
        <w:rPr>
          <w:rStyle w:val="StyleUnderline"/>
          <w:highlight w:val="green"/>
        </w:rPr>
        <w:t xml:space="preserve"> of gross receipts, versus </w:t>
      </w:r>
      <w:r w:rsidRPr="00DD2D90">
        <w:rPr>
          <w:rStyle w:val="Emphasis"/>
          <w:highlight w:val="green"/>
        </w:rPr>
        <w:t>$36,825</w:t>
      </w:r>
      <w:r w:rsidRPr="00DD2D90">
        <w:rPr>
          <w:rStyle w:val="StyleUnderline"/>
          <w:highlight w:val="green"/>
        </w:rPr>
        <w:t xml:space="preserve"> and </w:t>
      </w:r>
      <w:r w:rsidRPr="00DD2D90">
        <w:rPr>
          <w:rStyle w:val="Emphasis"/>
          <w:highlight w:val="green"/>
        </w:rPr>
        <w:t>10.8 percent</w:t>
      </w:r>
      <w:r w:rsidRPr="00DD2D90">
        <w:rPr>
          <w:rStyle w:val="StyleUnderline"/>
          <w:highlight w:val="green"/>
        </w:rPr>
        <w:t xml:space="preserve"> in Canada</w:t>
      </w:r>
      <w:r w:rsidRPr="009278EB">
        <w:rPr>
          <w:sz w:val="16"/>
        </w:rPr>
        <w:t xml:space="preserve">.[iv] As a result, U.S. doctors mostly have become employees of hospital and health system corporations, where relatively high salaries tend to mask the reality of employee status. </w:t>
      </w:r>
      <w:r w:rsidRPr="00DD2D90">
        <w:rPr>
          <w:rStyle w:val="StyleUnderline"/>
          <w:highlight w:val="green"/>
        </w:rPr>
        <w:t xml:space="preserve">With </w:t>
      </w:r>
      <w:r w:rsidRPr="00DD2D90">
        <w:rPr>
          <w:rStyle w:val="Emphasis"/>
          <w:highlight w:val="green"/>
        </w:rPr>
        <w:t>loss of</w:t>
      </w:r>
      <w:r w:rsidRPr="00DD2D90">
        <w:rPr>
          <w:rStyle w:val="Emphasis"/>
        </w:rPr>
        <w:t xml:space="preserve"> </w:t>
      </w:r>
      <w:r w:rsidRPr="00DD2D90">
        <w:rPr>
          <w:rStyle w:val="Emphasis"/>
          <w:highlight w:val="green"/>
        </w:rPr>
        <w:t>control</w:t>
      </w:r>
      <w:r w:rsidRPr="00DD2D90">
        <w:rPr>
          <w:rStyle w:val="StyleUnderline"/>
        </w:rPr>
        <w:t xml:space="preserve"> over the work process </w:t>
      </w:r>
      <w:r w:rsidRPr="00DD2D90">
        <w:rPr>
          <w:rStyle w:val="StyleUnderline"/>
          <w:highlight w:val="green"/>
        </w:rPr>
        <w:t>and a reduced ability to generate</w:t>
      </w:r>
      <w:r w:rsidRPr="00DD2D90">
        <w:rPr>
          <w:rStyle w:val="StyleUnderline"/>
        </w:rPr>
        <w:t xml:space="preserve"> very </w:t>
      </w:r>
      <w:r w:rsidRPr="00DD2D90">
        <w:rPr>
          <w:rStyle w:val="StyleUnderline"/>
          <w:highlight w:val="green"/>
        </w:rPr>
        <w:t>high</w:t>
      </w:r>
      <w:r w:rsidRPr="00DD2D90">
        <w:rPr>
          <w:rStyle w:val="StyleUnderline"/>
        </w:rPr>
        <w:t xml:space="preserve"> </w:t>
      </w:r>
      <w:r w:rsidRPr="00DD2D90">
        <w:rPr>
          <w:rStyle w:val="StyleUnderline"/>
          <w:highlight w:val="green"/>
        </w:rPr>
        <w:t>incomes</w:t>
      </w:r>
      <w:r w:rsidRPr="00DD2D90">
        <w:rPr>
          <w:rStyle w:val="StyleUnderline"/>
        </w:rPr>
        <w:t xml:space="preserve"> compared to other professional workers, </w:t>
      </w:r>
      <w:r w:rsidRPr="00DD2D90">
        <w:rPr>
          <w:rStyle w:val="StyleUnderline"/>
          <w:highlight w:val="green"/>
        </w:rPr>
        <w:t>the</w:t>
      </w:r>
      <w:r w:rsidRPr="00DD2D90">
        <w:rPr>
          <w:rStyle w:val="StyleUnderline"/>
        </w:rPr>
        <w:t xml:space="preserve"> medical </w:t>
      </w:r>
      <w:r w:rsidRPr="00DD2D90">
        <w:rPr>
          <w:rStyle w:val="StyleUnderline"/>
          <w:highlight w:val="green"/>
        </w:rPr>
        <w:t>profession has</w:t>
      </w:r>
      <w:r w:rsidRPr="00DD2D90">
        <w:rPr>
          <w:rStyle w:val="StyleUnderline"/>
        </w:rPr>
        <w:t xml:space="preserve"> </w:t>
      </w:r>
      <w:r w:rsidRPr="00DD2D90">
        <w:rPr>
          <w:rStyle w:val="StyleUnderline"/>
          <w:highlight w:val="green"/>
        </w:rPr>
        <w:t>become proletarianized</w:t>
      </w:r>
      <w:r w:rsidRPr="009278EB">
        <w:rPr>
          <w:sz w:val="16"/>
        </w:rPr>
        <w:t xml:space="preserve">.[v] Due to a mystique of professionalism and incomes that remain high, physicians usually do not realize that their malaise reflects their changing social-class position. In a way, they have joined that highest stratum of workers to which V.I. Lenin and others referred as the “aristocracy of labor.”[vi] From Samir Amin’s perspective of political economy, the current wave of “generalized </w:t>
      </w:r>
      <w:r w:rsidRPr="00DD2D90">
        <w:rPr>
          <w:rStyle w:val="StyleUnderline"/>
        </w:rPr>
        <w:t>proletarianization</w:t>
      </w:r>
      <w:r w:rsidRPr="009278EB">
        <w:rPr>
          <w:sz w:val="16"/>
        </w:rPr>
        <w:t xml:space="preserve">” has </w:t>
      </w:r>
      <w:r w:rsidRPr="00DD2D90">
        <w:rPr>
          <w:rStyle w:val="StyleUnderline"/>
        </w:rPr>
        <w:t xml:space="preserve">engulfed the </w:t>
      </w:r>
      <w:r w:rsidRPr="00DD2D90">
        <w:rPr>
          <w:rStyle w:val="StyleUnderline"/>
          <w:highlight w:val="green"/>
        </w:rPr>
        <w:t>medical</w:t>
      </w:r>
      <w:r w:rsidRPr="00DD2D90">
        <w:rPr>
          <w:rStyle w:val="StyleUnderline"/>
        </w:rPr>
        <w:t xml:space="preserve"> profession</w:t>
      </w:r>
      <w:r w:rsidRPr="009278EB">
        <w:rPr>
          <w:sz w:val="16"/>
        </w:rPr>
        <w:t>: “</w:t>
      </w:r>
      <w:r w:rsidRPr="00DD2D90">
        <w:rPr>
          <w:rStyle w:val="StyleUnderline"/>
        </w:rPr>
        <w:t xml:space="preserve">A rapidly growing proportion of </w:t>
      </w:r>
      <w:r w:rsidRPr="00DD2D90">
        <w:rPr>
          <w:rStyle w:val="StyleUnderline"/>
          <w:highlight w:val="green"/>
        </w:rPr>
        <w:t>workers are</w:t>
      </w:r>
      <w:r w:rsidRPr="00DD2D90">
        <w:rPr>
          <w:rStyle w:val="StyleUnderline"/>
        </w:rPr>
        <w:t xml:space="preserve"> no more than </w:t>
      </w:r>
      <w:r w:rsidRPr="00DD2D90">
        <w:rPr>
          <w:rStyle w:val="StyleUnderline"/>
          <w:highlight w:val="green"/>
        </w:rPr>
        <w:t>sellers of their labor power to capital</w:t>
      </w:r>
      <w:r w:rsidRPr="009278EB">
        <w:rPr>
          <w:sz w:val="16"/>
        </w:rPr>
        <w:t>… a reality that should not be obscured by the apparent autonomy conferred on them by their legal status.”[vii] Beyond the changing class position of health professionals, the coming transformation will need to address the oligopolistic character of the insurance industry, the consolidation of large health systems, and the financialization of health services within global capitalism. In the United States, Obamacare has increased the flow of capitated public and private funds into the insurance industry. Through this process, Obamacare has extended the overall financialization of the global capitalist economy. This process has occurred in the context of financialization in the national health programs of other countries, especially in Europe, that previously have served as models in proposals for change in the United States. In this sense, the financial flows of health insurance cohere with John Bellamy Foster’s comment: “At the more stratospheric level represented by contemporary finance, the general formula for capital, or M-C-M′ [money-commodity-more money], is being increasingly supplanted by the circuit of speculative capital, M-M′, in which the production of use values disappears altogether and money simply begets more money.”[viii] In this context, it is important to reconsider the distinction between national health insurance (NHI) and a national health service (NHS). NHI involves socialization of payments for health services but usually leaves intact private ownership at the level of infrastructure. Except for a small proportion of institutions like public hospitals and clinics, the means of production in health care under NHI remains privately owned. Canada is the best-known model of NHI, but South Korea and Taiwan also follow this approach. Despite their undeniable accomplishments, all these insurance systems have suffered from the inherent contradiction of public subsidization for accumulation of capital in the private sector, even if institutions that provide services legally maintain a “not for profit” status. In the United States the single-payer, “Improved Medicare for All” proposal of Physicians for a National Health Program (PNHP), as well as the U.S. Congressional legislation that embodies the singer-payer approach, is based on the Canadian model of NHI.[ix]</w:t>
      </w:r>
    </w:p>
    <w:p w14:paraId="044B6FE3" w14:textId="77777777" w:rsidR="00EA6776" w:rsidRPr="009278EB" w:rsidRDefault="00EA6776">
      <w:pPr>
        <w:rPr>
          <w:rFonts w:eastAsiaTheme="majorEastAsia" w:cstheme="majorBidi"/>
          <w:b/>
          <w:iCs/>
          <w:sz w:val="16"/>
        </w:rPr>
      </w:pPr>
      <w:r w:rsidRPr="009278EB">
        <w:rPr>
          <w:sz w:val="16"/>
        </w:rPr>
        <w:br w:type="page"/>
      </w:r>
    </w:p>
    <w:p w14:paraId="38B08BB7" w14:textId="382526BA" w:rsidR="004E671C" w:rsidRPr="009278EB" w:rsidRDefault="004E671C" w:rsidP="004E671C">
      <w:pPr>
        <w:pStyle w:val="Heading4"/>
        <w:rPr>
          <w:szCs w:val="26"/>
        </w:rPr>
      </w:pPr>
      <w:r w:rsidRPr="009278EB">
        <w:rPr>
          <w:szCs w:val="26"/>
        </w:rPr>
        <w:t>Profit incentives decrease doctor autonomy and cause burnout</w:t>
      </w:r>
    </w:p>
    <w:p w14:paraId="67ECCF82" w14:textId="77777777" w:rsidR="004E671C" w:rsidRPr="00DD2D90" w:rsidRDefault="004E671C" w:rsidP="004E671C">
      <w:r w:rsidRPr="009278EB">
        <w:rPr>
          <w:b/>
          <w:bCs/>
          <w:sz w:val="26"/>
          <w:szCs w:val="26"/>
        </w:rPr>
        <w:t>Waitzkin 18</w:t>
      </w:r>
      <w:r w:rsidRPr="00DD2D90">
        <w:t xml:space="preserve"> [Howard Waitzkin, Distinguished Professor Emeritus in the Department of Sociology and Health Sciences Center at the University of New Mexico and director of the Civilian Medical Resources Network, 2018, “HEALTH CARE under the KNIFE Moving Beyond Capitalism for Our Health,” NYU Press, </w:t>
      </w:r>
      <w:hyperlink r:id="rId29" w:history="1">
        <w:r w:rsidRPr="00DD2D90">
          <w:rPr>
            <w:rStyle w:val="Hyperlink"/>
          </w:rPr>
          <w:t>https://www.jstor.org/stable/j.ctt1pwt8bd]/Kankee</w:t>
        </w:r>
      </w:hyperlink>
    </w:p>
    <w:p w14:paraId="02E19AE0" w14:textId="77777777" w:rsidR="004E671C" w:rsidRPr="009278EB" w:rsidRDefault="004E671C" w:rsidP="004E671C">
      <w:pPr>
        <w:rPr>
          <w:sz w:val="16"/>
        </w:rPr>
      </w:pPr>
      <w:r w:rsidRPr="009278EB">
        <w:rPr>
          <w:sz w:val="16"/>
        </w:rPr>
        <w:t xml:space="preserve">I confess: I am a disobedient doctor.1 After a career in academic medicine and public health, I decided to work part-time in a rural health program. There </w:t>
      </w:r>
      <w:r w:rsidRPr="00DD2D90">
        <w:rPr>
          <w:rStyle w:val="StyleUnderline"/>
        </w:rPr>
        <w:t xml:space="preserve">I began to understand the </w:t>
      </w:r>
      <w:r w:rsidRPr="00DD2D90">
        <w:rPr>
          <w:rStyle w:val="Emphasis"/>
        </w:rPr>
        <w:t>loss of control</w:t>
      </w:r>
      <w:r w:rsidRPr="009278EB">
        <w:rPr>
          <w:sz w:val="16"/>
        </w:rPr>
        <w:t xml:space="preserve"> over the conditions of medical practice that has affected so many doctors. </w:t>
      </w:r>
      <w:r w:rsidRPr="00DD2D90">
        <w:rPr>
          <w:rStyle w:val="StyleUnderline"/>
          <w:highlight w:val="green"/>
        </w:rPr>
        <w:t>Administrative demands</w:t>
      </w:r>
      <w:r w:rsidRPr="00DD2D90">
        <w:rPr>
          <w:rStyle w:val="StyleUnderline"/>
        </w:rPr>
        <w:t xml:space="preserve"> </w:t>
      </w:r>
      <w:r w:rsidRPr="00DD2D90">
        <w:rPr>
          <w:rStyle w:val="Emphasis"/>
          <w:highlight w:val="green"/>
        </w:rPr>
        <w:t>multiplied</w:t>
      </w:r>
      <w:r w:rsidRPr="00DD2D90">
        <w:rPr>
          <w:rStyle w:val="StyleUnderline"/>
          <w:highlight w:val="green"/>
        </w:rPr>
        <w:t xml:space="preserve"> and constrained my ability to care for</w:t>
      </w:r>
      <w:r w:rsidRPr="00DD2D90">
        <w:rPr>
          <w:rStyle w:val="StyleUnderline"/>
        </w:rPr>
        <w:t xml:space="preserve"> my </w:t>
      </w:r>
      <w:r w:rsidRPr="00DD2D90">
        <w:rPr>
          <w:rStyle w:val="StyleUnderline"/>
          <w:highlight w:val="green"/>
        </w:rPr>
        <w:t>patients</w:t>
      </w:r>
      <w:r w:rsidRPr="009278EB">
        <w:rPr>
          <w:sz w:val="16"/>
        </w:rPr>
        <w:t xml:space="preserve"> in the ways I thought best. So I decided to disobey. A seemingly minor training requirement, the International Classification of Diseases, 10th edition (ICD-10), which Medicare and other insurers started to require for medical billing as of October 1, 2015, became yet another administrative demand that pushed me over the line to disobedience. But the struggle might have involved many other arenas of clinical medicine, where </w:t>
      </w:r>
      <w:r w:rsidRPr="00DD2D90">
        <w:rPr>
          <w:rStyle w:val="StyleUnderline"/>
          <w:highlight w:val="green"/>
        </w:rPr>
        <w:t>the requirements of employers infringe on a doctor’s freedom</w:t>
      </w:r>
      <w:r w:rsidRPr="00DD2D90">
        <w:rPr>
          <w:rStyle w:val="StyleUnderline"/>
        </w:rPr>
        <w:t xml:space="preserve"> to practice according to his or her professional judgment</w:t>
      </w:r>
      <w:r w:rsidRPr="009278EB">
        <w:rPr>
          <w:sz w:val="16"/>
        </w:rPr>
        <w:t xml:space="preserve">. PROLETARIANIZATION Intrinsically I have nothing against being a proletarian. Everyone in my immediate family was one, and I supported much of my education by working as a wage laborer in, for instance, a tire factory, where I learned firsthand about life as a worker in our capitalist society. Throughout my medical career, I have befriended secretaries, nursing assistants, janitors, and other “non-professional” health workers—wonderful people whose services on behalf of patients and doctors usually go underappreciated. Such people spend most of their waking lives doing tasks assigned by supervisors, and they enjoy little or no control over the conditions and rhythm of their work. </w:t>
      </w:r>
      <w:r w:rsidRPr="00DD2D90">
        <w:rPr>
          <w:rStyle w:val="StyleUnderline"/>
        </w:rPr>
        <w:t>Medicine</w:t>
      </w:r>
      <w:r w:rsidRPr="009278EB">
        <w:rPr>
          <w:sz w:val="16"/>
        </w:rPr>
        <w:t xml:space="preserve">, I thought, </w:t>
      </w:r>
      <w:r w:rsidRPr="00DD2D90">
        <w:rPr>
          <w:rStyle w:val="StyleUnderline"/>
        </w:rPr>
        <w:t xml:space="preserve">would provide a way to seize control of my own work process </w:t>
      </w:r>
      <w:r w:rsidRPr="009278EB">
        <w:rPr>
          <w:sz w:val="16"/>
        </w:rPr>
        <w:t xml:space="preserve">and creativity by organizing at least a large part of the work week as I preferred. A position in academic medicine actually did allow me that liberty, despite the challenges of university bureaucracies, budget cuts, fund raising, and academic politics. Even in academia, the ability to control my activities started to erode, usually linked to financial shortfalls and measures of productivity. However, entering the world of a non-academic medical employee revealed the awesome scope of proletarianization, a sharp change in a doctor’s previous social- class position.2 </w:t>
      </w:r>
      <w:r w:rsidRPr="00DD2D90">
        <w:rPr>
          <w:rStyle w:val="StyleUnderline"/>
        </w:rPr>
        <w:t>Until the 1980s, doctors</w:t>
      </w:r>
      <w:r w:rsidRPr="009278EB">
        <w:rPr>
          <w:sz w:val="16"/>
        </w:rPr>
        <w:t xml:space="preserve"> for the most part owned and/or </w:t>
      </w:r>
      <w:r w:rsidRPr="00DD2D90">
        <w:rPr>
          <w:rStyle w:val="StyleUnderline"/>
        </w:rPr>
        <w:t>controlled their means of production and conditions of practice</w:t>
      </w:r>
      <w:r w:rsidRPr="009278EB">
        <w:rPr>
          <w:sz w:val="16"/>
        </w:rPr>
        <w:t xml:space="preserve">. Although their work often was challenging, </w:t>
      </w:r>
      <w:r w:rsidRPr="00DD2D90">
        <w:rPr>
          <w:rStyle w:val="StyleUnderline"/>
        </w:rPr>
        <w:t>they could decide their hours of work</w:t>
      </w:r>
      <w:r w:rsidRPr="009278EB">
        <w:rPr>
          <w:sz w:val="16"/>
        </w:rPr>
        <w:t xml:space="preserve">, the </w:t>
      </w:r>
      <w:r w:rsidRPr="00DD2D90">
        <w:rPr>
          <w:rStyle w:val="StyleUnderline"/>
        </w:rPr>
        <w:t>staff members</w:t>
      </w:r>
      <w:r w:rsidRPr="009278EB">
        <w:rPr>
          <w:sz w:val="16"/>
        </w:rPr>
        <w:t xml:space="preserve"> who worked with them, </w:t>
      </w:r>
      <w:r w:rsidRPr="00DD2D90">
        <w:rPr>
          <w:rStyle w:val="StyleUnderline"/>
        </w:rPr>
        <w:t xml:space="preserve">how much time to spend with patients, what to write about their visits in medical records, and how much to charge for their services. </w:t>
      </w:r>
      <w:r w:rsidRPr="009278EB">
        <w:rPr>
          <w:sz w:val="16"/>
        </w:rPr>
        <w:t xml:space="preserve">Now, the </w:t>
      </w:r>
      <w:r w:rsidRPr="00DD2D90">
        <w:rPr>
          <w:rStyle w:val="StyleUnderline"/>
        </w:rPr>
        <w:t>corporations for which doctors work as employees usually control those decisions</w:t>
      </w:r>
      <w:r w:rsidRPr="009278EB">
        <w:rPr>
          <w:sz w:val="16"/>
        </w:rPr>
        <w:t xml:space="preserve">. </w:t>
      </w:r>
      <w:r w:rsidRPr="00DD2D90">
        <w:rPr>
          <w:rStyle w:val="StyleUnderline"/>
          <w:highlight w:val="green"/>
        </w:rPr>
        <w:t>Loss of control</w:t>
      </w:r>
      <w:r w:rsidRPr="009278EB">
        <w:rPr>
          <w:sz w:val="16"/>
        </w:rPr>
        <w:t xml:space="preserve"> over the conditions of work has </w:t>
      </w:r>
      <w:r w:rsidRPr="00DD2D90">
        <w:rPr>
          <w:rStyle w:val="StyleUnderline"/>
          <w:highlight w:val="green"/>
        </w:rPr>
        <w:t>caused</w:t>
      </w:r>
      <w:r w:rsidRPr="009278EB">
        <w:rPr>
          <w:sz w:val="16"/>
        </w:rPr>
        <w:t xml:space="preserve"> much </w:t>
      </w:r>
      <w:r w:rsidRPr="00DD2D90">
        <w:rPr>
          <w:rStyle w:val="Emphasis"/>
          <w:highlight w:val="green"/>
        </w:rPr>
        <w:t>unhappiness</w:t>
      </w:r>
      <w:r w:rsidRPr="009278EB">
        <w:rPr>
          <w:sz w:val="16"/>
          <w:highlight w:val="green"/>
        </w:rPr>
        <w:t xml:space="preserve"> </w:t>
      </w:r>
      <w:r w:rsidRPr="00DD2D90">
        <w:rPr>
          <w:rStyle w:val="StyleUnderline"/>
          <w:highlight w:val="green"/>
        </w:rPr>
        <w:t xml:space="preserve">and </w:t>
      </w:r>
      <w:r w:rsidRPr="00DD2D90">
        <w:rPr>
          <w:rStyle w:val="Emphasis"/>
          <w:highlight w:val="green"/>
        </w:rPr>
        <w:t>burnout</w:t>
      </w:r>
      <w:r w:rsidRPr="009278EB">
        <w:rPr>
          <w:sz w:val="16"/>
        </w:rPr>
        <w:t xml:space="preserve"> in the profession. Early on, an esteemed clinician and mentor described medical proletarianization when it was first emerging as “working on the factory floor.”3 Most doctors have become employees of hospital and health system corporations,4 and around </w:t>
      </w:r>
      <w:r w:rsidRPr="00DD2D90">
        <w:rPr>
          <w:rStyle w:val="Emphasis"/>
          <w:highlight w:val="green"/>
        </w:rPr>
        <w:t>half</w:t>
      </w:r>
      <w:r w:rsidRPr="00DD2D90">
        <w:rPr>
          <w:rStyle w:val="StyleUnderline"/>
        </w:rPr>
        <w:t xml:space="preserve"> of doctors </w:t>
      </w:r>
      <w:r w:rsidRPr="00DD2D90">
        <w:rPr>
          <w:rStyle w:val="StyleUnderline"/>
          <w:highlight w:val="green"/>
        </w:rPr>
        <w:t xml:space="preserve">report feeling burned out due to the stresses of their work as </w:t>
      </w:r>
      <w:r w:rsidRPr="00DD2D90">
        <w:rPr>
          <w:rStyle w:val="Emphasis"/>
          <w:highlight w:val="green"/>
        </w:rPr>
        <w:t>employees</w:t>
      </w:r>
      <w:r w:rsidRPr="009278EB">
        <w:rPr>
          <w:sz w:val="16"/>
        </w:rPr>
        <w:t xml:space="preserve">.5, 6 Due to the mystique of professionalism and relatively high salaries, doctors often do not realize that their discontent reflects in large part their changing social-class position. DECIDING TO DISOBEY As a doctor worker, I got into trouble by expressing concerns about the training that our health network (hereafter, OHN) was requiring for all practitioners before the implementation of ICD-10. Until then, I had not received significant adverse feedback from the administration, had received multiple expressions of praise and gratitude, and recently had obtained reappointment to the active medical staff. OHN had contracted with a corporation (hereafter, “$Corp”) to help cope with the transition to ICD-10. This corporation was one of hundreds that have emerged to sell consulting services to health care organizations facing the challenges of information technology (IT) required by the private insurance industry, Medicare, Medicaid, and various certifying and regulatory agencies. Such challenges include electronic medical records (EMRs), meaningful use, quality assurance, accountable care, medical homes, and similar arenas. These arenas all involve “metrics” that try to make quality quantifiable, a goal that has generated wide skepticism, debate, and worry in the medical profession, as well as the broader society (for instance, in the debate about standardized testing in schools). $Corp’s training for ICD-10 took multiple hours of unpaid time observing narrated slide shows and taking proficiency tests, and I decided to disobey the requirement. One reason involved a close friend who was dying from metastatic gastroesophageal cancer. His dying process and my desire to spend time with him had made me even more aware that each moment of life is too precious to waste, especially on activities whose purpose isn’t clear. After I previewed the $Corp training, I concluded that its educational quality was abysmal, conflicts of interest were not disclosed, most recommendations were not evidence based, and the narrator’s </w:t>
      </w:r>
      <w:r w:rsidRPr="00DD2D90">
        <w:rPr>
          <w:rStyle w:val="StyleUnderline"/>
          <w:highlight w:val="green"/>
        </w:rPr>
        <w:t>comments</w:t>
      </w:r>
      <w:r w:rsidRPr="009278EB">
        <w:rPr>
          <w:sz w:val="16"/>
        </w:rPr>
        <w:t xml:space="preserve"> implicitly </w:t>
      </w:r>
      <w:r w:rsidRPr="00DD2D90">
        <w:rPr>
          <w:rStyle w:val="StyleUnderline"/>
          <w:highlight w:val="green"/>
        </w:rPr>
        <w:t>encouraged “up-coding” diagnoses</w:t>
      </w:r>
      <w:r w:rsidRPr="00DD2D90">
        <w:rPr>
          <w:rStyle w:val="StyleUnderline"/>
        </w:rPr>
        <w:t xml:space="preserve"> to higher levels of severity and more comorbid conditions, </w:t>
      </w:r>
      <w:r w:rsidRPr="00DD2D90">
        <w:rPr>
          <w:rStyle w:val="StyleUnderline"/>
          <w:highlight w:val="green"/>
        </w:rPr>
        <w:t>so</w:t>
      </w:r>
      <w:r w:rsidRPr="00DD2D90">
        <w:rPr>
          <w:rStyle w:val="StyleUnderline"/>
        </w:rPr>
        <w:t xml:space="preserve"> </w:t>
      </w:r>
      <w:r w:rsidRPr="00DD2D90">
        <w:rPr>
          <w:rStyle w:val="StyleUnderline"/>
          <w:highlight w:val="green"/>
        </w:rPr>
        <w:t>billing</w:t>
      </w:r>
      <w:r w:rsidRPr="00DD2D90">
        <w:rPr>
          <w:rStyle w:val="StyleUnderline"/>
        </w:rPr>
        <w:t xml:space="preserve"> codes could </w:t>
      </w:r>
      <w:r w:rsidRPr="00DD2D90">
        <w:rPr>
          <w:rStyle w:val="StyleUnderline"/>
          <w:highlight w:val="green"/>
        </w:rPr>
        <w:t>generate more payments</w:t>
      </w:r>
      <w:r w:rsidRPr="00DD2D90">
        <w:rPr>
          <w:rStyle w:val="StyleUnderline"/>
        </w:rPr>
        <w:t xml:space="preserve"> for OHN</w:t>
      </w:r>
      <w:r w:rsidRPr="009278EB">
        <w:rPr>
          <w:sz w:val="16"/>
        </w:rPr>
        <w:t xml:space="preserve">. The federal government’s </w:t>
      </w:r>
      <w:r w:rsidRPr="00DD2D90">
        <w:rPr>
          <w:rStyle w:val="StyleUnderline"/>
        </w:rPr>
        <w:t>prohibitions against up-coding were not mentioned</w:t>
      </w:r>
      <w:r w:rsidRPr="009278EB">
        <w:rPr>
          <w:sz w:val="16"/>
        </w:rPr>
        <w:t xml:space="preserve">. The training also didn’t explain how to use ICD-10 on our particular EMR software. Brief discussions with other practitioners confirmed universal contempt for the training, as well as universal compliance with it because people felt they had no choice. I compared time wasted on the training program to time spent with my dying friend and decided to protest the training. WORK REQUIREMENTS AND THE SLIPPERY SLOPE TO FASCISM My subsequent interactions with OHN administrators surprised me, despite my knowledge about physicians’ changing social class position. The Chief Medical Information Officer (CMIO) at OHN wrote that “practitioners with incomplete ICD-10 coursework at midnight on 10/7/15 will be suspended until the coursework is completed.” In response, I sent an email message asking him to explain the rationale for the training requirement. Copying the Chief Executive Officer (CEO), the CMIO pasted his responses in the text of my original message: 1. Please provide evidence that additional training in ICD-10 . . . improves any measurable patient outcomes, costs, or collections. • Not a debatable point. This is a requirement by OHN, so, sorry to say, whether you agree with it or not, it must be done. 2. Please provide the costs to OHN for the training. • Not relevant, as this is a requirement. 3. Please provide quantitative estimates of the financial benefits of the training for OHN. • Not relevant, as this is a requirement. 4. Please give a concrete description of the process by which you concluded that “completion of this training allows us to achieve both appropriate care and remain fiscally responsible—part of OHN stewardship.” • Not relevant, as this is a requirement. This response pressed one of my alarm buttons, which I might call the fascism button. I responded that my dear grandfather, who was a farmer and then a housepainter after he lost the farm, taught me not to comply with requirements when I didn’t understand the reasons for them. </w:t>
      </w:r>
      <w:r w:rsidRPr="00DD2D90">
        <w:rPr>
          <w:rStyle w:val="StyleUnderline"/>
        </w:rPr>
        <w:t>Doctors</w:t>
      </w:r>
      <w:r w:rsidRPr="009278EB">
        <w:rPr>
          <w:sz w:val="16"/>
        </w:rPr>
        <w:t xml:space="preserve">, I wrote, </w:t>
      </w:r>
      <w:r w:rsidRPr="00DD2D90">
        <w:rPr>
          <w:rStyle w:val="StyleUnderline"/>
        </w:rPr>
        <w:t xml:space="preserve">are </w:t>
      </w:r>
      <w:r w:rsidRPr="00DD2D90">
        <w:rPr>
          <w:rStyle w:val="StyleUnderline"/>
          <w:highlight w:val="green"/>
        </w:rPr>
        <w:t>complying with</w:t>
      </w:r>
      <w:r w:rsidRPr="00DD2D90">
        <w:rPr>
          <w:rStyle w:val="StyleUnderline"/>
        </w:rPr>
        <w:t xml:space="preserve"> an ever- increasing burden of </w:t>
      </w:r>
      <w:r w:rsidRPr="00DD2D90">
        <w:rPr>
          <w:rStyle w:val="StyleUnderline"/>
          <w:highlight w:val="green"/>
        </w:rPr>
        <w:t>unjustified requirements</w:t>
      </w:r>
      <w:r w:rsidRPr="009278EB">
        <w:rPr>
          <w:sz w:val="16"/>
        </w:rPr>
        <w:t xml:space="preserve"> </w:t>
      </w:r>
      <w:r w:rsidRPr="00DD2D90">
        <w:rPr>
          <w:rStyle w:val="StyleUnderline"/>
        </w:rPr>
        <w:t>that</w:t>
      </w:r>
      <w:r w:rsidRPr="009278EB">
        <w:rPr>
          <w:sz w:val="16"/>
        </w:rPr>
        <w:t xml:space="preserve"> take the joy out of practice and </w:t>
      </w:r>
      <w:r w:rsidRPr="00DD2D90">
        <w:rPr>
          <w:rStyle w:val="StyleUnderline"/>
          <w:highlight w:val="green"/>
        </w:rPr>
        <w:t>cause</w:t>
      </w:r>
      <w:r w:rsidRPr="009278EB">
        <w:rPr>
          <w:sz w:val="16"/>
        </w:rPr>
        <w:t xml:space="preserve"> many of </w:t>
      </w:r>
      <w:r w:rsidRPr="00DD2D90">
        <w:rPr>
          <w:rStyle w:val="StyleUnderline"/>
          <w:highlight w:val="green"/>
        </w:rPr>
        <w:t>us to</w:t>
      </w:r>
      <w:r w:rsidRPr="00DD2D90">
        <w:rPr>
          <w:rStyle w:val="StyleUnderline"/>
        </w:rPr>
        <w:t xml:space="preserve"> </w:t>
      </w:r>
      <w:r w:rsidRPr="00DD2D90">
        <w:rPr>
          <w:rStyle w:val="StyleUnderline"/>
          <w:highlight w:val="green"/>
        </w:rPr>
        <w:t>leave</w:t>
      </w:r>
      <w:r w:rsidRPr="00DD2D90">
        <w:rPr>
          <w:rStyle w:val="StyleUnderline"/>
        </w:rPr>
        <w:t xml:space="preserve"> medicine </w:t>
      </w:r>
      <w:r w:rsidRPr="00DD2D90">
        <w:rPr>
          <w:rStyle w:val="StyleUnderline"/>
          <w:highlight w:val="green"/>
        </w:rPr>
        <w:t>prematurely</w:t>
      </w:r>
      <w:r w:rsidRPr="009278EB">
        <w:rPr>
          <w:sz w:val="16"/>
        </w:rPr>
        <w:t xml:space="preserve">. Citing Arendt’s classic book on Adolf Eichmann,7 I explained the slippery slope to fascism, when people do what they are ordered in their jobs without understanding why. Such unjustified requirements, I argued, deserve our conscientious questioning and sometimes non-compliance—a very modest act of “civil disobedience.” Unimpressed, the CMIO replied: “Everyone must complete the training. We all make choices and I hope you will make the right one for you and your patients.” STANDARDIZATION If an argument about incipient fascism in the workplace didn’t work, I thought, maybe I could appeal to practicality. I proposed coming to the office, unpaid, and practicing ICD-10 within our EMR program, supervised by an IT staff person who then could attest to my competence. But the CMIO did not budge: “OHN’s Transformation is a movement to ensure process consistency and standardization. . . . Therefore, your request for an ‘exception’ is outside the organization’s expectation.” Again, the CMIO’s reply pressed an alarm button, in this case the Henry Fordism button. </w:t>
      </w:r>
      <w:r w:rsidRPr="00DD2D90">
        <w:rPr>
          <w:rStyle w:val="StyleUnderline"/>
        </w:rPr>
        <w:t xml:space="preserve">Not only must </w:t>
      </w:r>
      <w:r w:rsidRPr="00DD2D90">
        <w:rPr>
          <w:rStyle w:val="StyleUnderline"/>
          <w:highlight w:val="green"/>
        </w:rPr>
        <w:t>I as a doctor worker accept orders without questioning them</w:t>
      </w:r>
      <w:r w:rsidRPr="00DD2D90">
        <w:rPr>
          <w:rStyle w:val="StyleUnderline"/>
        </w:rPr>
        <w:t xml:space="preserve">, but </w:t>
      </w:r>
      <w:r w:rsidRPr="00DD2D90">
        <w:rPr>
          <w:rStyle w:val="StyleUnderline"/>
          <w:highlight w:val="green"/>
        </w:rPr>
        <w:t>I</w:t>
      </w:r>
      <w:r w:rsidRPr="00DD2D90">
        <w:rPr>
          <w:rStyle w:val="StyleUnderline"/>
        </w:rPr>
        <w:t xml:space="preserve"> also </w:t>
      </w:r>
      <w:r w:rsidRPr="00DD2D90">
        <w:rPr>
          <w:rStyle w:val="StyleUnderline"/>
          <w:highlight w:val="green"/>
        </w:rPr>
        <w:t xml:space="preserve">must behave </w:t>
      </w:r>
      <w:r w:rsidRPr="00DD2D90">
        <w:rPr>
          <w:rStyle w:val="StyleUnderline"/>
        </w:rPr>
        <w:t xml:space="preserve">at work </w:t>
      </w:r>
      <w:r w:rsidRPr="00DD2D90">
        <w:rPr>
          <w:rStyle w:val="StyleUnderline"/>
          <w:highlight w:val="green"/>
        </w:rPr>
        <w:t xml:space="preserve">like an </w:t>
      </w:r>
      <w:r w:rsidRPr="00DD2D90">
        <w:rPr>
          <w:rStyle w:val="Emphasis"/>
          <w:highlight w:val="green"/>
        </w:rPr>
        <w:t>automaton</w:t>
      </w:r>
      <w:r w:rsidRPr="00DD2D90">
        <w:rPr>
          <w:rStyle w:val="StyleUnderline"/>
          <w:highlight w:val="green"/>
        </w:rPr>
        <w:t xml:space="preserve"> in a medical </w:t>
      </w:r>
      <w:r w:rsidRPr="00DD2D90">
        <w:rPr>
          <w:rStyle w:val="Emphasis"/>
          <w:highlight w:val="green"/>
        </w:rPr>
        <w:t>assembly line</w:t>
      </w:r>
      <w:r w:rsidRPr="009278EB">
        <w:rPr>
          <w:sz w:val="16"/>
        </w:rPr>
        <w:t xml:space="preserve"> </w:t>
      </w:r>
      <w:r w:rsidRPr="00DD2D90">
        <w:rPr>
          <w:rStyle w:val="StyleUnderline"/>
        </w:rPr>
        <w:t xml:space="preserve">governed by </w:t>
      </w:r>
      <w:r w:rsidRPr="009278EB">
        <w:rPr>
          <w:sz w:val="16"/>
        </w:rPr>
        <w:t>“</w:t>
      </w:r>
      <w:r w:rsidRPr="00DD2D90">
        <w:rPr>
          <w:rStyle w:val="StyleUnderline"/>
        </w:rPr>
        <w:t>process consistency and standardization</w:t>
      </w:r>
      <w:r w:rsidRPr="009278EB">
        <w:rPr>
          <w:sz w:val="16"/>
        </w:rPr>
        <w:t xml:space="preserve">.”8 </w:t>
      </w:r>
      <w:r w:rsidRPr="00DD2D90">
        <w:rPr>
          <w:rStyle w:val="StyleUnderline"/>
        </w:rPr>
        <w:t xml:space="preserve">Without space for </w:t>
      </w:r>
      <w:r w:rsidRPr="009278EB">
        <w:rPr>
          <w:sz w:val="16"/>
        </w:rPr>
        <w:t>individual</w:t>
      </w:r>
      <w:r w:rsidRPr="00DD2D90">
        <w:rPr>
          <w:rStyle w:val="StyleUnderline"/>
        </w:rPr>
        <w:t xml:space="preserve"> variation </w:t>
      </w:r>
      <w:r w:rsidRPr="009278EB">
        <w:rPr>
          <w:sz w:val="16"/>
        </w:rPr>
        <w:t xml:space="preserve">and creativity, the organization’s “transformation” became what my mentor foresaw: “working on the factory floor.” I then requested details about what my forthcoming suspension would entail; the contractual authority for the suspension; a plan of coverage for my patients; an external review of OHN’s interference with my professional judgment; and recognition of my rights under whistle-blower laws and regulations. I repeated my concerns about authoritarianism in the medical workplace and commented on the extensive evidence that standardization actually may reduce quality, creativity, and productivity. I also reiterated a request for a face-to-face meeting. PUNISHMENT My moral predicament deteriorated quickly. On the next morning, the CEO sent an email providing none of the information I had requested and asking for my resignation effective within one week, despite packed schedules including many unstable patients. Then, five days before the deadline for suspension, I received a letter by overnight mail from the CEO stating that I was in breach of contract. A second letter stated that the meeting I had requested had been canceled, and my office hours with patients also had been canceled until further notice. Because I needed to respond to lab results and urgent messages about patients from nurses, I tried to connect with the EMR system but found that I had been cut off. I also could not connect to email or even to the ICD-10 training. I now faced the apparent abandonment of hundreds of my patients, who had not received any alternative plan of care. I knew and previously had taught medical students and residents that medical abandonment is unethical according to the AMA Code of Ethics9 and other sources, and also is illegal in many states. For that reason, I contacted the chief of the medical staff and the chair of the physicians’ council, who intervened with the CEO to get me reconnected to the EMR system, so I could manage acute problems for my unstable patients. Because I was not willing to abandon my patients, I also persuaded an administrator to get me reconnected to the ICD-10 training, which I completed under protest late the next night, after spending time with my dying friend. On the following morning, a Sunday, I received an email from the CEO thanking me for completing the training and stating that my breach of contract had been “cured.” The nursing staff reconstructed my canceled schedule for the next day so I could see most of the patients. Nurses said patients had approached them in supermarkets and called them at home, asking what was going to happen now that I was gone. One patient asked if I had died. REDEMPTION As a doctor worker, </w:t>
      </w:r>
      <w:r w:rsidRPr="00DD2D90">
        <w:rPr>
          <w:rStyle w:val="StyleUnderline"/>
          <w:highlight w:val="green"/>
        </w:rPr>
        <w:t>I faced a challenging ethical situation that included loss of professional autonomy, authoritarian practices in the workplace, and</w:t>
      </w:r>
      <w:r w:rsidRPr="00DD2D90">
        <w:rPr>
          <w:rStyle w:val="StyleUnderline"/>
        </w:rPr>
        <w:t xml:space="preserve"> </w:t>
      </w:r>
      <w:r w:rsidRPr="009278EB">
        <w:rPr>
          <w:sz w:val="16"/>
        </w:rPr>
        <w:t>apparent</w:t>
      </w:r>
      <w:r w:rsidRPr="00DD2D90">
        <w:rPr>
          <w:rStyle w:val="StyleUnderline"/>
        </w:rPr>
        <w:t xml:space="preserve"> </w:t>
      </w:r>
      <w:r w:rsidRPr="00DD2D90">
        <w:rPr>
          <w:rStyle w:val="Emphasis"/>
          <w:highlight w:val="green"/>
        </w:rPr>
        <w:t>abandonment</w:t>
      </w:r>
      <w:r w:rsidRPr="00DD2D90">
        <w:rPr>
          <w:rStyle w:val="StyleUnderline"/>
          <w:highlight w:val="green"/>
        </w:rPr>
        <w:t xml:space="preserve"> of patients</w:t>
      </w:r>
      <w:r w:rsidRPr="009278EB">
        <w:rPr>
          <w:sz w:val="16"/>
        </w:rPr>
        <w:t xml:space="preserve">. My first suspension in over forty years of practice also raised concerns: Would a report about the suspension from OHN to the National Practitioner Data Bank lead to effects on my medical licenses or ability to practice in other settings? Was it my responsibility to blow the whistle on OHN’s practices to licensing, accreditation, and insurance agencies? My small act of conscientious disobedience eventually led to some unexpected responses. My contract and state law required that OHN convene an external review based on my claim of interference with my professional judgment. The coordinator of the state agency that licenses health facilities expressed willingness to investigate this issue and the abandonment of patients. Facing the probability of external review, the CEO finally agreed to meet with me. At the meeting, I proposed a formal mediation process. Instead, the CEO composed a document that included an apology, a statement that information about breach of contract would be removed from my personnel file, a commitment to consider individual physicians’ preferences in meeting future training requirements, and a promise to meet individually with a physician when a suspension is considered so patient care would not be disrupted. Where is the path toward a non-corporatized vision of what we know medicine can be at its best? I don’t think that path involves our continuing acquiescence. I confess that I have decided to approach these problems through personal acts of disobedience. For me, closer to the end of my medical career than the beginning, such acts don’t risk much. For others, overcoming the risk will require a more organized approach to disobedience.10 Dare I encourage disobedience in unison? To paraphrase someone else: Doctor workers of the world, unite!11 </w:t>
      </w:r>
    </w:p>
    <w:p w14:paraId="4A1381A6" w14:textId="77777777" w:rsidR="00EA6776" w:rsidRPr="009278EB" w:rsidRDefault="00EA6776">
      <w:pPr>
        <w:rPr>
          <w:rFonts w:eastAsiaTheme="majorEastAsia" w:cstheme="majorBidi"/>
          <w:b/>
          <w:iCs/>
          <w:sz w:val="16"/>
        </w:rPr>
      </w:pPr>
      <w:r w:rsidRPr="009278EB">
        <w:rPr>
          <w:sz w:val="16"/>
        </w:rPr>
        <w:br w:type="page"/>
      </w:r>
    </w:p>
    <w:p w14:paraId="0919E25F" w14:textId="5D10016C" w:rsidR="00DF5DA1" w:rsidRPr="009278EB" w:rsidRDefault="00DF5DA1" w:rsidP="00DF5DA1">
      <w:pPr>
        <w:pStyle w:val="Heading4"/>
        <w:rPr>
          <w:szCs w:val="26"/>
        </w:rPr>
      </w:pPr>
      <w:r w:rsidRPr="009278EB">
        <w:rPr>
          <w:szCs w:val="26"/>
        </w:rPr>
        <w:t>KPIs focus and kickbacks for performance cause burnout – it rejects qualitative improvement for the patients in favor of quantitative measurements useful for corporations</w:t>
      </w:r>
    </w:p>
    <w:p w14:paraId="410DFD2D" w14:textId="5DD0F08E" w:rsidR="00DF5DA1" w:rsidRPr="00DD2D90" w:rsidRDefault="00DF5DA1" w:rsidP="00DF5DA1">
      <w:r w:rsidRPr="009278EB">
        <w:rPr>
          <w:b/>
          <w:bCs/>
          <w:sz w:val="26"/>
          <w:szCs w:val="26"/>
        </w:rPr>
        <w:t>Anderson 18</w:t>
      </w:r>
      <w:r w:rsidRPr="00DD2D90">
        <w:t xml:space="preserve"> [Matthew Anderson, faculty of the Montefiore Residency Program in Social Medicine, 2018, “HEALTH CARE under the KNIFE Moving Beyond Capitalism for Our Health,” NYU Press, https://www.jstor.org/stable/j.ctt1pwt8bd]/Kankee</w:t>
      </w:r>
    </w:p>
    <w:p w14:paraId="50B676B2" w14:textId="77777777" w:rsidR="00DF5DA1" w:rsidRPr="00DD2D90" w:rsidRDefault="00DF5DA1" w:rsidP="00DF5DA1">
      <w:pPr>
        <w:rPr>
          <w:rStyle w:val="Emphasis"/>
        </w:rPr>
      </w:pPr>
      <w:r w:rsidRPr="009278EB">
        <w:rPr>
          <w:sz w:val="16"/>
        </w:rPr>
        <w:t xml:space="preserve">During the early twenty-first century, control over the conditions of medical work and the means of production in medicine has become a key focus of contention, in both the United States and other countries.1 The struggle for control involves the daily activities of the physicians and other licensed health care professionals who are legally sanctioned to make clinical decisions about patient care. </w:t>
      </w:r>
      <w:r w:rsidRPr="00DD2D90">
        <w:rPr>
          <w:rStyle w:val="StyleUnderline"/>
        </w:rPr>
        <w:t>Executives</w:t>
      </w:r>
      <w:r w:rsidRPr="009278EB">
        <w:rPr>
          <w:sz w:val="16"/>
        </w:rPr>
        <w:t xml:space="preserve"> usually frame their attempts to achieve </w:t>
      </w:r>
      <w:r w:rsidRPr="00DD2D90">
        <w:rPr>
          <w:rStyle w:val="StyleUnderline"/>
        </w:rPr>
        <w:t>control</w:t>
      </w:r>
      <w:r w:rsidRPr="009278EB">
        <w:rPr>
          <w:sz w:val="16"/>
        </w:rPr>
        <w:t xml:space="preserve"> over the work practices of </w:t>
      </w:r>
      <w:r w:rsidRPr="00DD2D90">
        <w:rPr>
          <w:rStyle w:val="StyleUnderline"/>
        </w:rPr>
        <w:t>clinicians</w:t>
      </w:r>
      <w:r w:rsidRPr="009278EB">
        <w:rPr>
          <w:sz w:val="16"/>
        </w:rPr>
        <w:t xml:space="preserve"> as efforts to produce greater value (to improve efficiency and quality of care), while bringing “market discipline” to an overly expensive, irrational, and inefficient system. I propose that such concepts—value, efficiency, quality, and market discipline—are part of an ideology designed to justify corporate control over the work of physicians and other workers providing health services. In describing the “deprofessionalization” of health care workers, I </w:t>
      </w:r>
      <w:r w:rsidRPr="00DD2D90">
        <w:rPr>
          <w:rStyle w:val="StyleUnderline"/>
        </w:rPr>
        <w:t xml:space="preserve">keep in mind </w:t>
      </w:r>
      <w:r w:rsidRPr="009278EB">
        <w:rPr>
          <w:sz w:val="16"/>
        </w:rPr>
        <w:t xml:space="preserve">Marx’s concept of </w:t>
      </w:r>
      <w:r w:rsidRPr="00DD2D90">
        <w:rPr>
          <w:rStyle w:val="Emphasis"/>
        </w:rPr>
        <w:t>alienation</w:t>
      </w:r>
      <w:r w:rsidRPr="009278EB">
        <w:rPr>
          <w:sz w:val="16"/>
        </w:rPr>
        <w:t xml:space="preserve">, the separation of the worker from the control and the product of his or her labor, as a useful way of thinking about the clinician of the future, who must learn what it means to become an employee. In the words of Marx: “The object which labor produces—labor’s product— confronts it as something alien, as a power independent of the producer. . . . Realization of labor appears as loss of realization for the workers; objectification as loss of the object and bondage to it; appropriation as estrangement, as alienation.”2 In this chapter, I clarify how the </w:t>
      </w:r>
      <w:r w:rsidRPr="00DD2D90">
        <w:rPr>
          <w:rStyle w:val="StyleUnderline"/>
          <w:highlight w:val="green"/>
        </w:rPr>
        <w:t>corporate</w:t>
      </w:r>
      <w:r w:rsidRPr="009278EB">
        <w:rPr>
          <w:sz w:val="16"/>
        </w:rPr>
        <w:t xml:space="preserve"> model of </w:t>
      </w:r>
      <w:r w:rsidRPr="00DD2D90">
        <w:rPr>
          <w:rStyle w:val="StyleUnderline"/>
          <w:highlight w:val="green"/>
        </w:rPr>
        <w:t>medicine</w:t>
      </w:r>
      <w:r w:rsidRPr="009278EB">
        <w:rPr>
          <w:sz w:val="16"/>
          <w:highlight w:val="green"/>
        </w:rPr>
        <w:t xml:space="preserve"> </w:t>
      </w:r>
      <w:r w:rsidRPr="00DD2D90">
        <w:rPr>
          <w:rStyle w:val="StyleUnderline"/>
          <w:highlight w:val="green"/>
        </w:rPr>
        <w:t xml:space="preserve">is </w:t>
      </w:r>
      <w:r w:rsidRPr="00DD2D90">
        <w:rPr>
          <w:rStyle w:val="Emphasis"/>
          <w:highlight w:val="green"/>
        </w:rPr>
        <w:t>degrading</w:t>
      </w:r>
      <w:r w:rsidRPr="00DD2D90">
        <w:rPr>
          <w:rStyle w:val="StyleUnderline"/>
          <w:highlight w:val="green"/>
        </w:rPr>
        <w:t xml:space="preserve"> the culture of clinical</w:t>
      </w:r>
      <w:r w:rsidRPr="00DD2D90">
        <w:rPr>
          <w:rStyle w:val="StyleUnderline"/>
        </w:rPr>
        <w:t xml:space="preserve"> </w:t>
      </w:r>
      <w:r w:rsidRPr="00DD2D90">
        <w:rPr>
          <w:rStyle w:val="StyleUnderline"/>
          <w:highlight w:val="green"/>
        </w:rPr>
        <w:t>care</w:t>
      </w:r>
      <w:r w:rsidRPr="009278EB">
        <w:rPr>
          <w:sz w:val="16"/>
        </w:rPr>
        <w:t xml:space="preserve"> and the work of clinicians. We will see what happens </w:t>
      </w:r>
      <w:r w:rsidRPr="00DD2D90">
        <w:rPr>
          <w:rStyle w:val="StyleUnderline"/>
        </w:rPr>
        <w:t xml:space="preserve">when </w:t>
      </w:r>
      <w:r w:rsidRPr="00DD2D90">
        <w:rPr>
          <w:rStyle w:val="StyleUnderline"/>
          <w:highlight w:val="green"/>
        </w:rPr>
        <w:t>the corporate model</w:t>
      </w:r>
      <w:r w:rsidRPr="009278EB">
        <w:rPr>
          <w:sz w:val="16"/>
          <w:highlight w:val="green"/>
        </w:rPr>
        <w:t xml:space="preserve"> </w:t>
      </w:r>
      <w:r w:rsidRPr="00DD2D90">
        <w:rPr>
          <w:rStyle w:val="StyleUnderline"/>
          <w:highlight w:val="green"/>
        </w:rPr>
        <w:t>enshrines</w:t>
      </w:r>
      <w:r w:rsidRPr="009278EB">
        <w:rPr>
          <w:sz w:val="16"/>
        </w:rPr>
        <w:t xml:space="preserve"> the centrality of </w:t>
      </w:r>
      <w:r w:rsidRPr="00DD2D90">
        <w:rPr>
          <w:rStyle w:val="StyleUnderline"/>
          <w:highlight w:val="green"/>
        </w:rPr>
        <w:t xml:space="preserve">health care as a </w:t>
      </w:r>
      <w:r w:rsidRPr="00DD2D90">
        <w:rPr>
          <w:rStyle w:val="Emphasis"/>
          <w:highlight w:val="green"/>
        </w:rPr>
        <w:t>commodity</w:t>
      </w:r>
      <w:r w:rsidRPr="00DD2D90">
        <w:rPr>
          <w:rStyle w:val="StyleUnderline"/>
          <w:highlight w:val="green"/>
        </w:rPr>
        <w:t xml:space="preserve"> and self-interest as a motivator</w:t>
      </w:r>
      <w:r w:rsidRPr="009278EB">
        <w:rPr>
          <w:sz w:val="16"/>
        </w:rPr>
        <w:t xml:space="preserve">: the mission of the profit margin overtakes the mission of healing. THE SORRY STATE OF PRIMARY CARE IN THE UNITED STATES There is strong evidence to suggest that primary care improves the health of populations and, unlike specialty care, it helps reduce inequalities in health outcomes.3 Primary care is also cheaper than specialty care. There is even some evidence from the United States suggesting that an overabundance of specialists can be bad for community health.4 Yet, despite the demonstrated benefits of primary care, only 12 percent of U.S. doctors work in it. The majority of our doctors (over 85 percent) are specialists.5 In Europe, by contrast, primary care doctors more typically make up about 70 percent of the physician workforce. The reasons for the specialist-heavy U.S. system are complex, but they bring us back to the technology- and profit-driven character of the U.S. health care system.6 It rewards new physicians for choosing high-tech, expensive procedural-based specialties (such as orthopedics and cardiology) rather than the more cognitive and relationship-based specialties of internal medicine, family medicine, and pediatrics. Medical students quickly learn to see primary care as bringing low prestige and low pay. There is no particularly good reason why primary care work should be undervalued. The essence of this problem is a political one: specialists run our academic medical centers, have close financial ties to industry, and have been able to define medicine and healing as the use of expensive wonder drugs and high technology. THE PATIENT-CENTERED MEDICAL HOME: NEITHER PATIENT-CENTERED NOR A HOME In the past decade a new model of primary care, the “patient-centered medical home” (PCMH), has been promoted to solve the problems of primary care. The term “medical home” appeared initially in 1967 in the pediatric literature. It was designed to describe a place, a “single source,” where a child’s medical records would be kept.7 In the 1990s the idea of the medical home was elaborated within the primary care community —by the American Academy of Pediatrics in 1992 and 2004, the American Academy of Family Physicians in 2004, and the American College of Physicians (internal medicine) in 2006. These efforts culminated in a joint statement issued by five primary care organizations in 2007. By 2008 a National Committee for Quality Assurance had promulgated standards for a PCMH, adherence to which guaranteed extra reimbursement for providers. It is difficult to define exactly what a PCMH is because various organizations have promoted different conceptualizations.8 But some of the components include better integration of health care, usually accomplished through electronic medical records (EMRs); the creation of health teams, as opposed to solo practices; improved access to care; a personal physician for each patient; and efforts to improve the quality of care as measured by standardized targets. To address pay disparities, primary care physicians are promised increased income when they meet certain quality standards, which is known as “Pay-for-Performance” (P4P). While these initiatives are not necessarily detrimental, they address symptoms of the problem, not the problem itself. The flow of resources into (expensive) specialty care continues, as does the underfunding of primary care. If population health is the goal of the system, this approach makes little sense. However, if we understand the imperatives of profit, such initiatives appear both logical and inevitable. The PCMH is a vehicle for the delivery of health services organized through a competitive, private insurance market. Purchasers of health insurance, whether individuals or organizations, are expected to make a yearly decision regarding which plan is most advantageous in terms of price and benefits. Adopting the “home” metaphor, it’s a bit like getting the opportunity to move once a year and find new family members. Even if patients want to stay “home” with their current doctor, there is no guarantee that their doctor will be on the company-offered plan next year. Let us be clear: this is a business model, not a home. For that matter, the development of the PCMH was not really “patient-centered.” Professional societies and large corporations developed and promoted the model. Patients have not been centrally involved in its conceptualization or in its elaboration. </w:t>
      </w:r>
      <w:r w:rsidRPr="00DD2D90">
        <w:rPr>
          <w:rStyle w:val="StyleUnderline"/>
          <w:highlight w:val="green"/>
        </w:rPr>
        <w:t>The PCMH is</w:t>
      </w:r>
      <w:r w:rsidRPr="00DD2D90">
        <w:rPr>
          <w:rStyle w:val="StyleUnderline"/>
        </w:rPr>
        <w:t xml:space="preserve"> “</w:t>
      </w:r>
      <w:r w:rsidRPr="00DD2D90">
        <w:rPr>
          <w:rStyle w:val="StyleUnderline"/>
          <w:highlight w:val="green"/>
        </w:rPr>
        <w:t>patient</w:t>
      </w:r>
      <w:r w:rsidRPr="00DD2D90">
        <w:rPr>
          <w:rStyle w:val="StyleUnderline"/>
        </w:rPr>
        <w:t>-</w:t>
      </w:r>
      <w:r w:rsidRPr="00DD2D90">
        <w:rPr>
          <w:rStyle w:val="StyleUnderline"/>
          <w:highlight w:val="green"/>
        </w:rPr>
        <w:t>centered</w:t>
      </w:r>
      <w:r w:rsidRPr="00DD2D90">
        <w:rPr>
          <w:rStyle w:val="StyleUnderline"/>
        </w:rPr>
        <w:t xml:space="preserve">” only </w:t>
      </w:r>
      <w:r w:rsidRPr="00DD2D90">
        <w:rPr>
          <w:rStyle w:val="StyleUnderline"/>
          <w:highlight w:val="green"/>
        </w:rPr>
        <w:t>in the sense</w:t>
      </w:r>
      <w:r w:rsidRPr="00DD2D90">
        <w:rPr>
          <w:rStyle w:val="StyleUnderline"/>
        </w:rPr>
        <w:t xml:space="preserve"> that </w:t>
      </w:r>
      <w:r w:rsidRPr="00DD2D90">
        <w:rPr>
          <w:rStyle w:val="Emphasis"/>
          <w:highlight w:val="green"/>
        </w:rPr>
        <w:t>McDonald’s</w:t>
      </w:r>
      <w:r w:rsidRPr="00DD2D90">
        <w:rPr>
          <w:rStyle w:val="StyleUnderline"/>
          <w:highlight w:val="green"/>
        </w:rPr>
        <w:t xml:space="preserve"> is</w:t>
      </w:r>
      <w:r w:rsidRPr="00DD2D90">
        <w:rPr>
          <w:rStyle w:val="StyleUnderline"/>
        </w:rPr>
        <w:t xml:space="preserve"> “</w:t>
      </w:r>
      <w:r w:rsidRPr="00DD2D90">
        <w:rPr>
          <w:rStyle w:val="StyleUnderline"/>
          <w:highlight w:val="green"/>
        </w:rPr>
        <w:t>customer-centered</w:t>
      </w:r>
      <w:r w:rsidRPr="009278EB">
        <w:rPr>
          <w:sz w:val="16"/>
        </w:rPr>
        <w:t xml:space="preserve">.” Ironically, the hype and fanfare surrounding the development of the PCMH model seem to arise from the demise of personalized health care rather than the dawn of a new era in primary care. It is important to remember what the PCMH cannot address and what options it does not explore. There will continue to be tremendous class and racial biases in the system; these impact quality and access to care as well as access to careers in medicine. In addition, a system that is highly incentivized to hit quality targets may want to avoid poorer (or sicker) patients, whose outcomes are likely to be worse than those of patients with more social and financial resources. Many models of clinical care have sought to make the health center an integral part of the local community, leveraging the ability of the clinic to participate in community development. There are clinical benefits gained by understanding local context. This is the basis for the very successful community health center program started by Dr. Jack Geiger in the 1960s.9 But there is no room in the PCMH for the local community voice. Although the PCMH retains the paternalistic ethos of medicine, now the “father” of the medical home is the corporate bureaucracy. And how could the involvement of a clinic in health problems of the local community be incentivized, within a system of individually based private insurance? PAY FOR PERFORMANCE (P4P) One pillar of the PCMH is the </w:t>
      </w:r>
      <w:r w:rsidRPr="00DD2D90">
        <w:rPr>
          <w:rStyle w:val="StyleUnderline"/>
        </w:rPr>
        <w:t>P4P</w:t>
      </w:r>
      <w:r w:rsidRPr="009278EB">
        <w:rPr>
          <w:sz w:val="16"/>
        </w:rPr>
        <w:t xml:space="preserve"> program, in which </w:t>
      </w:r>
      <w:r w:rsidRPr="00DD2D90">
        <w:rPr>
          <w:rStyle w:val="StyleUnderline"/>
          <w:highlight w:val="green"/>
        </w:rPr>
        <w:t>doctors receive</w:t>
      </w:r>
      <w:r w:rsidRPr="009278EB">
        <w:rPr>
          <w:sz w:val="16"/>
          <w:highlight w:val="green"/>
        </w:rPr>
        <w:t xml:space="preserve"> </w:t>
      </w:r>
      <w:r w:rsidRPr="00DD2D90">
        <w:rPr>
          <w:rStyle w:val="StyleUnderline"/>
          <w:highlight w:val="green"/>
        </w:rPr>
        <w:t>monetary rewards for hitting</w:t>
      </w:r>
      <w:r w:rsidRPr="00DD2D90">
        <w:rPr>
          <w:rStyle w:val="StyleUnderline"/>
        </w:rPr>
        <w:t xml:space="preserve"> specific</w:t>
      </w:r>
      <w:r w:rsidRPr="009278EB">
        <w:rPr>
          <w:sz w:val="16"/>
        </w:rPr>
        <w:t xml:space="preserve">, quantitative, </w:t>
      </w:r>
      <w:r w:rsidRPr="00DD2D90">
        <w:rPr>
          <w:rStyle w:val="StyleUnderline"/>
        </w:rPr>
        <w:t xml:space="preserve">clinical </w:t>
      </w:r>
      <w:r w:rsidRPr="00DD2D90">
        <w:rPr>
          <w:rStyle w:val="StyleUnderline"/>
          <w:highlight w:val="green"/>
        </w:rPr>
        <w:t>goals</w:t>
      </w:r>
      <w:r w:rsidRPr="009278EB">
        <w:rPr>
          <w:sz w:val="16"/>
        </w:rPr>
        <w:t xml:space="preserve">, for example, the percentage of patients who receive flu shots. Studies of P4P have shown widely differing effects of individual P4P programs on quality measurements.10 In simple English, we don’t really know if it works. If P4P were a pill, this lack of evidence would have prevented its approval or use. But </w:t>
      </w:r>
      <w:r w:rsidRPr="00DD2D90">
        <w:rPr>
          <w:rStyle w:val="StyleUnderline"/>
        </w:rPr>
        <w:t>the business world</w:t>
      </w:r>
      <w:r w:rsidRPr="009278EB">
        <w:rPr>
          <w:sz w:val="16"/>
        </w:rPr>
        <w:t xml:space="preserve"> is different; the </w:t>
      </w:r>
      <w:r w:rsidRPr="00DD2D90">
        <w:rPr>
          <w:rStyle w:val="Emphasis"/>
        </w:rPr>
        <w:t>ideological imperative</w:t>
      </w:r>
      <w:r w:rsidRPr="00DD2D90">
        <w:rPr>
          <w:rStyle w:val="StyleUnderline"/>
        </w:rPr>
        <w:t xml:space="preserve"> to turn health</w:t>
      </w:r>
      <w:r w:rsidRPr="009278EB">
        <w:rPr>
          <w:sz w:val="16"/>
        </w:rPr>
        <w:t xml:space="preserve"> </w:t>
      </w:r>
      <w:r w:rsidRPr="00DD2D90">
        <w:rPr>
          <w:rStyle w:val="StyleUnderline"/>
        </w:rPr>
        <w:t>care workers into employees is powerful</w:t>
      </w:r>
      <w:r w:rsidRPr="009278EB">
        <w:rPr>
          <w:sz w:val="16"/>
        </w:rPr>
        <w:t xml:space="preserve">. </w:t>
      </w:r>
      <w:r w:rsidRPr="00DD2D90">
        <w:rPr>
          <w:rStyle w:val="StyleUnderline"/>
          <w:highlight w:val="green"/>
        </w:rPr>
        <w:t>P4P</w:t>
      </w:r>
      <w:r w:rsidRPr="009278EB">
        <w:rPr>
          <w:sz w:val="16"/>
        </w:rPr>
        <w:t xml:space="preserve">’s lack of success </w:t>
      </w:r>
      <w:r w:rsidRPr="00DD2D90">
        <w:rPr>
          <w:rStyle w:val="StyleUnderline"/>
        </w:rPr>
        <w:t>may</w:t>
      </w:r>
      <w:r w:rsidRPr="009278EB">
        <w:rPr>
          <w:sz w:val="16"/>
        </w:rPr>
        <w:t xml:space="preserve"> result from the direct </w:t>
      </w:r>
      <w:r w:rsidRPr="00DD2D90">
        <w:rPr>
          <w:rStyle w:val="Emphasis"/>
        </w:rPr>
        <w:t>undermining</w:t>
      </w:r>
      <w:r w:rsidRPr="009278EB">
        <w:rPr>
          <w:sz w:val="16"/>
        </w:rPr>
        <w:t xml:space="preserve"> of what has always been considered </w:t>
      </w:r>
      <w:r w:rsidRPr="00DD2D90">
        <w:rPr>
          <w:rStyle w:val="StyleUnderline"/>
        </w:rPr>
        <w:t>the central concern of the physician: the welfare of the patient</w:t>
      </w:r>
      <w:r w:rsidRPr="009278EB">
        <w:rPr>
          <w:sz w:val="16"/>
        </w:rPr>
        <w:t xml:space="preserve">. </w:t>
      </w:r>
      <w:r w:rsidRPr="00DD2D90">
        <w:rPr>
          <w:rStyle w:val="StyleUnderline"/>
        </w:rPr>
        <w:t>When patients ask me whether they should have flu shots, they are asking me for a disinterested answer based on my professional</w:t>
      </w:r>
      <w:r w:rsidRPr="009278EB">
        <w:rPr>
          <w:sz w:val="16"/>
        </w:rPr>
        <w:t xml:space="preserve"> opinion and my </w:t>
      </w:r>
      <w:r w:rsidRPr="00DD2D90">
        <w:rPr>
          <w:rStyle w:val="StyleUnderline"/>
        </w:rPr>
        <w:t>knowledge</w:t>
      </w:r>
      <w:r w:rsidRPr="009278EB">
        <w:rPr>
          <w:sz w:val="16"/>
        </w:rPr>
        <w:t xml:space="preserve"> of them. </w:t>
      </w:r>
      <w:r w:rsidRPr="00DD2D90">
        <w:rPr>
          <w:rStyle w:val="StyleUnderline"/>
        </w:rPr>
        <w:t>How would they feel i</w:t>
      </w:r>
      <w:r w:rsidRPr="009278EB">
        <w:rPr>
          <w:sz w:val="16"/>
        </w:rPr>
        <w:t xml:space="preserve">f, as honesty demands, </w:t>
      </w:r>
      <w:r w:rsidRPr="00DD2D90">
        <w:rPr>
          <w:rStyle w:val="StyleUnderline"/>
        </w:rPr>
        <w:t>I told them I was receiving</w:t>
      </w:r>
      <w:r w:rsidRPr="009278EB">
        <w:rPr>
          <w:sz w:val="16"/>
        </w:rPr>
        <w:t xml:space="preserve"> some amount of </w:t>
      </w:r>
      <w:r w:rsidRPr="00DD2D90">
        <w:rPr>
          <w:rStyle w:val="StyleUnderline"/>
        </w:rPr>
        <w:t>money</w:t>
      </w:r>
      <w:r w:rsidRPr="009278EB">
        <w:rPr>
          <w:sz w:val="16"/>
        </w:rPr>
        <w:t xml:space="preserve"> (no matter how small) every time they got a flu shot? </w:t>
      </w:r>
      <w:r w:rsidRPr="00DD2D90">
        <w:rPr>
          <w:rStyle w:val="StyleUnderline"/>
        </w:rPr>
        <w:t xml:space="preserve">That admission </w:t>
      </w:r>
      <w:r w:rsidRPr="00DD2D90">
        <w:rPr>
          <w:rStyle w:val="StyleUnderline"/>
          <w:highlight w:val="green"/>
        </w:rPr>
        <w:t>would undermine</w:t>
      </w:r>
      <w:r w:rsidRPr="009278EB">
        <w:rPr>
          <w:sz w:val="16"/>
        </w:rPr>
        <w:t xml:space="preserve"> the very </w:t>
      </w:r>
      <w:r w:rsidRPr="00DD2D90">
        <w:rPr>
          <w:rStyle w:val="Emphasis"/>
          <w:highlight w:val="green"/>
        </w:rPr>
        <w:t>trust</w:t>
      </w:r>
      <w:r w:rsidRPr="009278EB">
        <w:rPr>
          <w:sz w:val="16"/>
        </w:rPr>
        <w:t xml:space="preserve"> that should be </w:t>
      </w:r>
      <w:r w:rsidRPr="00DD2D90">
        <w:rPr>
          <w:rStyle w:val="StyleUnderline"/>
        </w:rPr>
        <w:t xml:space="preserve">the </w:t>
      </w:r>
      <w:r w:rsidRPr="00DD2D90">
        <w:rPr>
          <w:rStyle w:val="Emphasis"/>
        </w:rPr>
        <w:t>foundation</w:t>
      </w:r>
      <w:r w:rsidRPr="00DD2D90">
        <w:rPr>
          <w:rStyle w:val="StyleUnderline"/>
        </w:rPr>
        <w:t xml:space="preserve"> of our relationship</w:t>
      </w:r>
      <w:r w:rsidRPr="009278EB">
        <w:rPr>
          <w:sz w:val="16"/>
        </w:rPr>
        <w:t xml:space="preserve">. Such measurement </w:t>
      </w:r>
      <w:r w:rsidRPr="00DD2D90">
        <w:rPr>
          <w:rStyle w:val="StyleUnderline"/>
        </w:rPr>
        <w:t>programs</w:t>
      </w:r>
      <w:r w:rsidRPr="009278EB">
        <w:rPr>
          <w:sz w:val="16"/>
        </w:rPr>
        <w:t xml:space="preserve"> can also be faulted on more practical grounds. Usually they </w:t>
      </w:r>
      <w:r w:rsidRPr="00DD2D90">
        <w:rPr>
          <w:rStyle w:val="StyleUnderline"/>
        </w:rPr>
        <w:t>rely on easily measured goals</w:t>
      </w:r>
      <w:r w:rsidRPr="009278EB">
        <w:rPr>
          <w:sz w:val="16"/>
        </w:rPr>
        <w:t xml:space="preserve">: number of shots given, blood pressure, cholesterol measurements, patient-satisfaction surveys, and so on. But many of us believe that </w:t>
      </w:r>
      <w:r w:rsidRPr="00DD2D90">
        <w:rPr>
          <w:rStyle w:val="StyleUnderline"/>
          <w:highlight w:val="green"/>
        </w:rPr>
        <w:t>the heart</w:t>
      </w:r>
      <w:r w:rsidRPr="00DD2D90">
        <w:rPr>
          <w:rStyle w:val="StyleUnderline"/>
        </w:rPr>
        <w:t xml:space="preserve"> of primary care </w:t>
      </w:r>
      <w:r w:rsidRPr="00DD2D90">
        <w:rPr>
          <w:rStyle w:val="StyleUnderline"/>
          <w:highlight w:val="green"/>
        </w:rPr>
        <w:t xml:space="preserve">involves </w:t>
      </w:r>
      <w:r w:rsidRPr="00DD2D90">
        <w:rPr>
          <w:rStyle w:val="Emphasis"/>
          <w:highlight w:val="green"/>
        </w:rPr>
        <w:t>relationships</w:t>
      </w:r>
      <w:r w:rsidRPr="00DD2D90">
        <w:rPr>
          <w:rStyle w:val="StyleUnderline"/>
        </w:rPr>
        <w:t xml:space="preserve"> with families</w:t>
      </w:r>
      <w:r w:rsidRPr="009278EB">
        <w:rPr>
          <w:sz w:val="16"/>
        </w:rPr>
        <w:t xml:space="preserve"> </w:t>
      </w:r>
      <w:r w:rsidRPr="00DD2D90">
        <w:rPr>
          <w:rStyle w:val="StyleUnderline"/>
        </w:rPr>
        <w:t>that</w:t>
      </w:r>
      <w:r w:rsidRPr="009278EB">
        <w:rPr>
          <w:sz w:val="16"/>
        </w:rPr>
        <w:t xml:space="preserve"> are created over time; </w:t>
      </w:r>
      <w:r w:rsidRPr="00DD2D90">
        <w:rPr>
          <w:rStyle w:val="StyleUnderline"/>
          <w:highlight w:val="green"/>
        </w:rPr>
        <w:t>these</w:t>
      </w:r>
      <w:r w:rsidRPr="009278EB">
        <w:rPr>
          <w:sz w:val="16"/>
        </w:rPr>
        <w:t xml:space="preserve"> relationships </w:t>
      </w:r>
      <w:r w:rsidRPr="00DD2D90">
        <w:rPr>
          <w:rStyle w:val="StyleUnderline"/>
          <w:highlight w:val="green"/>
        </w:rPr>
        <w:t>cannot be reduced to a number</w:t>
      </w:r>
      <w:r w:rsidRPr="009278EB">
        <w:rPr>
          <w:sz w:val="16"/>
        </w:rPr>
        <w:t xml:space="preserve"> on a scale. When I visit my patients in the hospital—</w:t>
      </w:r>
      <w:r w:rsidRPr="00DD2D90">
        <w:rPr>
          <w:rStyle w:val="StyleUnderline"/>
        </w:rPr>
        <w:t xml:space="preserve">a </w:t>
      </w:r>
      <w:r w:rsidRPr="00DD2D90">
        <w:rPr>
          <w:rStyle w:val="Emphasis"/>
        </w:rPr>
        <w:t>familiar face</w:t>
      </w:r>
      <w:r w:rsidRPr="009278EB">
        <w:rPr>
          <w:sz w:val="16"/>
        </w:rPr>
        <w:t xml:space="preserve"> in a frightening and strange environment—I </w:t>
      </w:r>
      <w:r w:rsidRPr="00DD2D90">
        <w:rPr>
          <w:rStyle w:val="StyleUnderline"/>
        </w:rPr>
        <w:t xml:space="preserve">provide a type of </w:t>
      </w:r>
      <w:r w:rsidRPr="00DD2D90">
        <w:rPr>
          <w:rStyle w:val="StyleUnderline"/>
          <w:highlight w:val="green"/>
        </w:rPr>
        <w:t>caring</w:t>
      </w:r>
      <w:r w:rsidRPr="009278EB">
        <w:rPr>
          <w:sz w:val="16"/>
        </w:rPr>
        <w:t xml:space="preserve"> that is </w:t>
      </w:r>
      <w:r w:rsidRPr="00DD2D90">
        <w:rPr>
          <w:rStyle w:val="StyleUnderline"/>
        </w:rPr>
        <w:t xml:space="preserve">central to the role of a healer but </w:t>
      </w:r>
      <w:r w:rsidRPr="00DD2D90">
        <w:rPr>
          <w:rStyle w:val="StyleUnderline"/>
          <w:highlight w:val="green"/>
        </w:rPr>
        <w:t xml:space="preserve">is </w:t>
      </w:r>
      <w:r w:rsidRPr="00DD2D90">
        <w:rPr>
          <w:rStyle w:val="Emphasis"/>
          <w:highlight w:val="green"/>
        </w:rPr>
        <w:t>invisible</w:t>
      </w:r>
      <w:r w:rsidRPr="00DD2D90">
        <w:rPr>
          <w:rStyle w:val="StyleUnderline"/>
          <w:highlight w:val="green"/>
        </w:rPr>
        <w:t xml:space="preserve"> to</w:t>
      </w:r>
      <w:r w:rsidRPr="009278EB">
        <w:rPr>
          <w:sz w:val="16"/>
        </w:rPr>
        <w:t xml:space="preserve"> the highly </w:t>
      </w:r>
      <w:r w:rsidRPr="00DD2D90">
        <w:rPr>
          <w:rStyle w:val="StyleUnderline"/>
          <w:highlight w:val="green"/>
        </w:rPr>
        <w:t>technical</w:t>
      </w:r>
      <w:r w:rsidRPr="009278EB">
        <w:rPr>
          <w:sz w:val="16"/>
        </w:rPr>
        <w:t xml:space="preserve"> world of “hard” </w:t>
      </w:r>
      <w:r w:rsidRPr="00DD2D90">
        <w:rPr>
          <w:rStyle w:val="StyleUnderline"/>
          <w:highlight w:val="green"/>
        </w:rPr>
        <w:t>targets</w:t>
      </w:r>
      <w:r w:rsidRPr="009278EB">
        <w:rPr>
          <w:sz w:val="16"/>
        </w:rPr>
        <w:t xml:space="preserve">. Patients remember these visits and thank me for them years later, when I perhaps have forgotten them. In addition, clinical targets are notoriously fickle. Clinical medicine evolves rapidly, and what is good today will be seen as substandard in a few years. Goals for blood pressure, cholesterol, and diabetic control have undergone major revision in the past several years in ways that P4P programs either can’t capture or don’t. And, as more and more clinicians work in larger institutions, the attribution of clinical outcomes to any individual clinician becomes increasingly problematic. Truly “patient-centered” medical care would require great flexibility in terms of clinical outcomes. Not all patients want all treatments. </w:t>
      </w:r>
      <w:r w:rsidRPr="00DD2D90">
        <w:rPr>
          <w:rStyle w:val="StyleUnderline"/>
        </w:rPr>
        <w:t>The externally generated quality targets may not reflect the real problems facing the patient, the clinic, or the community</w:t>
      </w:r>
      <w:r w:rsidRPr="009278EB">
        <w:rPr>
          <w:sz w:val="16"/>
        </w:rPr>
        <w:t xml:space="preserve">. ENTER THE ELECTRONIC MEDICAL RECORD The George W. Bush administration initiated a large federal initiative to promote the use of health technology and, specifically, electronic medical records (EMRs). This initiative received further impetus during the first year of the Obama administration, when medical practices were given incentives to purchase EMR systems under the American Recovery and Reinvestment Act, the 2009 stimulus package.11 EMRs became a new, federally subsidized profit center, and dozens of vendors came forth to sell their EMR software to clinicians. The result, ironically, is that health information has become even more fragmented. Now we have a bewildering variety of EMR systems, none of which talks to each other; within individual institutions there are often several different types of EMRs. Sorting out this chaos, created in the logic of a marketplace, may take decades. Who knows how many people will need to get extra vaccines or extra tests because their records are lost in some obsolete and inaccessible software? The “medical home” seems to have been colonized by various unruly families, none of whom speaks the same language. There are other troubling features of EMRs. Most were designed to capture billing and quality information, not to facilitate clinical care. As a result, clinicians, rather than looking at their patients, sit hunched over their computers clicking little boxes indicating they have advised their patients not to smoke or that they need a colonos-copy, a true example of alienated labor. As one frustrated patient told me: “I used to talk to my doctor; now I just see the back of his head.”12 There is no particular rhyme or reason behind the flow of the clinical interview, since it now follows computer-generated prompts. As one works one’s way through the required screens with the required answers, one might as well be standing behind a Burger King counter and noting if the customer wants fries or onion rings. Not only is the voice of the doctor gone in many EMRs but, more crucially, so is the voice of the patient. In a menu-driven EMR, clinical histories are reduced to a random collection of facts taken out of context: left abdominal pain / quality: crampy / duration: 2–4 days/relieved by: defecation. This is almost anti-medicine, because it perverts the essential task of understanding the patient’s experience, to assist in diagnosis and treatment. “WE STRIVE FOR FIVE”: MANUFACTURED SATISFACTION One of the most pernicious aspects of the PCMH is the focus on massaging data to meet targets, a corruption of the very knowledge that should be the lifeblood of improvement. This is seen in the approach to satisfaction surveys, such as Press Ganey’s Improving Healthcare “product.”13 Press Ganey, the leading for-profit corporation in the business of measuring patient satisfaction, sends surveys on quality of care to a sample of patients after visits. </w:t>
      </w:r>
      <w:r w:rsidRPr="00DD2D90">
        <w:rPr>
          <w:rStyle w:val="StyleUnderline"/>
          <w:highlight w:val="green"/>
        </w:rPr>
        <w:t>Mid-level managers are</w:t>
      </w:r>
      <w:r w:rsidRPr="00DD2D90">
        <w:rPr>
          <w:rStyle w:val="StyleUnderline"/>
        </w:rPr>
        <w:t xml:space="preserve"> put </w:t>
      </w:r>
      <w:r w:rsidRPr="00DD2D90">
        <w:rPr>
          <w:rStyle w:val="StyleUnderline"/>
          <w:highlight w:val="green"/>
        </w:rPr>
        <w:t xml:space="preserve">under </w:t>
      </w:r>
      <w:r w:rsidRPr="00DD2D90">
        <w:rPr>
          <w:rStyle w:val="Emphasis"/>
          <w:highlight w:val="green"/>
        </w:rPr>
        <w:t>intense pressure</w:t>
      </w:r>
      <w:r w:rsidRPr="00DD2D90">
        <w:rPr>
          <w:rStyle w:val="StyleUnderline"/>
        </w:rPr>
        <w:t xml:space="preserve"> to get and </w:t>
      </w:r>
      <w:r w:rsidRPr="00DD2D90">
        <w:rPr>
          <w:rStyle w:val="StyleUnderline"/>
          <w:highlight w:val="green"/>
        </w:rPr>
        <w:t>maintain</w:t>
      </w:r>
      <w:r w:rsidRPr="00DD2D90">
        <w:rPr>
          <w:rStyle w:val="StyleUnderline"/>
        </w:rPr>
        <w:t xml:space="preserve"> good </w:t>
      </w:r>
      <w:r w:rsidRPr="00DD2D90">
        <w:rPr>
          <w:rStyle w:val="StyleUnderline"/>
          <w:highlight w:val="green"/>
        </w:rPr>
        <w:t>survey scores</w:t>
      </w:r>
      <w:r w:rsidRPr="009278EB">
        <w:rPr>
          <w:sz w:val="16"/>
        </w:rPr>
        <w:t>. In order to boost their numbers, a message that “We Strive for Five” (5 being the highest possible score) is often presented to patients either on posters, on appointment cards, or verbally by staff. If this does not work, Press Ganey can be contracted to advise the institution on how to improve scores, an interesting side-business for an agency that is supposed to provide impartial ratings. Letting patients know that their doctor or clinic wants a “five” rating introduces a not-so-subtle bias into their answers. It is exactly the kind of condition we would scrupulously avoid in clinical research. A principal investigator who chewed out his or her research nurse because the blood pressure results were not as expected might be fired or at least censured for fraudulent research practices. A mid-level manager who does the same is rewarded. This situation illustrates a dictum coined by American sociologist Donald T. Campbell, which has come to be known as Campbell’s Law: “</w:t>
      </w:r>
      <w:r w:rsidRPr="00DD2D90">
        <w:rPr>
          <w:rStyle w:val="StyleUnderline"/>
          <w:highlight w:val="green"/>
        </w:rPr>
        <w:t xml:space="preserve">The more any quantitative </w:t>
      </w:r>
      <w:r w:rsidRPr="00DD2D90">
        <w:rPr>
          <w:rStyle w:val="StyleUnderline"/>
        </w:rPr>
        <w:t xml:space="preserve">social </w:t>
      </w:r>
      <w:r w:rsidRPr="00DD2D90">
        <w:rPr>
          <w:rStyle w:val="StyleUnderline"/>
          <w:highlight w:val="green"/>
        </w:rPr>
        <w:t>indicator</w:t>
      </w:r>
      <w:r w:rsidRPr="009278EB">
        <w:rPr>
          <w:sz w:val="16"/>
        </w:rPr>
        <w:t xml:space="preserve"> (sometimes even a qualitative indicator) </w:t>
      </w:r>
      <w:r w:rsidRPr="00DD2D90">
        <w:rPr>
          <w:rStyle w:val="StyleUnderline"/>
          <w:highlight w:val="green"/>
        </w:rPr>
        <w:t>is used</w:t>
      </w:r>
      <w:r w:rsidRPr="00DD2D90">
        <w:rPr>
          <w:rStyle w:val="StyleUnderline"/>
        </w:rPr>
        <w:t xml:space="preserve"> for social decision-making, </w:t>
      </w:r>
      <w:r w:rsidRPr="00DD2D90">
        <w:rPr>
          <w:rStyle w:val="StyleUnderline"/>
          <w:highlight w:val="green"/>
        </w:rPr>
        <w:t>the more</w:t>
      </w:r>
      <w:r w:rsidRPr="00DD2D90">
        <w:rPr>
          <w:rStyle w:val="StyleUnderline"/>
        </w:rPr>
        <w:t xml:space="preserve"> subject </w:t>
      </w:r>
      <w:r w:rsidRPr="00DD2D90">
        <w:rPr>
          <w:rStyle w:val="StyleUnderline"/>
          <w:highlight w:val="green"/>
        </w:rPr>
        <w:t>it will</w:t>
      </w:r>
      <w:r w:rsidRPr="00DD2D90">
        <w:rPr>
          <w:rStyle w:val="StyleUnderline"/>
        </w:rPr>
        <w:t xml:space="preserve"> be to corruption </w:t>
      </w:r>
      <w:r w:rsidRPr="00DD2D90">
        <w:rPr>
          <w:rStyle w:val="Emphasis"/>
        </w:rPr>
        <w:t>pressures</w:t>
      </w:r>
      <w:r w:rsidRPr="00DD2D90">
        <w:rPr>
          <w:rStyle w:val="StyleUnderline"/>
        </w:rPr>
        <w:t xml:space="preserve"> and the more apt it will be to </w:t>
      </w:r>
      <w:r w:rsidRPr="00DD2D90">
        <w:rPr>
          <w:rStyle w:val="Emphasis"/>
          <w:highlight w:val="green"/>
        </w:rPr>
        <w:t>distort</w:t>
      </w:r>
      <w:r w:rsidRPr="00DD2D90">
        <w:rPr>
          <w:rStyle w:val="StyleUnderline"/>
          <w:highlight w:val="green"/>
        </w:rPr>
        <w:t xml:space="preserve"> and </w:t>
      </w:r>
      <w:r w:rsidRPr="00DD2D90">
        <w:rPr>
          <w:rStyle w:val="Emphasis"/>
          <w:highlight w:val="green"/>
        </w:rPr>
        <w:t>corrupt</w:t>
      </w:r>
      <w:r w:rsidRPr="00DD2D90">
        <w:rPr>
          <w:rStyle w:val="StyleUnderline"/>
          <w:highlight w:val="green"/>
        </w:rPr>
        <w:t xml:space="preserve"> the </w:t>
      </w:r>
      <w:r w:rsidRPr="00DD2D90">
        <w:rPr>
          <w:rStyle w:val="StyleUnderline"/>
        </w:rPr>
        <w:t xml:space="preserve">social </w:t>
      </w:r>
      <w:r w:rsidRPr="00DD2D90">
        <w:rPr>
          <w:rStyle w:val="StyleUnderline"/>
          <w:highlight w:val="green"/>
        </w:rPr>
        <w:t>processes it is intended to monitor</w:t>
      </w:r>
      <w:r w:rsidRPr="009278EB">
        <w:rPr>
          <w:sz w:val="16"/>
        </w:rPr>
        <w:t xml:space="preserve">.”14 The massaged results of the satisfaction survey impede real attempts to improve systems. Of course, system improvement may be irrelevant, as long as money is being made. SLEEPING WITH THE ENEMY, PART ONE: PROFESSIONAL ASSOCIATIONS The corporate conquest of primary care has occurred with the complicity of physicians who head the professional organizations of primary care and whose leadership has been compromised by commercial interests. Following are three examples among many. The American Academy of Family Physicians (AAFP) has chosen Coca-Cola as a corporate partner; a visitor to the AAFP page on sugar substitutes is advised: “This content was developed with general underwriting support from the Coca-Cola Company.”15 The American Academy of Pediatrics (AAP) endorses breastfeeding as the optimal form of infant nutrition, yet Nestlé, one of the leading makers of breast milk substitutes, is considered a valid corporate sponsor.16 For years the AAP logo was prominently displayed in periodicals advertising baby formula. Advertising of breast milk substitutes is illegal in most countries. Even the National Institutes of Health has corporate partners, which have included both Pepsi and Coca-Cola.17 Consider a patient who must make sense of the fact that her doctor and her government, both charged with protecting health, are proud partners of Coca-Cola. Coke can’t be all that bad, can it? SLEEPING WITH THE ENEMY, PART TWO: ACADEMIC MEDICAL CENTERS Academic medical centers train the physician workforce and mold its professional values. They conduct much of the research that fuels technical advances in medicine. And they promote specific social constructs (such as a genetic or racial basis for disease and social problems) that create social consensus. The academics who run this system are highly rewarded. In many large universities, the highest-paid officials are the basketball coach and the head of the teaching hospital. This problem is typically conceptualized in terms of “conflicts of interest,” which need to be disclosed and regulated. But industry is so interpenetrated with academia that their relationship is best described as symbiotic. For example, in 2007 Eric Campbell and his colleagues at Harvard Medical School published a survey of department chairs at U.S. medical schools. Of the 688 chairs surveyed, they received a response from 459 (67 percent). They found that two-thirds of the department chairs had a direct personal tie to industry. These ties came in a variety of forms, with the most common being consultancy (27 percent) but extended to direct roles in the corporation either as officer (7 percent), founder (9 percent), or director (11 percent). Over two- thirds reported that these relationships had “no effect on their professional activities.”18 This is a fascinating finding. What types of “non-professional” activities do department chairs undertake with corporations? On the other hand, medical students have often contributed as activists in promoting change. Harvard Medical School is an interesting case in point. In 2008 a variety of high-profile conflict-of-interest cases came to light at Harvard. Medical school students formed a group to protest the fact that so many of their professors had undisclosed industry ties.19 On a more national scale, the American Medical Students Association (AMSA) has played an important role as an advocate for change. AMSA was created by medical students in 1950 as a progressive alternative to the AMA-sponsored medical student organization. Former AMSA members were central to the creation in 2005 of the National Physicians Alliance, which was conceived as a progressive alternative to the AMA. AMSA regularly surveys medical schools regarding their involvement with pharmaceutical corporations and hands out grades ranging from A to F.20 IS “EVIDENCE” IRRELEVANT? Medicine has struggled over the past several decades to move away from care based on expert opinion toward “evidence-based” practice. But </w:t>
      </w:r>
      <w:r w:rsidRPr="00DD2D90">
        <w:rPr>
          <w:rStyle w:val="StyleUnderline"/>
        </w:rPr>
        <w:t>the</w:t>
      </w:r>
      <w:r w:rsidRPr="009278EB">
        <w:rPr>
          <w:sz w:val="16"/>
        </w:rPr>
        <w:t xml:space="preserve"> </w:t>
      </w:r>
      <w:r w:rsidRPr="00DD2D90">
        <w:rPr>
          <w:rStyle w:val="StyleUnderline"/>
          <w:highlight w:val="green"/>
        </w:rPr>
        <w:t>corporate</w:t>
      </w:r>
      <w:r w:rsidRPr="00DD2D90">
        <w:rPr>
          <w:rStyle w:val="StyleUnderline"/>
        </w:rPr>
        <w:t xml:space="preserve"> model’s </w:t>
      </w:r>
      <w:r w:rsidRPr="00DD2D90">
        <w:rPr>
          <w:rStyle w:val="StyleUnderline"/>
          <w:highlight w:val="green"/>
        </w:rPr>
        <w:t xml:space="preserve">practices </w:t>
      </w:r>
      <w:r w:rsidRPr="00DD2D90">
        <w:rPr>
          <w:rStyle w:val="Emphasis"/>
          <w:highlight w:val="green"/>
        </w:rPr>
        <w:t>rarely</w:t>
      </w:r>
      <w:r w:rsidRPr="00DD2D90">
        <w:rPr>
          <w:rStyle w:val="StyleUnderline"/>
          <w:highlight w:val="green"/>
        </w:rPr>
        <w:t xml:space="preserve"> are</w:t>
      </w:r>
      <w:r w:rsidRPr="00DD2D90">
        <w:rPr>
          <w:rStyle w:val="StyleUnderline"/>
        </w:rPr>
        <w:t xml:space="preserve"> </w:t>
      </w:r>
      <w:r w:rsidRPr="00DD2D90">
        <w:rPr>
          <w:rStyle w:val="StyleUnderline"/>
          <w:highlight w:val="green"/>
        </w:rPr>
        <w:t>evidence-based</w:t>
      </w:r>
      <w:r w:rsidRPr="00DD2D90">
        <w:rPr>
          <w:rStyle w:val="StyleUnderline"/>
        </w:rPr>
        <w:t>.</w:t>
      </w:r>
      <w:r w:rsidRPr="009278EB">
        <w:rPr>
          <w:sz w:val="16"/>
        </w:rPr>
        <w:t xml:space="preserve"> PCMH, P4P, and similar approaches have been introduced and implemented without thorough testing; usually they have provided further frontiers for corporate capital accumulation. It is striking that the for-profit corporation, whose scientific basis has been severely questioned,21 is now running the show. </w:t>
      </w:r>
      <w:r w:rsidRPr="00DD2D90">
        <w:rPr>
          <w:rStyle w:val="StyleUnderline"/>
        </w:rPr>
        <w:t>When individual clinicians object that they are being forced to do things that</w:t>
      </w:r>
      <w:r w:rsidRPr="009278EB">
        <w:rPr>
          <w:sz w:val="16"/>
        </w:rPr>
        <w:t xml:space="preserve"> make no clinical sense </w:t>
      </w:r>
      <w:r w:rsidRPr="00DD2D90">
        <w:rPr>
          <w:rStyle w:val="StyleUnderline"/>
        </w:rPr>
        <w:t>or are even bad for patients, they are told that these things are necessary for the purposes of their employers</w:t>
      </w:r>
      <w:r w:rsidRPr="009278EB">
        <w:rPr>
          <w:sz w:val="16"/>
        </w:rPr>
        <w:t xml:space="preserve">. When family doctors protested to the American Academy of Family Physicians about its partnership with Coca-Cola, we were told that this too was necessary. In short, we have arrived at the land described by Kafka, where </w:t>
      </w:r>
      <w:r w:rsidRPr="00DD2D90">
        <w:rPr>
          <w:rStyle w:val="StyleUnderline"/>
          <w:highlight w:val="green"/>
        </w:rPr>
        <w:t xml:space="preserve">lying has become a </w:t>
      </w:r>
      <w:r w:rsidRPr="00DD2D90">
        <w:rPr>
          <w:rStyle w:val="Emphasis"/>
          <w:highlight w:val="green"/>
        </w:rPr>
        <w:t>universal principle.</w:t>
      </w:r>
      <w:r w:rsidRPr="00DD2D90">
        <w:rPr>
          <w:rStyle w:val="Emphasis"/>
        </w:rPr>
        <w:t xml:space="preserve"> </w:t>
      </w:r>
    </w:p>
    <w:p w14:paraId="02F47238" w14:textId="77777777" w:rsidR="00DF5DA1" w:rsidRPr="00DD2D90" w:rsidRDefault="00DF5DA1" w:rsidP="00DF5DA1">
      <w:pPr>
        <w:rPr>
          <w:rStyle w:val="Emphasis"/>
        </w:rPr>
      </w:pPr>
    </w:p>
    <w:p w14:paraId="0351E101" w14:textId="77777777" w:rsidR="00EA6776" w:rsidRPr="009278EB" w:rsidRDefault="00EA6776">
      <w:pPr>
        <w:rPr>
          <w:rFonts w:eastAsiaTheme="majorEastAsia" w:cstheme="majorBidi"/>
          <w:b/>
          <w:iCs/>
          <w:sz w:val="16"/>
        </w:rPr>
      </w:pPr>
      <w:r w:rsidRPr="009278EB">
        <w:rPr>
          <w:sz w:val="16"/>
        </w:rPr>
        <w:br w:type="page"/>
      </w:r>
    </w:p>
    <w:p w14:paraId="155ECBF9" w14:textId="33A95C97" w:rsidR="00D54208" w:rsidRPr="009278EB" w:rsidRDefault="00D54208" w:rsidP="00D54208">
      <w:pPr>
        <w:pStyle w:val="Heading4"/>
        <w:rPr>
          <w:szCs w:val="26"/>
        </w:rPr>
      </w:pPr>
      <w:r w:rsidRPr="009278EB">
        <w:rPr>
          <w:szCs w:val="26"/>
        </w:rPr>
        <w:t xml:space="preserve">Medicare for all would make people healthier, causing greater workforce </w:t>
      </w:r>
      <w:proofErr w:type="gramStart"/>
      <w:r w:rsidRPr="009278EB">
        <w:rPr>
          <w:szCs w:val="26"/>
        </w:rPr>
        <w:t>wellbeing</w:t>
      </w:r>
      <w:proofErr w:type="gramEnd"/>
    </w:p>
    <w:p w14:paraId="70C3CA33" w14:textId="77777777" w:rsidR="00D54208" w:rsidRPr="00DD2D90" w:rsidRDefault="00D54208" w:rsidP="00D54208">
      <w:r w:rsidRPr="009278EB">
        <w:rPr>
          <w:b/>
          <w:bCs/>
          <w:sz w:val="26"/>
          <w:szCs w:val="26"/>
        </w:rPr>
        <w:t>Tolbert et al. 24</w:t>
      </w:r>
      <w:r w:rsidRPr="00DD2D90">
        <w:rPr>
          <w:b/>
          <w:bCs/>
        </w:rPr>
        <w:t xml:space="preserve"> </w:t>
      </w:r>
      <w:r w:rsidRPr="00DD2D90">
        <w:t>[Jennifer Tolbert, deputy director of the Program on Medicaid and the Uninsured and the director of State Health Policy and Data, 12-18-2024, “Key Facts about the Uninsured Population,” KFF, https://www.kff.org/uninsured/key-facts-about-the-uninsured-population/]/Kankee</w:t>
      </w:r>
    </w:p>
    <w:p w14:paraId="2230EFF4" w14:textId="77777777" w:rsidR="00D54208" w:rsidRPr="009278EB" w:rsidRDefault="00D54208" w:rsidP="00D54208">
      <w:pPr>
        <w:rPr>
          <w:sz w:val="16"/>
        </w:rPr>
      </w:pPr>
      <w:r w:rsidRPr="009278EB">
        <w:rPr>
          <w:sz w:val="16"/>
        </w:rPr>
        <w:t xml:space="preserve">The </w:t>
      </w:r>
      <w:r w:rsidRPr="00DD2D90">
        <w:rPr>
          <w:u w:val="single"/>
        </w:rPr>
        <w:t>pandemic-era coverage policies</w:t>
      </w:r>
      <w:r w:rsidRPr="009278EB">
        <w:rPr>
          <w:sz w:val="16"/>
        </w:rPr>
        <w:t xml:space="preserve">, including the Medicaid continuous enrollment provision and the enhanced Marketplace subsidies, </w:t>
      </w:r>
      <w:r w:rsidRPr="00DD2D90">
        <w:rPr>
          <w:u w:val="single"/>
        </w:rPr>
        <w:t>continued to impact health coverage in the U.S. in 2023</w:t>
      </w:r>
      <w:r w:rsidRPr="009278EB">
        <w:rPr>
          <w:sz w:val="16"/>
        </w:rPr>
        <w:t xml:space="preserve">. During the pandemic, the coverage expansions put in place by the Affordable Care Act (ACA), including Medicaid expansion and subsidized Marketplace coverage, served as a safety net for people who experienced economic and coverage disruptions. Gains in Medicaid and Marketplace coverage contributed to significant declines in the uninsured rate through 2022. Although states began the process of unwinding continuous enrollment in Medicaid in April 2023 and resumed disenrolling people from Medicaid, the full effect of Medicaid disenrollments were not felt in 2023. In addition, the enhanced Marketplace subsidies, which were extended through 2025, remained in place. Both these factors contributed to maintaining most of the coverage gains experienced during the pandemic period in 2023.  </w:t>
      </w:r>
      <w:r w:rsidRPr="00DD2D90">
        <w:rPr>
          <w:u w:val="single"/>
        </w:rPr>
        <w:t>This</w:t>
      </w:r>
      <w:r w:rsidRPr="009278EB">
        <w:rPr>
          <w:sz w:val="16"/>
        </w:rPr>
        <w:t xml:space="preserve"> issue </w:t>
      </w:r>
      <w:r w:rsidRPr="00DD2D90">
        <w:rPr>
          <w:u w:val="single"/>
        </w:rPr>
        <w:t>brief describes trends in health coverage in 2023</w:t>
      </w:r>
      <w:r w:rsidRPr="009278EB">
        <w:rPr>
          <w:sz w:val="16"/>
        </w:rPr>
        <w:t xml:space="preserve">, examines the characteristics of the uninsured population ages 0-64, and summarizes the access and financial implications of not having coverage. Using data from the American Community Survey (ACS), this analysis examines changes in health coverage from 2022 to 2023 and compares data for 2023 to data for 2019 to report on coverage trends during the pandemic and through the start of the unwinding of the Medicaid continuous enrollment provision. Because of disruptions in data collection during the pandemic, the Census Bureau did not release 1-year ACS estimates in 2020. The analysis focuses on coverage among people ages 0-64 since Medicare offers near universal coverage for people ages 65 and older, with just 457,000, or less than 1%, of people over age 65 uninsured.  Key Takeaways How many people are uninsured: </w:t>
      </w:r>
      <w:r w:rsidRPr="00DD2D90">
        <w:rPr>
          <w:u w:val="single"/>
        </w:rPr>
        <w:t xml:space="preserve">Despite the unwinding of the Medicaid continuous enrollment provision that began in April 2023, the </w:t>
      </w:r>
      <w:r w:rsidRPr="00DD2D90">
        <w:rPr>
          <w:highlight w:val="green"/>
          <w:u w:val="single"/>
        </w:rPr>
        <w:t>number of people</w:t>
      </w:r>
      <w:r w:rsidRPr="009278EB">
        <w:rPr>
          <w:sz w:val="16"/>
        </w:rPr>
        <w:t xml:space="preserve"> ages 0-64 who were </w:t>
      </w:r>
      <w:r w:rsidRPr="00DD2D90">
        <w:rPr>
          <w:highlight w:val="green"/>
          <w:u w:val="single"/>
        </w:rPr>
        <w:t>uninsured</w:t>
      </w:r>
      <w:r w:rsidRPr="00DD2D90">
        <w:rPr>
          <w:u w:val="single"/>
        </w:rPr>
        <w:t xml:space="preserve"> held steady </w:t>
      </w:r>
      <w:r w:rsidRPr="00DD2D90">
        <w:rPr>
          <w:highlight w:val="green"/>
          <w:u w:val="single"/>
        </w:rPr>
        <w:t xml:space="preserve">at 25.3 million </w:t>
      </w:r>
      <w:r w:rsidRPr="009278EB">
        <w:rPr>
          <w:sz w:val="16"/>
        </w:rPr>
        <w:t xml:space="preserve">in 2023. However, the </w:t>
      </w:r>
      <w:r w:rsidRPr="00DD2D90">
        <w:rPr>
          <w:highlight w:val="green"/>
          <w:u w:val="single"/>
        </w:rPr>
        <w:t>number of uninsured children increased</w:t>
      </w:r>
      <w:r w:rsidRPr="009278EB">
        <w:rPr>
          <w:sz w:val="16"/>
        </w:rPr>
        <w:t xml:space="preserve"> from 3.8 million in 2022 to 4.0 million in 2023. Compared to 2019, the number of people who were uninsured declined by 3.6 million. Who is uninsured: </w:t>
      </w:r>
      <w:r w:rsidRPr="00DD2D90">
        <w:rPr>
          <w:highlight w:val="green"/>
          <w:u w:val="single"/>
        </w:rPr>
        <w:t>Most uninsured people</w:t>
      </w:r>
      <w:r w:rsidRPr="009278EB">
        <w:rPr>
          <w:sz w:val="16"/>
        </w:rPr>
        <w:t xml:space="preserve"> are in low-income families and </w:t>
      </w:r>
      <w:r w:rsidRPr="00DD2D90">
        <w:rPr>
          <w:highlight w:val="green"/>
          <w:u w:val="single"/>
        </w:rPr>
        <w:t>have at least one worker in the family</w:t>
      </w:r>
      <w:r w:rsidRPr="009278EB">
        <w:rPr>
          <w:sz w:val="16"/>
        </w:rPr>
        <w:t>. Reflecting the more limited availability of public coverage in some states, adults ages 19-64 are more likely to be uninsured than children.</w:t>
      </w:r>
      <w:r w:rsidRPr="00DD2D90">
        <w:rPr>
          <w:u w:val="single"/>
        </w:rPr>
        <w:t xml:space="preserve"> Despite gains across groups over time, racial and ethnic disparities in coverage persist. </w:t>
      </w:r>
      <w:r w:rsidRPr="009278EB">
        <w:rPr>
          <w:sz w:val="16"/>
        </w:rPr>
        <w:t xml:space="preserve">Why are people uninsured: Many uninsured people cite the </w:t>
      </w:r>
      <w:r w:rsidRPr="00DD2D90">
        <w:rPr>
          <w:highlight w:val="green"/>
          <w:u w:val="single"/>
        </w:rPr>
        <w:t>high cost of insurance as the main reason they lack coverage</w:t>
      </w:r>
      <w:r w:rsidRPr="009278EB">
        <w:rPr>
          <w:sz w:val="16"/>
        </w:rPr>
        <w:t xml:space="preserve">. In 2023, 63% of uninsured adults ages 18-64 said that they were uninsured because the cost of coverage was too high. </w:t>
      </w:r>
      <w:r w:rsidRPr="00DD2D90">
        <w:rPr>
          <w:highlight w:val="green"/>
          <w:u w:val="single"/>
        </w:rPr>
        <w:t>Many</w:t>
      </w:r>
      <w:r w:rsidRPr="00DD2D90">
        <w:rPr>
          <w:u w:val="single"/>
        </w:rPr>
        <w:t xml:space="preserve"> uninsured people </w:t>
      </w:r>
      <w:r w:rsidRPr="00DD2D90">
        <w:rPr>
          <w:highlight w:val="green"/>
          <w:u w:val="single"/>
        </w:rPr>
        <w:t>do not have access to coverage through a job</w:t>
      </w:r>
      <w:r w:rsidRPr="009278EB">
        <w:rPr>
          <w:sz w:val="16"/>
        </w:rPr>
        <w:t xml:space="preserve">, and some people, particularly poor adults in states that have not expanded Medicaid, remain ineligible for financial assistance for coverage. Although over half of </w:t>
      </w:r>
      <w:r w:rsidRPr="00DD2D90">
        <w:rPr>
          <w:u w:val="single"/>
        </w:rPr>
        <w:t>people</w:t>
      </w:r>
      <w:r w:rsidRPr="009278EB">
        <w:rPr>
          <w:sz w:val="16"/>
        </w:rPr>
        <w:t xml:space="preserve"> who are uninsured may be </w:t>
      </w:r>
      <w:r w:rsidRPr="00DD2D90">
        <w:rPr>
          <w:u w:val="single"/>
        </w:rPr>
        <w:t>eligible for Medicaid</w:t>
      </w:r>
      <w:r w:rsidRPr="009278EB">
        <w:rPr>
          <w:sz w:val="16"/>
        </w:rPr>
        <w:t xml:space="preserve"> or subsidized coverage in the Marketplaces, they </w:t>
      </w:r>
      <w:r w:rsidRPr="00DD2D90">
        <w:rPr>
          <w:u w:val="single"/>
        </w:rPr>
        <w:t>may not be aware of</w:t>
      </w:r>
      <w:r w:rsidRPr="009278EB">
        <w:rPr>
          <w:sz w:val="16"/>
        </w:rPr>
        <w:t xml:space="preserve"> these </w:t>
      </w:r>
      <w:r w:rsidRPr="00DD2D90">
        <w:rPr>
          <w:u w:val="single"/>
        </w:rPr>
        <w:t>coverage options or may face barriers to enrolling.</w:t>
      </w:r>
      <w:r w:rsidRPr="009278EB">
        <w:rPr>
          <w:sz w:val="16"/>
        </w:rPr>
        <w:t xml:space="preserve"> In some cases, even with subsidies, Marketplace coverage may not be affordable. How does not having coverage affect health care access: </w:t>
      </w:r>
      <w:r w:rsidRPr="00DD2D90">
        <w:rPr>
          <w:highlight w:val="green"/>
          <w:u w:val="single"/>
        </w:rPr>
        <w:t>People without insurance coverage are less likely</w:t>
      </w:r>
      <w:r w:rsidRPr="009278EB">
        <w:rPr>
          <w:sz w:val="16"/>
        </w:rPr>
        <w:t xml:space="preserve"> </w:t>
      </w:r>
      <w:r w:rsidRPr="00DD2D90">
        <w:rPr>
          <w:highlight w:val="green"/>
          <w:u w:val="single"/>
        </w:rPr>
        <w:t>to access care and more likely to delay</w:t>
      </w:r>
      <w:r w:rsidRPr="009278EB">
        <w:rPr>
          <w:sz w:val="16"/>
        </w:rPr>
        <w:t xml:space="preserve"> or forgo </w:t>
      </w:r>
      <w:r w:rsidRPr="00DD2D90">
        <w:rPr>
          <w:highlight w:val="green"/>
          <w:u w:val="single"/>
        </w:rPr>
        <w:t>care because of costs</w:t>
      </w:r>
      <w:r w:rsidRPr="009278EB">
        <w:rPr>
          <w:sz w:val="16"/>
        </w:rPr>
        <w:t xml:space="preserve">. Although difficult to establish direct causality, </w:t>
      </w:r>
      <w:r w:rsidRPr="00DD2D90">
        <w:rPr>
          <w:highlight w:val="green"/>
          <w:u w:val="single"/>
        </w:rPr>
        <w:t>research has linked Medicaid expansion to improved health outcomes, including lower mortality rates</w:t>
      </w:r>
      <w:r w:rsidRPr="00DD2D90">
        <w:rPr>
          <w:u w:val="single"/>
        </w:rPr>
        <w:t xml:space="preserve"> from cancer, cardiovascular disease, liver disease, and maternal mortality. What are the financial implications of being uninsured: </w:t>
      </w:r>
      <w:r w:rsidRPr="00DD2D90">
        <w:rPr>
          <w:highlight w:val="green"/>
          <w:u w:val="single"/>
        </w:rPr>
        <w:t>Uninsured people often face unaffordable medical bills when they do seek care</w:t>
      </w:r>
      <w:r w:rsidRPr="009278EB">
        <w:rPr>
          <w:sz w:val="16"/>
        </w:rPr>
        <w:t xml:space="preserve">. Nearly half (49%) of uninsured </w:t>
      </w:r>
      <w:r w:rsidRPr="00DD2D90">
        <w:rPr>
          <w:highlight w:val="green"/>
          <w:u w:val="single"/>
        </w:rPr>
        <w:t>adults</w:t>
      </w:r>
      <w:r w:rsidRPr="009278EB">
        <w:rPr>
          <w:sz w:val="16"/>
        </w:rPr>
        <w:t xml:space="preserve"> say they </w:t>
      </w:r>
      <w:r w:rsidRPr="00DD2D90">
        <w:rPr>
          <w:highlight w:val="green"/>
          <w:u w:val="single"/>
        </w:rPr>
        <w:t>have difficulty affording</w:t>
      </w:r>
      <w:r w:rsidRPr="009278EB">
        <w:rPr>
          <w:sz w:val="16"/>
        </w:rPr>
        <w:t xml:space="preserve"> health care </w:t>
      </w:r>
      <w:r w:rsidRPr="00DD2D90">
        <w:rPr>
          <w:highlight w:val="green"/>
          <w:u w:val="single"/>
        </w:rPr>
        <w:t>costs</w:t>
      </w:r>
      <w:r w:rsidRPr="009278EB">
        <w:rPr>
          <w:sz w:val="16"/>
        </w:rPr>
        <w:t xml:space="preserve">, more than double the share of those with private insurance (21%). </w:t>
      </w:r>
      <w:r w:rsidRPr="00DD2D90">
        <w:rPr>
          <w:highlight w:val="green"/>
          <w:u w:val="single"/>
        </w:rPr>
        <w:t>These costs can quickly translate into medical debt</w:t>
      </w:r>
      <w:r w:rsidRPr="009278EB">
        <w:rPr>
          <w:sz w:val="16"/>
        </w:rPr>
        <w:t xml:space="preserve"> since most people who are uninsured have low or moderate incomes and have little, if any, savings.</w:t>
      </w:r>
      <w:r w:rsidRPr="00DD2D90">
        <w:rPr>
          <w:u w:val="single"/>
        </w:rPr>
        <w:t xml:space="preserve"> More than six in ten (62%) uninsured adults report having health care debt compared to over four in ten (44%) insured adults. </w:t>
      </w:r>
      <w:r w:rsidRPr="009278EB">
        <w:rPr>
          <w:sz w:val="16"/>
        </w:rPr>
        <w:t xml:space="preserve">Although coverage rates for the overall population ages 0-64 held steady in 2023, future changes to Medicaid and Marketplace coverage could have a significant impact on health coverage. Proposals that would alter how Medicaid is financed or that would impose work requirements on certain adults enrolled in the program would likely lead to a loss of Medicaid coverage. Moreover, the temporary enhanced Marketplace subsidies will expire after 2025 unless Congress acts. Without a permanent extension, the Congressional Budget Office estimates that the number of uninsured people will increase by 3.8 million, on average, in each year from 2026 to 2034. The combined Medicaid and Marketplace coverage losses could lead to a sizable increase in the number of people who are uninsured. In turn, the loss of coverage could have implications for access to care and financial stability associated with having health coverage and could lead to a worsening of disparities in health outcomes. </w:t>
      </w:r>
    </w:p>
    <w:p w14:paraId="3902C955" w14:textId="5A4C1CEE" w:rsidR="0082453E" w:rsidRPr="009278EB" w:rsidRDefault="0082453E" w:rsidP="0082453E">
      <w:pPr>
        <w:pStyle w:val="Heading4"/>
        <w:rPr>
          <w:szCs w:val="26"/>
        </w:rPr>
      </w:pPr>
      <w:bookmarkStart w:id="38" w:name="_m2lu1jrlw1fh" w:colFirst="0" w:colLast="0"/>
      <w:bookmarkEnd w:id="38"/>
      <w:r w:rsidRPr="009278EB">
        <w:rPr>
          <w:szCs w:val="26"/>
        </w:rPr>
        <w:t>Public healthcare encourages innovation – prefer our meta-analysis of the entire literature base</w:t>
      </w:r>
    </w:p>
    <w:p w14:paraId="3AF298DF" w14:textId="77777777" w:rsidR="0082453E" w:rsidRPr="00DD2D90" w:rsidRDefault="0082453E" w:rsidP="0082453E">
      <w:r w:rsidRPr="009278EB">
        <w:rPr>
          <w:b/>
          <w:bCs/>
          <w:sz w:val="26"/>
          <w:szCs w:val="26"/>
        </w:rPr>
        <w:t>Fan 23</w:t>
      </w:r>
      <w:r w:rsidRPr="00DD2D90">
        <w:t xml:space="preserve"> [Chenchen Fan, researcher at the Shanghai International College of Intellectual Property, Xiaoting Song, researcher at the Shanghai International College of Intellectual Property, Chunyan Li, researcher at the Shanghai International College of Intellectual Property, 2023, "The Relationship between Health Insurance and Pharmaceutical Innovation: An Empirical Study Based on Meta-Analysis", PubMed Central, https://pmc.ncbi.nlm.nih.gov/articles/PMC10671039/]/Kankee</w:t>
      </w:r>
    </w:p>
    <w:p w14:paraId="07DF786F" w14:textId="77777777" w:rsidR="0082453E" w:rsidRPr="009278EB" w:rsidRDefault="0082453E" w:rsidP="0082453E">
      <w:pPr>
        <w:rPr>
          <w:sz w:val="16"/>
        </w:rPr>
      </w:pPr>
      <w:r w:rsidRPr="009278EB">
        <w:rPr>
          <w:sz w:val="16"/>
        </w:rPr>
        <w:t xml:space="preserve">Abstract The growing research interest in the relationship between health insurance and pharmaceutical innovation is driven by their significant impact on healthcare optimization and pharmaceutical development. The existing literature, however, lacks consensus on this relationship and provides no evidence of the magnitude of a correlation. In this context, this study employs meta-analysis to explore the extent to which health insurance affects pharmaceutical innovation. It analyzes 202 observations from 14 independent research samples, using the regression coefficient of health insurance on pharmaceutical innovation as the effect size. The results reveal that </w:t>
      </w:r>
      <w:r w:rsidRPr="00DD2D90">
        <w:rPr>
          <w:rStyle w:val="StyleUnderline"/>
        </w:rPr>
        <w:t>there is a strong positive correlation between health insurance and pharmaceutical innovation</w:t>
      </w:r>
      <w:r w:rsidRPr="009278EB">
        <w:rPr>
          <w:sz w:val="16"/>
        </w:rPr>
        <w:t xml:space="preserve"> (r = 0.367, 95% CI = [0.294, 0.436]). </w:t>
      </w:r>
      <w:r w:rsidRPr="00DD2D90">
        <w:rPr>
          <w:rStyle w:val="StyleUnderline"/>
        </w:rPr>
        <w:t>Public health insurance exhibits a stronger promoting effect on pharmaceutical innovation than commercial health insurance.</w:t>
      </w:r>
      <w:r w:rsidRPr="009278EB">
        <w:rPr>
          <w:sz w:val="16"/>
        </w:rPr>
        <w:t xml:space="preserve"> The relationship between health insurance and pharmaceutical innovation is moderated by the country of sample origin, data range, journal type, journal impact factor, type of health insurance, and research perspective. Our research findings further elucidate the relationship mechanism between health insurance and pharmaceutical innovation, providing a valuable reference for future explorations in pharmaceutical fields. 1. Introduction As one of the crucial strategies for achieving social equality in the healthcare system, health insurance contributes to improving the accessibility of healthcare services and essential medicines, thus safeguarding the basic rights to life for residents and achieving universal health goals [1,2,3,4,5,6]. </w:t>
      </w:r>
      <w:r w:rsidRPr="00DD2D90">
        <w:rPr>
          <w:rStyle w:val="StyleUnderline"/>
        </w:rPr>
        <w:t>Health insurance</w:t>
      </w:r>
      <w:r w:rsidRPr="009278EB">
        <w:rPr>
          <w:sz w:val="16"/>
        </w:rPr>
        <w:t xml:space="preserve"> exerts a direct influence on investment in the pharmaceutical industry and </w:t>
      </w:r>
      <w:r w:rsidRPr="00DD2D90">
        <w:rPr>
          <w:rStyle w:val="StyleUnderline"/>
        </w:rPr>
        <w:t>drives innovation by actively promoting the utilization of drugs</w:t>
      </w:r>
      <w:r w:rsidRPr="009278EB">
        <w:rPr>
          <w:sz w:val="16"/>
        </w:rPr>
        <w:t xml:space="preserve"> </w:t>
      </w:r>
      <w:r w:rsidRPr="00DD2D90">
        <w:rPr>
          <w:rStyle w:val="StyleUnderline"/>
        </w:rPr>
        <w:t>and medical services</w:t>
      </w:r>
      <w:r w:rsidRPr="009278EB">
        <w:rPr>
          <w:sz w:val="16"/>
        </w:rPr>
        <w:t xml:space="preserve"> [7,8,9,10]. Health insurance is vital for pharmaceutical innovation by ensuring access to necessary medications. Pharmaceutical innovation refers to the discovery and development of new drugs through scientific research, drug design, preclinical testing, and clinical trials [11]. It involves understanding the molecular mechanisms of diseases, identifying potential drug targets, and creating new chemical entities that can effectively treat, prevent, or manage various diseases. Pharmaceutical innovation helps to improve the overall efficiency of health insurance systems and population health outcomes by providing patients with access to more effective and safer treatment options and enables healthcare systems to deliver personalized and cost-effective care [12,13]. It reduces financial barriers and incentivizes pharmaceutical companies to invest in research and development. In effect, </w:t>
      </w:r>
      <w:r w:rsidRPr="00DD2D90">
        <w:rPr>
          <w:rStyle w:val="StyleUnderline"/>
        </w:rPr>
        <w:t xml:space="preserve">health insurance bridges the gap between affordability and medical breakthroughs, fostering a thriving market that encourages innovation. </w:t>
      </w:r>
      <w:r w:rsidRPr="009278EB">
        <w:rPr>
          <w:sz w:val="16"/>
        </w:rPr>
        <w:t xml:space="preserve">While some have suggested that changes in health insurance coverage can have a positive impact on pharmaceutical innovation [14,15,16], empirical research has produced varied and even conflicting results, including positive correlation, negative correlation, and no correlation [17,18,19]. In general, there has not been a consensus in academic circles on the correlation between health insurance and pharmaceutical innovation. The mixed results of these studies might be due to the fact that diverse attributes have been investigated in the different studies. However, these attributes seem to have a rather different impact and might cause high variability and uncertainty in cases when a health insurance strategy is implemented. Moreover, previous research only focused on whether health insurance impacts pharmaceutical innovation while neglecting the magnitude of the correlation between health insurance and pharmaceutical innovation. This leaves policymakers and other decision-makers with little direct evidence about the ultimate magnitude of the effect of policies on pharmaceutical innovation. Therefore, it is critical to understand the effect size of health insurance on pharmaceutical innovation if we are to design insurance policies in a manner that ensures the greatest expected health benefits for both current and future patients. To fill the above research gaps, our objective is to contribute several new insights into the relationship between health insurance and pharmaceutical innovation. It aims to answer the following questions: First, does health insurance impact pharmaceutical innovation? Second, what is the magnitude of the correlation between health insurance on pharmaceutical innovation? Third, why do existing research results differ? </w:t>
      </w:r>
      <w:r w:rsidRPr="00DD2D90">
        <w:rPr>
          <w:rStyle w:val="StyleUnderline"/>
          <w:highlight w:val="green"/>
        </w:rPr>
        <w:t>A single</w:t>
      </w:r>
      <w:r w:rsidRPr="00DD2D90">
        <w:rPr>
          <w:rStyle w:val="StyleUnderline"/>
        </w:rPr>
        <w:t xml:space="preserve"> empirical </w:t>
      </w:r>
      <w:r w:rsidRPr="00DD2D90">
        <w:rPr>
          <w:rStyle w:val="StyleUnderline"/>
          <w:highlight w:val="green"/>
        </w:rPr>
        <w:t xml:space="preserve">study may encounter issues with </w:t>
      </w:r>
      <w:r w:rsidRPr="00DD2D90">
        <w:rPr>
          <w:rStyle w:val="Emphasis"/>
          <w:highlight w:val="green"/>
        </w:rPr>
        <w:t>sampling</w:t>
      </w:r>
      <w:r w:rsidRPr="00DD2D90">
        <w:rPr>
          <w:rStyle w:val="StyleUnderline"/>
          <w:highlight w:val="green"/>
        </w:rPr>
        <w:t xml:space="preserve">, </w:t>
      </w:r>
      <w:r w:rsidRPr="00DD2D90">
        <w:rPr>
          <w:rStyle w:val="Emphasis"/>
          <w:highlight w:val="green"/>
        </w:rPr>
        <w:t>measurement</w:t>
      </w:r>
      <w:r w:rsidRPr="00DD2D90">
        <w:rPr>
          <w:rStyle w:val="StyleUnderline"/>
          <w:highlight w:val="green"/>
        </w:rPr>
        <w:t xml:space="preserve">, </w:t>
      </w:r>
      <w:r w:rsidRPr="00DD2D90">
        <w:rPr>
          <w:rStyle w:val="Emphasis"/>
          <w:highlight w:val="green"/>
        </w:rPr>
        <w:t>stochasticity</w:t>
      </w:r>
      <w:r w:rsidRPr="00DD2D90">
        <w:rPr>
          <w:rStyle w:val="StyleUnderline"/>
          <w:highlight w:val="green"/>
        </w:rPr>
        <w:t xml:space="preserve">, and </w:t>
      </w:r>
      <w:r w:rsidRPr="00DD2D90">
        <w:rPr>
          <w:rStyle w:val="Emphasis"/>
          <w:highlight w:val="green"/>
        </w:rPr>
        <w:t>external validity</w:t>
      </w:r>
      <w:r w:rsidRPr="00DD2D90">
        <w:rPr>
          <w:rStyle w:val="StyleUnderline"/>
        </w:rPr>
        <w:t>.</w:t>
      </w:r>
      <w:r w:rsidRPr="009278EB">
        <w:rPr>
          <w:sz w:val="16"/>
        </w:rPr>
        <w:t xml:space="preserve"> However, a comprehensive and systematic analysis of the health insurance–pharmaceutical innovation relationship, to our best knowledge, has not been undertaken. </w:t>
      </w:r>
      <w:r w:rsidRPr="00DD2D90">
        <w:rPr>
          <w:rStyle w:val="StyleUnderline"/>
          <w:highlight w:val="green"/>
        </w:rPr>
        <w:t>Meta-analysis has a</w:t>
      </w:r>
      <w:r w:rsidRPr="00DD2D90">
        <w:rPr>
          <w:rStyle w:val="StyleUnderline"/>
        </w:rPr>
        <w:t xml:space="preserve"> rigorous and </w:t>
      </w:r>
      <w:r w:rsidRPr="00DD2D90">
        <w:rPr>
          <w:rStyle w:val="StyleUnderline"/>
          <w:highlight w:val="green"/>
        </w:rPr>
        <w:t>systematic calculation</w:t>
      </w:r>
      <w:r w:rsidRPr="00DD2D90">
        <w:rPr>
          <w:rStyle w:val="StyleUnderline"/>
        </w:rPr>
        <w:t xml:space="preserve"> procedure </w:t>
      </w:r>
      <w:r w:rsidRPr="00DD2D90">
        <w:rPr>
          <w:rStyle w:val="StyleUnderline"/>
          <w:highlight w:val="green"/>
        </w:rPr>
        <w:t>to aggregate</w:t>
      </w:r>
      <w:r w:rsidRPr="00DD2D90">
        <w:rPr>
          <w:rStyle w:val="StyleUnderline"/>
        </w:rPr>
        <w:t xml:space="preserve"> </w:t>
      </w:r>
      <w:r w:rsidRPr="00DD2D90">
        <w:rPr>
          <w:rStyle w:val="StyleUnderline"/>
          <w:highlight w:val="green"/>
        </w:rPr>
        <w:t>prior</w:t>
      </w:r>
      <w:r w:rsidRPr="00DD2D90">
        <w:rPr>
          <w:rStyle w:val="StyleUnderline"/>
        </w:rPr>
        <w:t xml:space="preserve"> empirical </w:t>
      </w:r>
      <w:r w:rsidRPr="00DD2D90">
        <w:rPr>
          <w:rStyle w:val="StyleUnderline"/>
          <w:highlight w:val="green"/>
        </w:rPr>
        <w:t>studies</w:t>
      </w:r>
      <w:r w:rsidRPr="00DD2D90">
        <w:rPr>
          <w:rStyle w:val="StyleUnderline"/>
        </w:rPr>
        <w:t>, so it can overcome the limitations in a single empirical study and address contentious conclusions</w:t>
      </w:r>
      <w:r w:rsidRPr="009278EB">
        <w:rPr>
          <w:sz w:val="16"/>
        </w:rPr>
        <w:t xml:space="preserve"> [20,21]. It evaluates the heterogeneity, publication bias, and genuine effects of existing studies, thereby augmenting the value and scientific rigor of research and surmounting the limitations associated with qualitative methods. As a result, </w:t>
      </w:r>
      <w:r w:rsidRPr="00DD2D90">
        <w:rPr>
          <w:rStyle w:val="StyleUnderline"/>
          <w:highlight w:val="green"/>
        </w:rPr>
        <w:t xml:space="preserve">it provides </w:t>
      </w:r>
      <w:r w:rsidRPr="00DD2D90">
        <w:rPr>
          <w:rStyle w:val="Emphasis"/>
          <w:highlight w:val="green"/>
        </w:rPr>
        <w:t>more accurate</w:t>
      </w:r>
      <w:r w:rsidRPr="00DD2D90">
        <w:rPr>
          <w:rStyle w:val="StyleUnderline"/>
          <w:highlight w:val="green"/>
        </w:rPr>
        <w:t xml:space="preserve"> and robust research</w:t>
      </w:r>
      <w:r w:rsidRPr="00DD2D90">
        <w:rPr>
          <w:rStyle w:val="StyleUnderline"/>
        </w:rPr>
        <w:t xml:space="preserve"> conclusions, objectively explaining research differences to compensate for the deficiencies of narrative literature reviews</w:t>
      </w:r>
      <w:r w:rsidRPr="009278EB">
        <w:rPr>
          <w:sz w:val="16"/>
        </w:rPr>
        <w:t xml:space="preserve">. Additionally, it offers more valuable references for subsequent research [22]. Specifically, this study would identify a more objective presentation of the relationship and the magnitude of a correlation between health insurance and pharmaceutical innovation by systematically summarizing empirical research, conducting statistical re-analysis, and obtaining stage-specific conclusions with a low error and high reliability. Furthermore, we seek to explore the factors contributing to the variations in conclusions regarding the effects of health insurance on innovation. Various moderating factors, such as sample selection, variable characteristics, and literature features are investigated to comprehensively analyze the situations in which medical insurance has different effects on pharmaceutical innovation. The research findings of this study partially reflect the average impact of medical insurance on pharmaceutical innovation. Further to this, these findings make a valuable contribution to the development of conclusive and comprehensive scientific knowledge in this field, offering scientific evidence to support the formulation of health insurance policies. 2. Hypotheses Development 2.1. The Impact of Health Insurance on Pharmaceutical Innovation Scholars have extensively researched the impact of health insurance on pharmaceutical innovation. Among these studies, there is a large amount of empirical evidence that supports the promotion of pharmaceutical innovation by medical insurance [14,15,16,23,24]. Patent applications, R&amp;D investment, and clinical trials are commonly used to measure pharmaceutical innovation. Patents remain the primary method of protecting innovation in the pharmaceutical industry compared to other research-intensive sectors [25]. Developing new drugs requires R&amp;D investments and multiple clinical trials approvals. Prior </w:t>
      </w:r>
      <w:r w:rsidRPr="00DD2D90">
        <w:rPr>
          <w:rStyle w:val="StyleUnderline"/>
        </w:rPr>
        <w:t>study has shown that firms’ R&amp;D investments increase upon implementation of Medicare Part D</w:t>
      </w:r>
      <w:r w:rsidRPr="009278EB">
        <w:rPr>
          <w:sz w:val="16"/>
        </w:rPr>
        <w:t xml:space="preserve"> (prescription drug insurance) [26]. According to Blume-Kohout’s study, the implementation of Medicare Part D promotes drug innovation (measured by the number of clinical trials) </w:t>
      </w:r>
      <w:r w:rsidRPr="00DD2D90">
        <w:rPr>
          <w:rStyle w:val="StyleUnderline"/>
        </w:rPr>
        <w:t>through heightened drug utilization among the elderly population</w:t>
      </w:r>
      <w:r w:rsidRPr="009278EB">
        <w:rPr>
          <w:sz w:val="16"/>
        </w:rPr>
        <w:t xml:space="preserve"> [16]. Opposing views have been proposed by some scholars. For instance, Peltzman believes that the strict government regulations and price controls on drugs covered by medical insurance policies have led to reduced efficiency, and prolonged the time for drug approval and market entry, thereby dampening companies’ enthusiasm for technological innovation [27]. In addition, critics argued that more generous health insurance coverage policies create perverse incentives for firms to develop expensive products with minimal incremental clinical value [28,29,30]. Despite the lack of consensus within the academic community regarding the relationship between health insurance and pharmaceutical innovation, strengthening health insurance coverage is an often-used lever through which policymakers can improve patients’ access to prescription drugs [31]. The demand-induced innovation theory believes that </w:t>
      </w:r>
      <w:r w:rsidRPr="00DD2D90">
        <w:rPr>
          <w:rStyle w:val="StyleUnderline"/>
          <w:highlight w:val="green"/>
        </w:rPr>
        <w:t>innovation is driven by</w:t>
      </w:r>
      <w:r w:rsidRPr="00DD2D90">
        <w:rPr>
          <w:rStyle w:val="StyleUnderline"/>
        </w:rPr>
        <w:t xml:space="preserve"> market </w:t>
      </w:r>
      <w:r w:rsidRPr="00DD2D90">
        <w:rPr>
          <w:rStyle w:val="StyleUnderline"/>
          <w:highlight w:val="green"/>
        </w:rPr>
        <w:t>demand</w:t>
      </w:r>
      <w:r w:rsidRPr="009278EB">
        <w:rPr>
          <w:sz w:val="16"/>
        </w:rPr>
        <w:t xml:space="preserve"> [32,33,34]. Potential market demand not only serves as a ‘direct incentive mechanism’ for innovation entities to engage in innovation but also indirectly incentivizes technological innovation by </w:t>
      </w:r>
      <w:r w:rsidRPr="00DD2D90">
        <w:rPr>
          <w:rStyle w:val="StyleUnderline"/>
          <w:highlight w:val="green"/>
        </w:rPr>
        <w:t>reducing the uncertainty of expected profits and operational</w:t>
      </w:r>
      <w:r w:rsidRPr="00DD2D90">
        <w:rPr>
          <w:rStyle w:val="StyleUnderline"/>
        </w:rPr>
        <w:t xml:space="preserve"> </w:t>
      </w:r>
      <w:r w:rsidRPr="00DD2D90">
        <w:rPr>
          <w:rStyle w:val="StyleUnderline"/>
          <w:highlight w:val="green"/>
        </w:rPr>
        <w:t>risks</w:t>
      </w:r>
      <w:r w:rsidRPr="009278EB">
        <w:rPr>
          <w:sz w:val="16"/>
        </w:rPr>
        <w:t xml:space="preserve">. Therefore, based on the demand-induced innovation theory, this paper provides an explanatory framework for the impact of medical insurance on pharmaceutical innovation from several perspectives. At the macro level, </w:t>
      </w:r>
      <w:r w:rsidRPr="00DD2D90">
        <w:rPr>
          <w:rStyle w:val="StyleUnderline"/>
        </w:rPr>
        <w:t>expanding the scope of the medical insurance</w:t>
      </w:r>
      <w:r w:rsidRPr="009278EB">
        <w:rPr>
          <w:sz w:val="16"/>
        </w:rPr>
        <w:t xml:space="preserve"> catalog to improve patient’s access to drugs is a common means employed by decision-makers [35]. The expansion of the coverage scope of medical insurance </w:t>
      </w:r>
      <w:r w:rsidRPr="00DD2D90">
        <w:rPr>
          <w:rStyle w:val="StyleUnderline"/>
        </w:rPr>
        <w:t>can induce innovation through the enlargement of the market size</w:t>
      </w:r>
      <w:r w:rsidRPr="009278EB">
        <w:rPr>
          <w:sz w:val="16"/>
        </w:rPr>
        <w:t xml:space="preserve"> [34]. In addition, </w:t>
      </w:r>
      <w:r w:rsidRPr="00DD2D90">
        <w:rPr>
          <w:rStyle w:val="StyleUnderline"/>
        </w:rPr>
        <w:t>medical insurance policies indirectly drive pharmaceutical innovation by influencing the allocation of medical resources</w:t>
      </w:r>
      <w:r w:rsidRPr="009278EB">
        <w:rPr>
          <w:sz w:val="16"/>
        </w:rPr>
        <w:t xml:space="preserve">. </w:t>
      </w:r>
      <w:r w:rsidRPr="00DD2D90">
        <w:rPr>
          <w:rStyle w:val="StyleUnderline"/>
        </w:rPr>
        <w:t xml:space="preserve">Within the coverage scope of medical insurance, </w:t>
      </w:r>
      <w:r w:rsidRPr="00DD2D90">
        <w:rPr>
          <w:rStyle w:val="StyleUnderline"/>
          <w:highlight w:val="green"/>
        </w:rPr>
        <w:t>hospitals</w:t>
      </w:r>
      <w:r w:rsidRPr="00DD2D90">
        <w:rPr>
          <w:rStyle w:val="StyleUnderline"/>
        </w:rPr>
        <w:t xml:space="preserve"> </w:t>
      </w:r>
      <w:r w:rsidRPr="00DD2D90">
        <w:rPr>
          <w:rStyle w:val="StyleUnderline"/>
          <w:highlight w:val="green"/>
        </w:rPr>
        <w:t>and patients are more inclined to use drugs listed in the</w:t>
      </w:r>
      <w:r w:rsidRPr="00DD2D90">
        <w:rPr>
          <w:rStyle w:val="StyleUnderline"/>
        </w:rPr>
        <w:t xml:space="preserve"> medical </w:t>
      </w:r>
      <w:r w:rsidRPr="00DD2D90">
        <w:rPr>
          <w:rStyle w:val="StyleUnderline"/>
          <w:highlight w:val="green"/>
        </w:rPr>
        <w:t>insurance catalog</w:t>
      </w:r>
      <w:r w:rsidRPr="009278EB">
        <w:rPr>
          <w:sz w:val="16"/>
        </w:rPr>
        <w:t xml:space="preserve">, thereby </w:t>
      </w:r>
      <w:r w:rsidRPr="00DD2D90">
        <w:rPr>
          <w:rStyle w:val="StyleUnderline"/>
        </w:rPr>
        <w:t>affecting</w:t>
      </w:r>
      <w:r w:rsidRPr="009278EB">
        <w:rPr>
          <w:sz w:val="16"/>
        </w:rPr>
        <w:t xml:space="preserve"> the </w:t>
      </w:r>
      <w:r w:rsidRPr="00DD2D90">
        <w:rPr>
          <w:rStyle w:val="StyleUnderline"/>
        </w:rPr>
        <w:t>demand</w:t>
      </w:r>
      <w:r w:rsidRPr="009278EB">
        <w:rPr>
          <w:sz w:val="16"/>
        </w:rPr>
        <w:t xml:space="preserve"> for drugs. At the meso level, health insurance primarily influences pharmaceutical innovation by impacting the business strategies of pharmaceutical companies. From the perspective of pharmaceutical companies in the supply chain, the production of medicines is determined by the input and combination of production factors, while the sales of medicines are also determined by whether they are included in the medical insurance catalog and the prevalence of the disease. For pharmaceutical companies, </w:t>
      </w:r>
      <w:r w:rsidRPr="00DD2D90">
        <w:rPr>
          <w:rStyle w:val="StyleUnderline"/>
        </w:rPr>
        <w:t>drugs covered by the medical insurance catalog result in the demand and market size of the drugs expanding, increasing sales certainty and reducing the risk of uncertainty in the process of innovation</w:t>
      </w:r>
      <w:r w:rsidRPr="009278EB">
        <w:rPr>
          <w:sz w:val="16"/>
        </w:rPr>
        <w:t xml:space="preserve">. Thus, pharmaceutical companies reconfigure resource elements and promote innovation in the pharmaceutical industry to maximize profits [36]. At the same time, drugs within the medical insurance catalog have a higher market competitiveness. Enterprises will adjust their business strategies based on changes in the medical insurance catalog to enhance their market competitiveness. At the micro level, health insurance primarily influences pharmaceutical innovation by affecting patients’ medical consumption behavior and the quality of medical services. For patients, </w:t>
      </w:r>
      <w:r w:rsidRPr="00DD2D90">
        <w:rPr>
          <w:rStyle w:val="StyleUnderline"/>
        </w:rPr>
        <w:t xml:space="preserve">medical </w:t>
      </w:r>
      <w:r w:rsidRPr="00DD2D90">
        <w:rPr>
          <w:rStyle w:val="StyleUnderline"/>
          <w:highlight w:val="green"/>
        </w:rPr>
        <w:t>insurance can alleviate</w:t>
      </w:r>
      <w:r w:rsidRPr="00DD2D90">
        <w:rPr>
          <w:rStyle w:val="StyleUnderline"/>
        </w:rPr>
        <w:t xml:space="preserve"> their burden of medical </w:t>
      </w:r>
      <w:r w:rsidRPr="00DD2D90">
        <w:rPr>
          <w:rStyle w:val="StyleUnderline"/>
          <w:highlight w:val="green"/>
        </w:rPr>
        <w:t>expenses</w:t>
      </w:r>
      <w:r w:rsidRPr="00DD2D90">
        <w:rPr>
          <w:rStyle w:val="StyleUnderline"/>
        </w:rPr>
        <w:t xml:space="preserve">, </w:t>
      </w:r>
      <w:r w:rsidRPr="00DD2D90">
        <w:rPr>
          <w:rStyle w:val="StyleUnderline"/>
          <w:highlight w:val="green"/>
        </w:rPr>
        <w:t>increasing their willingness and ability to</w:t>
      </w:r>
      <w:r w:rsidRPr="00DD2D90">
        <w:rPr>
          <w:rStyle w:val="StyleUnderline"/>
        </w:rPr>
        <w:t xml:space="preserve"> </w:t>
      </w:r>
      <w:r w:rsidRPr="00DD2D90">
        <w:rPr>
          <w:rStyle w:val="StyleUnderline"/>
          <w:highlight w:val="green"/>
        </w:rPr>
        <w:t>consume</w:t>
      </w:r>
      <w:r w:rsidRPr="00DD2D90">
        <w:rPr>
          <w:rStyle w:val="StyleUnderline"/>
        </w:rPr>
        <w:t xml:space="preserve"> medical services</w:t>
      </w:r>
      <w:r w:rsidRPr="009278EB">
        <w:rPr>
          <w:sz w:val="16"/>
        </w:rPr>
        <w:t xml:space="preserve">. </w:t>
      </w:r>
      <w:r w:rsidRPr="00DD2D90">
        <w:rPr>
          <w:rStyle w:val="StyleUnderline"/>
          <w:highlight w:val="green"/>
        </w:rPr>
        <w:t>This will promote</w:t>
      </w:r>
      <w:r w:rsidRPr="00DD2D90">
        <w:rPr>
          <w:rStyle w:val="StyleUnderline"/>
        </w:rPr>
        <w:t xml:space="preserve"> </w:t>
      </w:r>
      <w:r w:rsidRPr="009278EB">
        <w:rPr>
          <w:sz w:val="16"/>
        </w:rPr>
        <w:t>the</w:t>
      </w:r>
      <w:r w:rsidRPr="00DD2D90">
        <w:rPr>
          <w:rStyle w:val="StyleUnderline"/>
        </w:rPr>
        <w:t xml:space="preserve"> </w:t>
      </w:r>
      <w:r w:rsidRPr="00DD2D90">
        <w:rPr>
          <w:rStyle w:val="StyleUnderline"/>
          <w:highlight w:val="green"/>
        </w:rPr>
        <w:t>demand</w:t>
      </w:r>
      <w:r w:rsidRPr="009278EB">
        <w:rPr>
          <w:sz w:val="16"/>
        </w:rPr>
        <w:t xml:space="preserve"> for new drugs by patients [37], thereby </w:t>
      </w:r>
      <w:r w:rsidRPr="00DD2D90">
        <w:rPr>
          <w:rStyle w:val="StyleUnderline"/>
          <w:highlight w:val="green"/>
        </w:rPr>
        <w:t>driving</w:t>
      </w:r>
      <w:r w:rsidRPr="00DD2D90">
        <w:rPr>
          <w:rStyle w:val="StyleUnderline"/>
        </w:rPr>
        <w:t xml:space="preserve"> </w:t>
      </w:r>
      <w:r w:rsidRPr="009278EB">
        <w:rPr>
          <w:sz w:val="16"/>
        </w:rPr>
        <w:t>the</w:t>
      </w:r>
      <w:r w:rsidRPr="00DD2D90">
        <w:rPr>
          <w:rStyle w:val="StyleUnderline"/>
        </w:rPr>
        <w:t xml:space="preserve"> </w:t>
      </w:r>
      <w:r w:rsidRPr="00DD2D90">
        <w:rPr>
          <w:rStyle w:val="StyleUnderline"/>
          <w:highlight w:val="green"/>
        </w:rPr>
        <w:t>innovation</w:t>
      </w:r>
      <w:r w:rsidRPr="00DD2D90">
        <w:rPr>
          <w:rStyle w:val="StyleUnderline"/>
        </w:rPr>
        <w:t xml:space="preserve"> </w:t>
      </w:r>
      <w:r w:rsidRPr="00DD2D90">
        <w:rPr>
          <w:rStyle w:val="StyleUnderline"/>
          <w:highlight w:val="green"/>
        </w:rPr>
        <w:t>motivation</w:t>
      </w:r>
      <w:r w:rsidRPr="009278EB">
        <w:rPr>
          <w:sz w:val="16"/>
        </w:rPr>
        <w:t xml:space="preserve"> of pharmaceutical companies. In addition, doctors, as providers of medical services and decision-makers for medication, play a crucial role in the relationship between medical insurance and pharmaceutical innovation. Based on their medical expertise and clinical experience, they formulate treatment plans for patients and determine the prescription and medication cycle. This decision-making process directly affects the category of drugs actually used by patients and the demand for drugs. Consequently, this study proposes the following hypotheses: H1: A positive correlation exists between health insurance and pharmaceutical innovation. Patents play a crucial role in measuring pharmaceutical technological innovation. Unlike new drug applications, which typically occur at the end of the drug discovery and development process, patent applications for new medicines can be filed at various stages of the innovation timeline. Generally, patent applications can be initiated as early as the preclinical testing stage of a new drug [25]. According to the theory of demand-induced innovation and the interaction between technology innovation and market demand, market demand greatly influences technological innovation [32,33,34]. </w:t>
      </w:r>
      <w:r w:rsidRPr="00DD2D90">
        <w:rPr>
          <w:rStyle w:val="StyleUnderline"/>
        </w:rPr>
        <w:t>The expansion of health insurance coverage increases the demand for pharmaceuticals for diseases covered by insurance</w:t>
      </w:r>
      <w:r w:rsidRPr="009278EB">
        <w:rPr>
          <w:sz w:val="16"/>
        </w:rPr>
        <w:t xml:space="preserve">, thereby </w:t>
      </w:r>
      <w:r w:rsidRPr="00DD2D90">
        <w:rPr>
          <w:rStyle w:val="StyleUnderline"/>
        </w:rPr>
        <w:t>stimulating innovation in the pharmaceutical industry</w:t>
      </w:r>
      <w:r w:rsidRPr="009278EB">
        <w:rPr>
          <w:sz w:val="16"/>
        </w:rPr>
        <w:t xml:space="preserve">. </w:t>
      </w:r>
      <w:r w:rsidRPr="00DD2D90">
        <w:rPr>
          <w:rStyle w:val="StyleUnderline"/>
        </w:rPr>
        <w:t>Expanded market demand incentivizes pharmaceutical enterprises to increase research and development investment, influencing technological innovation in the pharmaceutical industry</w:t>
      </w:r>
      <w:r w:rsidRPr="009278EB">
        <w:rPr>
          <w:sz w:val="16"/>
        </w:rPr>
        <w:t xml:space="preserve">. </w:t>
      </w:r>
      <w:r w:rsidRPr="00DD2D90">
        <w:rPr>
          <w:rStyle w:val="StyleUnderline"/>
        </w:rPr>
        <w:t>The broadening of health insurance coverage offers increased market opportunities</w:t>
      </w:r>
      <w:r w:rsidRPr="009278EB">
        <w:rPr>
          <w:sz w:val="16"/>
        </w:rPr>
        <w:t xml:space="preserve"> and potential benefits for companies involved in pharmaceutical research. This prompts companies to actively engage in innovative research and development, pursue patents in new fields or markets to safeguard their innovations and investments and uphold their competitive advantage. This study proposes: H1a: A positive correlation exists between health insurance and patent applications. Investment in research and development predominantly gauges the level of enthusiasm and innovation capabilities exhibited by pharmaceutical innovation entities in technological advancements subsequent to health insurance coverage. Evidence indicates that the </w:t>
      </w:r>
      <w:r w:rsidRPr="00DD2D90">
        <w:rPr>
          <w:rStyle w:val="StyleUnderline"/>
          <w:highlight w:val="green"/>
        </w:rPr>
        <w:t>expansion</w:t>
      </w:r>
      <w:r w:rsidRPr="00DD2D90">
        <w:rPr>
          <w:rStyle w:val="StyleUnderline"/>
        </w:rPr>
        <w:t xml:space="preserve"> of insurance coverage </w:t>
      </w:r>
      <w:r w:rsidRPr="00DD2D90">
        <w:rPr>
          <w:rStyle w:val="StyleUnderline"/>
          <w:highlight w:val="green"/>
        </w:rPr>
        <w:t>increased prescription drug use</w:t>
      </w:r>
      <w:r w:rsidRPr="009278EB">
        <w:rPr>
          <w:sz w:val="16"/>
        </w:rPr>
        <w:t xml:space="preserve"> [38,39]. This increased use of prescription drugs resulting from the expansion of insurance coverage might yield increases in pharmaceutical firms’ R&amp;D via two mechanisms. Firstly, prior studies have shown that </w:t>
      </w:r>
      <w:r w:rsidRPr="00DD2D90">
        <w:rPr>
          <w:rStyle w:val="StyleUnderline"/>
        </w:rPr>
        <w:t xml:space="preserve">firms’ </w:t>
      </w:r>
      <w:r w:rsidRPr="00DD2D90">
        <w:rPr>
          <w:rStyle w:val="StyleUnderline"/>
          <w:highlight w:val="green"/>
        </w:rPr>
        <w:t>R&amp;D</w:t>
      </w:r>
      <w:r w:rsidRPr="00DD2D90">
        <w:rPr>
          <w:rStyle w:val="StyleUnderline"/>
        </w:rPr>
        <w:t xml:space="preserve"> expenditures </w:t>
      </w:r>
      <w:r w:rsidRPr="00DD2D90">
        <w:rPr>
          <w:rStyle w:val="StyleUnderline"/>
          <w:highlight w:val="green"/>
        </w:rPr>
        <w:t>exhibit</w:t>
      </w:r>
      <w:r w:rsidRPr="009278EB">
        <w:rPr>
          <w:sz w:val="16"/>
        </w:rPr>
        <w:t xml:space="preserve"> nearly </w:t>
      </w:r>
      <w:r w:rsidRPr="00DD2D90">
        <w:rPr>
          <w:rStyle w:val="StyleUnderline"/>
          <w:highlight w:val="green"/>
        </w:rPr>
        <w:t>unit elasticity in response to increases in sales revenues</w:t>
      </w:r>
      <w:r w:rsidRPr="00DD2D90">
        <w:rPr>
          <w:rStyle w:val="StyleUnderline"/>
        </w:rPr>
        <w:t xml:space="preserve">, </w:t>
      </w:r>
      <w:r w:rsidRPr="00DD2D90">
        <w:rPr>
          <w:rStyle w:val="StyleUnderline"/>
          <w:highlight w:val="green"/>
        </w:rPr>
        <w:t>which</w:t>
      </w:r>
      <w:r w:rsidRPr="00DD2D90">
        <w:rPr>
          <w:rStyle w:val="StyleUnderline"/>
        </w:rPr>
        <w:t xml:space="preserve"> </w:t>
      </w:r>
      <w:r w:rsidRPr="00DD2D90">
        <w:rPr>
          <w:rStyle w:val="StyleUnderline"/>
          <w:highlight w:val="green"/>
        </w:rPr>
        <w:t>increased</w:t>
      </w:r>
      <w:r w:rsidRPr="00DD2D90">
        <w:rPr>
          <w:rStyle w:val="StyleUnderline"/>
        </w:rPr>
        <w:t xml:space="preserve"> </w:t>
      </w:r>
      <w:r w:rsidRPr="00DD2D90">
        <w:rPr>
          <w:rStyle w:val="Emphasis"/>
          <w:highlight w:val="green"/>
        </w:rPr>
        <w:t>substantially</w:t>
      </w:r>
      <w:r w:rsidRPr="00DD2D90">
        <w:rPr>
          <w:rStyle w:val="StyleUnderline"/>
          <w:highlight w:val="green"/>
        </w:rPr>
        <w:t xml:space="preserve"> upon implementation of Part D</w:t>
      </w:r>
      <w:r w:rsidRPr="009278EB">
        <w:rPr>
          <w:sz w:val="16"/>
        </w:rPr>
        <w:t xml:space="preserve"> [40,41]. In addition, Duggan and Scott Morton found that </w:t>
      </w:r>
      <w:r w:rsidRPr="00DD2D90">
        <w:rPr>
          <w:rStyle w:val="StyleUnderline"/>
        </w:rPr>
        <w:t>pharmaceutical firms experienced an overall increase in their revenues after the implementation of Part D, despite the price decreases negotiated by private insurers</w:t>
      </w:r>
      <w:r w:rsidRPr="009278EB">
        <w:rPr>
          <w:sz w:val="16"/>
        </w:rPr>
        <w:t xml:space="preserve"> [10]. Secondly, per Friedman’s research, </w:t>
      </w:r>
      <w:r w:rsidRPr="00DD2D90">
        <w:rPr>
          <w:rStyle w:val="StyleUnderline"/>
          <w:highlight w:val="green"/>
        </w:rPr>
        <w:t>stock prices</w:t>
      </w:r>
      <w:r w:rsidRPr="00DD2D90">
        <w:rPr>
          <w:rStyle w:val="StyleUnderline"/>
        </w:rPr>
        <w:t xml:space="preserve"> for companies introducing high Medicare share drugs </w:t>
      </w:r>
      <w:r w:rsidRPr="00DD2D90">
        <w:rPr>
          <w:rStyle w:val="StyleUnderline"/>
          <w:highlight w:val="green"/>
        </w:rPr>
        <w:t>increased dramatically</w:t>
      </w:r>
      <w:r w:rsidRPr="00DD2D90">
        <w:rPr>
          <w:rStyle w:val="StyleUnderline"/>
        </w:rPr>
        <w:t xml:space="preserve"> after the implementation of Part D, and increases in stock prices may </w:t>
      </w:r>
      <w:r w:rsidRPr="00DD2D90">
        <w:rPr>
          <w:rStyle w:val="StyleUnderline"/>
          <w:highlight w:val="green"/>
        </w:rPr>
        <w:t>decrease the cost of</w:t>
      </w:r>
      <w:r w:rsidRPr="00DD2D90">
        <w:rPr>
          <w:rStyle w:val="StyleUnderline"/>
        </w:rPr>
        <w:t xml:space="preserve"> </w:t>
      </w:r>
      <w:r w:rsidRPr="00DD2D90">
        <w:rPr>
          <w:rStyle w:val="StyleUnderline"/>
          <w:highlight w:val="green"/>
        </w:rPr>
        <w:t>external capital</w:t>
      </w:r>
      <w:r w:rsidRPr="009278EB">
        <w:rPr>
          <w:sz w:val="16"/>
        </w:rPr>
        <w:t xml:space="preserve">, thereby </w:t>
      </w:r>
      <w:r w:rsidRPr="00DD2D90">
        <w:rPr>
          <w:rStyle w:val="StyleUnderline"/>
        </w:rPr>
        <w:t>increasing R&amp;D expenditures</w:t>
      </w:r>
      <w:r w:rsidRPr="009278EB">
        <w:rPr>
          <w:sz w:val="16"/>
        </w:rPr>
        <w:t xml:space="preserve"> [42,43]. This study proposes: H1b: A positive correlation exists between health insurance and R&amp;D investment. The development of </w:t>
      </w:r>
      <w:r w:rsidRPr="00DD2D90">
        <w:rPr>
          <w:rStyle w:val="StyleUnderline"/>
        </w:rPr>
        <w:t>new drugs</w:t>
      </w:r>
      <w:r w:rsidRPr="009278EB">
        <w:rPr>
          <w:sz w:val="16"/>
        </w:rPr>
        <w:t xml:space="preserve"> and therapies </w:t>
      </w:r>
      <w:r w:rsidRPr="00DD2D90">
        <w:rPr>
          <w:rStyle w:val="StyleUnderline"/>
        </w:rPr>
        <w:t>to combat serious and life-threatening diseases heavily depends on clinical trials</w:t>
      </w:r>
      <w:r w:rsidRPr="009278EB">
        <w:rPr>
          <w:sz w:val="16"/>
        </w:rPr>
        <w:t xml:space="preserve">. These studies evaluate the safety and effectiveness of new drugs and therapies being developed by involving human volunteers. Clinical trials are a crucial step in the drug innovation process and the development of new therapies for serious diseases. </w:t>
      </w:r>
      <w:r w:rsidRPr="00DD2D90">
        <w:rPr>
          <w:rStyle w:val="StyleUnderline"/>
          <w:highlight w:val="green"/>
        </w:rPr>
        <w:t>The absence of coverage</w:t>
      </w:r>
      <w:r w:rsidRPr="00DD2D90">
        <w:rPr>
          <w:rStyle w:val="StyleUnderline"/>
        </w:rPr>
        <w:t xml:space="preserve"> for routine care costs </w:t>
      </w:r>
      <w:r w:rsidRPr="00DD2D90">
        <w:rPr>
          <w:rStyle w:val="StyleUnderline"/>
          <w:highlight w:val="green"/>
        </w:rPr>
        <w:t>was perceived</w:t>
      </w:r>
      <w:r w:rsidRPr="00DD2D90">
        <w:rPr>
          <w:rStyle w:val="StyleUnderline"/>
        </w:rPr>
        <w:t xml:space="preserve"> by the scientific community and policymakers </w:t>
      </w:r>
      <w:r w:rsidRPr="00DD2D90">
        <w:rPr>
          <w:rStyle w:val="StyleUnderline"/>
          <w:highlight w:val="green"/>
        </w:rPr>
        <w:t xml:space="preserve">as a </w:t>
      </w:r>
      <w:r w:rsidRPr="00DD2D90">
        <w:rPr>
          <w:rStyle w:val="Emphasis"/>
          <w:highlight w:val="green"/>
        </w:rPr>
        <w:t>significant</w:t>
      </w:r>
      <w:r w:rsidRPr="00DD2D90">
        <w:rPr>
          <w:rStyle w:val="StyleUnderline"/>
          <w:highlight w:val="green"/>
        </w:rPr>
        <w:t xml:space="preserve"> barrier to</w:t>
      </w:r>
      <w:r w:rsidRPr="00DD2D90">
        <w:rPr>
          <w:rStyle w:val="StyleUnderline"/>
        </w:rPr>
        <w:t xml:space="preserve"> </w:t>
      </w:r>
      <w:r w:rsidRPr="00DD2D90">
        <w:rPr>
          <w:rStyle w:val="StyleUnderline"/>
          <w:highlight w:val="green"/>
        </w:rPr>
        <w:t>enrollment in clinical trials</w:t>
      </w:r>
      <w:r w:rsidRPr="009278EB">
        <w:rPr>
          <w:sz w:val="16"/>
        </w:rPr>
        <w:t xml:space="preserve"> [44]. </w:t>
      </w:r>
      <w:r w:rsidRPr="00DD2D90">
        <w:rPr>
          <w:rStyle w:val="StyleUnderline"/>
        </w:rPr>
        <w:t xml:space="preserve">Health </w:t>
      </w:r>
      <w:r w:rsidRPr="00DD2D90">
        <w:rPr>
          <w:rStyle w:val="StyleUnderline"/>
          <w:highlight w:val="green"/>
        </w:rPr>
        <w:t>insurance</w:t>
      </w:r>
      <w:r w:rsidRPr="009278EB">
        <w:rPr>
          <w:sz w:val="16"/>
        </w:rPr>
        <w:t xml:space="preserve"> reduces the financial burden on patients by </w:t>
      </w:r>
      <w:r w:rsidRPr="00DD2D90">
        <w:rPr>
          <w:rStyle w:val="StyleUnderline"/>
          <w:highlight w:val="green"/>
        </w:rPr>
        <w:t>cover</w:t>
      </w:r>
      <w:r w:rsidRPr="009278EB">
        <w:rPr>
          <w:sz w:val="16"/>
        </w:rPr>
        <w:t xml:space="preserve">ing </w:t>
      </w:r>
      <w:r w:rsidRPr="00DD2D90">
        <w:rPr>
          <w:rStyle w:val="StyleUnderline"/>
        </w:rPr>
        <w:t xml:space="preserve">the costs associated with </w:t>
      </w:r>
      <w:r w:rsidRPr="00DD2D90">
        <w:rPr>
          <w:rStyle w:val="StyleUnderline"/>
          <w:highlight w:val="green"/>
        </w:rPr>
        <w:t>trial participation</w:t>
      </w:r>
      <w:r w:rsidRPr="00DD2D90">
        <w:rPr>
          <w:rStyle w:val="StyleUnderline"/>
        </w:rPr>
        <w:t>, making it more accessible</w:t>
      </w:r>
      <w:r w:rsidRPr="009278EB">
        <w:rPr>
          <w:sz w:val="16"/>
        </w:rPr>
        <w:t xml:space="preserve">. Additionally, </w:t>
      </w:r>
      <w:r w:rsidRPr="00DD2D90">
        <w:rPr>
          <w:rStyle w:val="StyleUnderline"/>
        </w:rPr>
        <w:t xml:space="preserve">health </w:t>
      </w:r>
      <w:r w:rsidRPr="00DD2D90">
        <w:rPr>
          <w:rStyle w:val="StyleUnderline"/>
          <w:highlight w:val="green"/>
        </w:rPr>
        <w:t>insurance expands the patient pool</w:t>
      </w:r>
      <w:r w:rsidRPr="00DD2D90">
        <w:rPr>
          <w:rStyle w:val="StyleUnderline"/>
        </w:rPr>
        <w:t xml:space="preserve"> by providing coverage, </w:t>
      </w:r>
      <w:r w:rsidRPr="00DD2D90">
        <w:rPr>
          <w:rStyle w:val="StyleUnderline"/>
          <w:highlight w:val="green"/>
        </w:rPr>
        <w:t xml:space="preserve">allowing for a </w:t>
      </w:r>
      <w:r w:rsidRPr="00DD2D90">
        <w:rPr>
          <w:rStyle w:val="Emphasis"/>
          <w:highlight w:val="green"/>
        </w:rPr>
        <w:t>more diverse</w:t>
      </w:r>
      <w:r w:rsidRPr="00DD2D90">
        <w:rPr>
          <w:rStyle w:val="StyleUnderline"/>
          <w:highlight w:val="green"/>
        </w:rPr>
        <w:t xml:space="preserve"> and representative population</w:t>
      </w:r>
      <w:r w:rsidRPr="00DD2D90">
        <w:rPr>
          <w:rStyle w:val="StyleUnderline"/>
        </w:rPr>
        <w:t xml:space="preserve"> to participate in trials</w:t>
      </w:r>
      <w:r w:rsidRPr="009278EB">
        <w:rPr>
          <w:sz w:val="16"/>
        </w:rPr>
        <w:t xml:space="preserve">. </w:t>
      </w:r>
      <w:r w:rsidRPr="00DD2D90">
        <w:rPr>
          <w:rStyle w:val="StyleUnderline"/>
          <w:highlight w:val="green"/>
        </w:rPr>
        <w:t>This</w:t>
      </w:r>
      <w:r w:rsidRPr="009278EB">
        <w:rPr>
          <w:sz w:val="16"/>
        </w:rPr>
        <w:t xml:space="preserve">, in turn, </w:t>
      </w:r>
      <w:r w:rsidRPr="00DD2D90">
        <w:rPr>
          <w:rStyle w:val="StyleUnderline"/>
          <w:highlight w:val="green"/>
        </w:rPr>
        <w:t xml:space="preserve">leads to </w:t>
      </w:r>
      <w:r w:rsidRPr="00DD2D90">
        <w:rPr>
          <w:rStyle w:val="Emphasis"/>
          <w:highlight w:val="green"/>
        </w:rPr>
        <w:t>more robust</w:t>
      </w:r>
      <w:r w:rsidRPr="00DD2D90">
        <w:rPr>
          <w:rStyle w:val="StyleUnderline"/>
          <w:highlight w:val="green"/>
        </w:rPr>
        <w:t xml:space="preserve"> data and increased interest from researchers and sponsors</w:t>
      </w:r>
      <w:r w:rsidRPr="009278EB">
        <w:rPr>
          <w:sz w:val="16"/>
        </w:rPr>
        <w:t xml:space="preserve">. Moreover, </w:t>
      </w:r>
      <w:r w:rsidRPr="00DD2D90">
        <w:rPr>
          <w:rStyle w:val="StyleUnderline"/>
        </w:rPr>
        <w:t>the market’s demand for advanced healthcare options may encourage companies to increase clinical trials</w:t>
      </w:r>
      <w:r w:rsidRPr="009278EB">
        <w:rPr>
          <w:sz w:val="16"/>
        </w:rPr>
        <w:t xml:space="preserve">. By sorting out the original literature, the clinical trials in this study include the number of clinical trials and the number of drugs entering clinical trials. This study proposes: H1c: A positive correlation exists between health insurance and clinical trials. The theoretical analysis and research hypotheses presented above serve as the foundation for the ensuing study. This foundational framework is comprehensively delineated in Figure 1. 2.2. The Potential Moderating Variable (1) Factors contributing to variations in the relationship between health insurance and pharmaceutical innovation at the sample level. The source countries of the study samples are different. The health insurance policies and macro–micro environments in different countries vary, which can influence the relationship between health insurance and pharmaceutical innovation. According to several studies, public health insurance is the primary form of health insurance in China, and evidence suggests that a wider coverage of health insurance policies leads to a more significant impact on innovation. Zhang et al. conducted a natural experiment from the implementation of a </w:t>
      </w:r>
      <w:r w:rsidRPr="00DD2D90">
        <w:rPr>
          <w:rStyle w:val="StyleUnderline"/>
        </w:rPr>
        <w:t xml:space="preserve">public health </w:t>
      </w:r>
      <w:r w:rsidRPr="00DD2D90">
        <w:rPr>
          <w:rStyle w:val="StyleUnderline"/>
          <w:highlight w:val="green"/>
        </w:rPr>
        <w:t>insurance</w:t>
      </w:r>
      <w:r w:rsidRPr="00DD2D90">
        <w:rPr>
          <w:rStyle w:val="StyleUnderline"/>
        </w:rPr>
        <w:t xml:space="preserve"> program </w:t>
      </w:r>
      <w:r w:rsidRPr="00DD2D90">
        <w:rPr>
          <w:rStyle w:val="StyleUnderline"/>
          <w:highlight w:val="green"/>
        </w:rPr>
        <w:t>for rural residents</w:t>
      </w:r>
      <w:r w:rsidRPr="00DD2D90">
        <w:rPr>
          <w:rStyle w:val="StyleUnderline"/>
        </w:rPr>
        <w:t xml:space="preserve"> in China</w:t>
      </w:r>
      <w:r w:rsidRPr="009278EB">
        <w:rPr>
          <w:sz w:val="16"/>
        </w:rPr>
        <w:t xml:space="preserve"> and </w:t>
      </w:r>
      <w:r w:rsidRPr="00DD2D90">
        <w:rPr>
          <w:rStyle w:val="StyleUnderline"/>
          <w:highlight w:val="green"/>
        </w:rPr>
        <w:t>found a 12.4% increase in</w:t>
      </w:r>
      <w:r w:rsidRPr="00DD2D90">
        <w:rPr>
          <w:rStyle w:val="StyleUnderline"/>
        </w:rPr>
        <w:t xml:space="preserve"> </w:t>
      </w:r>
      <w:r w:rsidRPr="009278EB">
        <w:rPr>
          <w:sz w:val="16"/>
        </w:rPr>
        <w:t>relevant</w:t>
      </w:r>
      <w:r w:rsidRPr="00DD2D90">
        <w:rPr>
          <w:rStyle w:val="StyleUnderline"/>
        </w:rPr>
        <w:t xml:space="preserve"> domestic pharmaceutical </w:t>
      </w:r>
      <w:r w:rsidRPr="00DD2D90">
        <w:rPr>
          <w:rStyle w:val="StyleUnderline"/>
          <w:highlight w:val="green"/>
        </w:rPr>
        <w:t>patent applications</w:t>
      </w:r>
      <w:r w:rsidRPr="00DD2D90">
        <w:rPr>
          <w:rStyle w:val="StyleUnderline"/>
        </w:rPr>
        <w:t xml:space="preserve"> in diseases with a 10% higher number of rural patients</w:t>
      </w:r>
      <w:r w:rsidRPr="009278EB">
        <w:rPr>
          <w:sz w:val="16"/>
        </w:rPr>
        <w:t xml:space="preserve"> [45]. This indicates that the implementation of public health insurance in China has positive spillover effects on pharmaceutical innovation, stimulating innovation in drugs for prevalent diseases in rural areas. Natalie Chun et al. conducted an analysis of the relationship between the implementation of health insurance policies in the United States and drug innovation [44]. The results showed that the policy did not lead to an increase in new drug clinical trials. Therefore, the source country of the sample enterprise may have an impact on the relationship between health insurance and pharmaceutical innovation. This paper proposes: H2: Significant differences exist between China and the United States. (2) Factors contributing to variations in the relationship between health insurance and pharmaceutical innovation at the data level. The data periods of the study samples are different. The study samples have varying time spans, which could potentially influence the relationship between health insurance and pharmaceutical innovation. Since the start of the 21st century, the coverage of medical insurance has progressively widened. In 2000, China released the first edition of the Basic Medical Insurance Drug List. The expansion of medical insurance coverage has changed the market demand for drugs listed in the corresponding catalogs, thereby influencing firms’ investment in innovation. Therefore, studies conducted during later data periods (before 2000) and earlier data periods (after 2000) may lead to different research findings. As an instance, Daron Acemoglu et al. conducted a study utilizing data spanning from 1965 to 1999, and their findings indicated the absence of a notable impact of health insurance on pharmaceutical innovation [46]. Conversely, Craig Garthwaite et al. conducted a study utilizing data spanning from 2004 to 2016 and identified a positive correlation between health insurance and pharmaceutical innovation [30]. Thus, the different time intervals of the sample data may affect the relationship between health insurance and pharmaceutical innovation. This paper proposes: H3: Significant differences exist in different periods of research data. (3) The sources of differences in the relationship between health insurance and pharmaceutical innovation at the literature level. (a) The publication years of the literature are different. The publication focus of literature may differ across various years. In periods of high prevalence of medical insurance or pharmaceutical innovation research, there tends to be a greater inclination to publish literature demonstrating a significant positive association between health insurance and pharmaceutical innovation. On the one hand, in recent periods, the correlation between medical insurance and pharmaceutical innovation has emerged as a prominent research topic, capturing the interest of scholars. Therefore, researchers are more likely to emphasize the beneficial influence of health insurance on pharmaceutical innovation, aligning with academic trends and research priorities. On the other hand, governments and policymakers are typically dedicated to fostering the advancement of health insurance and pharmaceutical innovation. During a certain period of policy enactment, the biases existing in policies and the pervasive influence of the economic environment may prompt researchers to illustrate a positive association between health insurance and pharmaceutical innovation, aiming to bolster policy formulation and implementation. Consequently, variations in publication years can potentially affect the relationship between health insurance and pharmaceutical innovation. This study proposes: H4: Significant differences exist in different publication years of the literature. (b) The journal impact factors of the literature vary. Journals with different impact factors may focus on different research outcomes. Generally, studies demonstrating significant statistical results are more likely to be published. Journals with high impacts may prioritize the novelty of research findings and the significance of statistical outcomes to sustain their ongoing academic impact. Thus, journals with different impact factors can potentially lead to divergent patterns in the relationship between medical insurance and pharmaceutical innovation. This study proposes: H5: Significant differences exist between journals with high-impact factors and low-impact factors. (c) The types of literature are different. The literature selected in this study includes theses and journal papers. These are unpublished research, while journal papers are published research. Journal papers with statistically significant research results are more likely to be published than those without significance after undergoing peer review. Nevertheless, non-significant research results can offer more precise measurements of the actual correlation between variables. Thus, the various types of literature publications can lead to variations in the relationship between health insurance and pharmaceutical innovation. This study proposes: H6: Significant differences exist between theses and journal papers. (4) The sources of differences in the relationship between health insurance and pharmaceutical innovation at the variable level. (a) The types of health insurance are different. By sorting out the original literature, the research samples include two types of health insurance: commercial and public. Commercial health insurance, known for its substantial funding and generous reimbursement, plays a crucial role in driving healthcare consumption and stimulating pharmaceutical innovation. The profitability of innovative drugs attracts increased capital investment in pharmaceutical research, fostering a virtuous cycle between market demand and ongoing pharmaceutical innovation. Leila Agha’s study illustrates that adjustments to commercial health insurance formularies significantly impact pharmaceutical innovation [47]. Pharmaceutical companies reduce investments in drugs facing high exclusion risks from these formularies. Public medical insurance has lower funding and inadequate reimbursement, limiting its ability to meet the health security needs of middle- and high-income groups, and reducing their purchasing power for innovative drugs. Therefore, the different types of medical insurance may result in different outcomes in the relationship between health insurance and pharmaceutical innovation. This study proposes: H7: Significant differences exist between commercial and public health insurance. (b) The studies employ diverse analytical perspectives. The research perspective of this article is divided into overall and partial perspectives based on the coverage of health insurance in the research samples. For example, Medicare in the United States includes four parts: A, B, C, and D. Some studies only focus on the Medicare Part D program, so this article classifies such studies into a partial analytical perspective. Some studies focus on all Medicare parts, which are classified into the overall analytical perspective in this article. Differences in analysis perspectives and measurement indicators can result in variations in the relationship between medical insurance and pharmaceutical innovation. For example, Blume-Kohout’s study revealed that the Medicare Part D program in the United States stimulates pharmaceutical innovation [48]. In contrast, Daron Acemoglu’s global research showed that the impact of medical insurance on pharmaceutical innovation is not substantial [46]. Therefore, the different analytical perspectives may have an impact on the relationship between health insurance and pharmaceutical innovation. This study proposes: H8: Significant differences exist in different analytical perspectives. 3. Methodology Framework This study employs the meta-analysis method developed by the American educationist Glass [49] in 1976 to investigate the influence of health insurance on pharmaceutical innovation. Meta-analysis utilizes specific criteria to statistically analyze and integrate findings from multiple empirical studies, enhancing study accuracy and providing valuable insights for future research. Compared to conventional quantitative studies, it exhibits heightened rigor and comprehensiveness in the process of acquiring, selecting, and evaluating original literature. The research methodology encompassed three primary stages. Initially, data collection from diverse databases was executed with meticulous adherence to predefined inclusion and exclusion criteria. Subsequently, the screened data were systematically categorized and encoded based on statistical and descriptive parameters. Lastly, the STATA software was employed for publication bias analysis, overall tests, and tests of the regulatory effect, culminating in the derivation of the ultimate research findings. Figure 2 visually outlines the research design employed in this study. 3.1. Literature Retrieval and Screening A comprehensive and rigorous literature search was conducted to examine the empirical study exploring the influence of medical insurance on pharmaceutical innovation. Firstly, prominent databases, including Web of Science, PubMed, Scopus, PQDT, and CNKI, were scrutinized. Secondly, keywords such as “Insurance, Health”, “Health Insurances”, “Insurances, Health”, “Health Insurance”, “Health Insurance, Voluntary”, “Insurance, Voluntary Health”, “Voluntary Health Insurance”, “Group Health Insurance”, “Health Insurance, Group”, “Insurance, Group Health”, “Insurance, Group Health”, “medicare”, “Health care”, “Healthcare”, “Medical care insurance”, and “medical insurance” were combined with “pharmaceutical innovation” and “drug innovation” to search for literature with these keywords in the title or abstract. To avoid missing any documents, we carried out a manual supplementary search in the process of reading literature. With a deadline for literature retrieval settled as 15 June 2023, a total of 7138 literature records were collected through the operation mentioned above. By meticulously reviewing the titles, abstracts, and full texts of the acquired articles, any instances of duplication, irrelevance, and non-quantitative studies were gradually eliminated. In adherence to the selection criteria for meta-analysis, the distinct screening criteria applied in this study are elucidated as follows: (1) The research inquiry focused on the examination of the impact of medical insurance on innovation, imposing restrictions on the inclusion of literature that is irrelevant to the research topic or pertains to the development and operationalization of measurement scales. (2) The selected literature must consist of empirical studies that yield quantitative outcomes, providing a comprehensive disclosure of essential details such as sample size, variable reliability, correlation coefficients between medical insurance and various variables, or other effect values that can be transformed into correlation coefficients. Consequently, theoretical studies, qualitative research designs such as case studies, and literature reviews have been excluded. (3) It is essential to include literature that provides complete data information, encompassing statistical coefficients, sample size, t-values, and p-values. (4) The literature comprises independent research samples. If the literature contains multiple samples, all should be included in the database. If different kinds of literature use the same sample, only one is included. In cases of overlap, the literature with a larger sample size is chosen for analysis. Ultimately, 14 articles containing research samples from China and the United States were obtained in the meta-analysis database. The screening process of this study is shown in Figure 3. 3.2. Data Coding and Effect Size Calculation Once the sample for analysis has been determined, it is essential to code and transform the original measurements extracted from the literature in order to calculate the key indicators for meta-analysis. This study adhered to the coding steps recommended by Lipsey et al. [50]. In order to guarantee coding data accuracy, two trained coders independently coded the aforementioned 14 articles. The coding data primarily consist of descriptive and statistical items. Descriptive items relate to research design and literature publication, encompassing authorship, title, publication date, keywords, and literature source. Statistical items cover sample size, data type, measurement indicators, journal type, journal impact factor, regression coefficients (such as β, t-values), and other variable characteristics. After coding the literature, key indicators for meta-analysis, namely effect sizes, can be calculated. Effect sizes are quantitative measurements of the strength of the relationship between two variables and the magnitude of differences between groups, representing practical significance. In research work, effect size generally refers to the correlation coefficient between variables. Drawing on the analysis methods of correlation coefficients or regression techniques commonly used in current management studies, this article also adopts the effect value of correlation coefficient (r-based) to represent the impact of health insurance on innovation. First, according to the formula proposed by Rosenthal [51], the estimated parameters (t-values) of the original study are converted into correlation coefficients (r). The calculation formula is r = √(t2/(t2+d</w:t>
      </w:r>
      <w:r w:rsidRPr="009278EB">
        <w:rPr>
          <w:rFonts w:ascii="Cambria Math" w:hAnsi="Cambria Math" w:cs="Cambria Math"/>
          <w:sz w:val="16"/>
        </w:rPr>
        <w:t>⁢</w:t>
      </w:r>
      <w:r w:rsidRPr="009278EB">
        <w:rPr>
          <w:sz w:val="16"/>
        </w:rPr>
        <w:t>f)). Here, df refers to the degrees of freedom associated with the t-value, which can be calculated based on the sample size and variable values in the original study. Due to differences in sample sizes among the original studies, it is necessary to correct for bias caused by sample differences. Therefore, the correlation coefficient should be converted into a standardized effect size called Fish-Z. The specific calculation method is as follows: (1) Calculate Zr (Zr = 0.5ln[(1 + r)/(1 − r)]); (2) Calculate the variance of z (</w:t>
      </w:r>
      <w:r w:rsidRPr="009278EB">
        <w:rPr>
          <w:rFonts w:ascii="Cambria Math" w:hAnsi="Cambria Math" w:cs="Cambria Math"/>
          <w:sz w:val="16"/>
        </w:rPr>
        <w:t>𝑉𝑍</w:t>
      </w:r>
      <w:r w:rsidRPr="009278EB">
        <w:rPr>
          <w:sz w:val="16"/>
        </w:rPr>
        <w:t>/(n − 3)); (3) Calculate SEz (SEz = √</w:t>
      </w:r>
      <w:r w:rsidRPr="009278EB">
        <w:rPr>
          <w:rFonts w:ascii="Cambria Math" w:hAnsi="Cambria Math" w:cs="Cambria Math"/>
          <w:sz w:val="16"/>
        </w:rPr>
        <w:t>𝑉𝑍</w:t>
      </w:r>
      <w:r w:rsidRPr="009278EB">
        <w:rPr>
          <w:sz w:val="16"/>
        </w:rPr>
        <w:t xml:space="preserve">). The calculations mentioned above were carried out using Stata 17 software. The basic unit of effect size is an independent sample. If multiple independent samples appear in the original studies, multiple coding is required. The final consistency coefficient of the coding was 93% (&gt;90%), reaching a reliable level, indicating that the coding in this study was effective [52]. Following the completion of the coding process, a total of 202 valid effect sizes were obtained from a set of 14 empirical studies, with 152 effect sizes exceeding 0 and 50 effect sizes below 0. 4. Results of the Meta-Analysis 4.1. Analysis of Publication Bias Meta-analysis relies on published literature, which may not fully represent the overall research in the field as it tends to favor studies with significant results. To ensure the reliability and accuracy of the meta-analysis results, this study investigated publication bias within the literature. Common methods used to assess publication bias include the fail-safe coefficient method, funnel plot method, Begg’s test, the trim-and-fill method, and Egger’s test [53]. This study used two methods to investigate the presence of publication bias in the results across various dimensions. As shown in Figure 4, this study displayed the sample literature analyzed using the funnel plot. The findings demonstrated evenly distributed effect sizes surrounding the overall effect size, with the funnel plot showing an inverted shape, indicating no publication bias. To enhance reliability, this study used the fail-safe coefficient method to investigate publication bias further. The fail-safe coefficient method is a quantitative approach employed for the evaluation of publication bias. It determines the number of unpublished studies with null results that would be necessary to reduce the cumulative effect to a statistically insignificant level. As shown in Table 1, the fail-safe coefficient in this study was 85,849, significantly higher than 1005, indicating robust and unbiased results. 4.2. Overall Test This study conducted an overall test on the included effect sizes and their standard errors, which consists of a heterogeneity test and model result evaluation. By combining the effect sizes, the reliability of the hypothesis regarding the relationship between health insurance and pharmaceutical innovation was comprehensively assessed. The heterogeneity level is typically assessed using the Q statistic, its significance level, and I2 [54]. When Q &gt; df(Q), p &lt; 0.05, and I2 &gt; 75%, the results of various studies are considered heterogeneous, and a random-effects model should be chosen to combine the effect sizes. Conversely, a fixed-effects model should be selected. Table 2 presents the results of the overall test for health insurance and pharmaceutical innovation. From the perspective of the heterogeneity test, Q = 3213.01 &gt; 198, p &lt; 0.05, and I2 = 93.84%, indicating a high heterogeneity among the 202 effect sizes included in the meta-analysis. The true differences in effect sizes account for 93.84% of the observed variability, while the remaining 6.16% is due to random error. Therefore, a random-effects model should be selected. The variance value is 0.324, indicating that 32% of the variation between studies can be used to calculate the weights. The results of the model testing show a correlation coefficient of 0.367 between health insurance and pharmaceutical innovation, with a 95% confidence interval of [0.294, 0.436]. Gignac and Szodorai provided guidelines for the purposes of interpreting the magnitude of a correlation [55]. Specifically, r = 0.10, r = 0.20, and r = 0.50 were recommended to be considered small, medium, and large in magnitude, respectively. Based on this standard, the correlation coefficient between health insurance and pharmaceutical innovation in this study exceeds 0.3, indicating a robust positive correlation and confirming Hypothesis 1. The correlation coefficients for the pharmaceutical patent applications, pharmaceutical research and development investment, and clinical trials are 0.485, 0.159, and 0.258, respectively. All coefficients are statistically significant within the 95% confidence interval (p &lt; 0.05). This suggests that health insurance has a positive impact on the number of pharmaceutical patent applications, R&amp;D investment, and clinical trials, thus validating hypotheses H1a, H1b, and H1c. Among them, patent applications and R&amp;D investment are highly positively correlated with medical insurance, while the number of clinical trials is moderately positively correlated with pharmaceutical innovation. Meta-analysis scientifically evaluates the relationship between health insurance and pharmaceutical innovation as a whole, addressing the question of whether health insurance promotes pharmaceutical innovation. Furthermore, we found that there exists a large positive correlation between health insurance and pharmaceutical innovation. However, significant variations exist in the effect sizes across different research reports. Possible moderating factors may influence the strength of the effect size, necessitating further investigation to identify reasons for the inconsistency in effect sizes. 4.3. Moderation Effect Testing The previous section’s analysis of overall effect testing revealed heterogeneity in this study, suggesting that the role of health insurance in pharmaceutical innovation is impacted by potential moderating variables. In order to test the reliability of the research conclusions and analyze the reasons for the inconsistency of the conclusions, subgroup analysis needs to be used to test the moderating variables [56]. Table 3 reports the results of the subgroup analysis. Specifically: (1) The P values of the moderation tests for the United States and China (p = 0.001 &lt; 0.05) both reached significance, indicating that the country of sample origin has a significant moderating effect on the relationship between health insurance and pharmaceutical innovation. Health insurance policies have a stronger promoting effect on pharmaceutical innovation in the Chinese sample (r = 0.473) compared to the US sample (r = 0.236). Thus, Hypothesis H2 is validated. (2) The moderation test yielded a significant p value (p = 0.001 &lt; 0.05), indicating that the data’s starting year has a stronger promoting effect on pharmaceutical innovation before the year 2000 (r = 0.433) compared to after the 2000 year (r = 0.173). Therefore, Hypothesis H3 is supported. (3) The moderation test yielded a significant P value for publication years (p = 0.000 &lt; 0.05), suggesting that the publication year has a significant moderating effect on the relationship between health insurance and pharmaceutical innovation. The promoting effect of health insurance on pharmaceutical innovation is stronger before 2010 (r = 0.367) compared to after 2010 (r = 0.179). Therefore, Hypothesis H4 is validated. (4) The relationship between health insurance and pharmaceutical innovation is significantly moderated by the journal impact factor, as evidenced by a Q value (between groups) of 2535.24 and p = 0.034. These findings indicate that a higher journal impact factor is associated with more positive results in the relationship between health insurance and pharmaceutical innovation. Thus, Hypothesis H5 is supported. (5) The moderation effect of document type on the relationship between health insurance and pharmaceutical innovation is not significant. Therefore, Hypothesis H6 is not validated. (6) Health insurance type (p = 0.014 &lt; 0.05) can significantly moderate the relationship between health insurance and pharmaceutical innovation. Therefore, Hypothesis H7 is validated. (7) The relationship between health insurance and pharmaceutical innovation is significantly moderated by the analytical perspective, as confirmed by a Q value (between groups) of 37.63 and p = 0.000. These findings suggest that a broader research perspective is associated with more positive results in the relationship between health insurance and pharmaceutical innovation. Thus, Hypothesis H8 is validated. 5. Discussion and Conclusions 5.1. Summary and Conclusion Prior perspectives and findings on the relationship between health insurance and pharmaceutical innovation have shown inconsistency, yet no research has emerged to clarify this issue. This study conducted a meta-analysis to assess the overall relationship between health insurance and pharmaceutical innovation, revealing a strongly positive correlation. This finding demonstrates that health insurance positively influences pharmaceutical innovation, supporting the initial perspective and resolving the debate regarding the relationship’s magnitude and direction. This study refutes the notion of a negative or non-existent correlation between health insurance and pharmaceutical innovation, highlighting the statistically significant relationship that should not be disregarded or overstated in practical applications. Specifically, during the process of promoting pharmaceutical innovation, </w:t>
      </w:r>
      <w:r w:rsidRPr="00DD2D90">
        <w:rPr>
          <w:rStyle w:val="StyleUnderline"/>
        </w:rPr>
        <w:t>health insurance has a positive impact on pharmaceutical patent applications, R&amp;D investment, and clinical trials</w:t>
      </w:r>
      <w:r w:rsidRPr="009278EB">
        <w:rPr>
          <w:sz w:val="16"/>
        </w:rPr>
        <w:t xml:space="preserve">. Firstly, </w:t>
      </w:r>
      <w:r w:rsidRPr="00DD2D90">
        <w:rPr>
          <w:rStyle w:val="StyleUnderline"/>
        </w:rPr>
        <w:t>health insurance can</w:t>
      </w:r>
      <w:r w:rsidRPr="009278EB">
        <w:rPr>
          <w:sz w:val="16"/>
        </w:rPr>
        <w:t xml:space="preserve"> </w:t>
      </w:r>
      <w:r w:rsidRPr="00DD2D90">
        <w:rPr>
          <w:rStyle w:val="StyleUnderline"/>
        </w:rPr>
        <w:t>encourage</w:t>
      </w:r>
      <w:r w:rsidRPr="009278EB">
        <w:rPr>
          <w:sz w:val="16"/>
        </w:rPr>
        <w:t xml:space="preserve"> pharmaceutical companies and research institutions to conduct </w:t>
      </w:r>
      <w:r w:rsidRPr="00DD2D90">
        <w:rPr>
          <w:rStyle w:val="StyleUnderline"/>
        </w:rPr>
        <w:t>new drug research and increase</w:t>
      </w:r>
      <w:r w:rsidRPr="009278EB">
        <w:rPr>
          <w:sz w:val="16"/>
        </w:rPr>
        <w:t xml:space="preserve"> the number of </w:t>
      </w:r>
      <w:r w:rsidRPr="00DD2D90">
        <w:rPr>
          <w:rStyle w:val="StyleUnderline"/>
        </w:rPr>
        <w:t>patent applications</w:t>
      </w:r>
      <w:r w:rsidRPr="009278EB">
        <w:rPr>
          <w:sz w:val="16"/>
        </w:rPr>
        <w:t xml:space="preserve">. Health insurance plays a significant role in alleviating the economic burden on patients during treatment by providing reimbursement or compensation for medical expenses. </w:t>
      </w:r>
      <w:r w:rsidRPr="00DD2D90">
        <w:rPr>
          <w:rStyle w:val="StyleUnderline"/>
        </w:rPr>
        <w:t>This</w:t>
      </w:r>
      <w:r w:rsidRPr="009278EB">
        <w:rPr>
          <w:sz w:val="16"/>
        </w:rPr>
        <w:t xml:space="preserve">, in turn, </w:t>
      </w:r>
      <w:r w:rsidRPr="00DD2D90">
        <w:rPr>
          <w:rStyle w:val="StyleUnderline"/>
        </w:rPr>
        <w:t>promotes consumption upgrading within the pharmaceutical industry</w:t>
      </w:r>
      <w:r w:rsidRPr="009278EB">
        <w:rPr>
          <w:sz w:val="16"/>
        </w:rPr>
        <w:t xml:space="preserve">. As a result, </w:t>
      </w:r>
      <w:r w:rsidRPr="00DD2D90">
        <w:rPr>
          <w:rStyle w:val="StyleUnderline"/>
        </w:rPr>
        <w:t>there is an increased market demand for new drugs</w:t>
      </w:r>
      <w:r w:rsidRPr="009278EB">
        <w:rPr>
          <w:sz w:val="16"/>
        </w:rPr>
        <w:t xml:space="preserve">, which incentivizes pharmaceutical companies to engage in research and development activities and file more patent applications to safeguard their innovative achievements. </w:t>
      </w:r>
      <w:r w:rsidRPr="00DD2D90">
        <w:rPr>
          <w:rStyle w:val="StyleUnderline"/>
        </w:rPr>
        <w:t xml:space="preserve">The popularity of health </w:t>
      </w:r>
      <w:r w:rsidRPr="00DD2D90">
        <w:rPr>
          <w:rStyle w:val="StyleUnderline"/>
          <w:highlight w:val="green"/>
        </w:rPr>
        <w:t xml:space="preserve">insurance serves as an economic </w:t>
      </w:r>
      <w:r w:rsidRPr="00DD2D90">
        <w:rPr>
          <w:rStyle w:val="Emphasis"/>
          <w:highlight w:val="green"/>
        </w:rPr>
        <w:t>stimulant</w:t>
      </w:r>
      <w:r w:rsidRPr="00DD2D90">
        <w:rPr>
          <w:rStyle w:val="StyleUnderline"/>
        </w:rPr>
        <w:t xml:space="preserve"> and motivator </w:t>
      </w:r>
      <w:r w:rsidRPr="00DD2D90">
        <w:rPr>
          <w:rStyle w:val="StyleUnderline"/>
          <w:highlight w:val="green"/>
        </w:rPr>
        <w:t>for</w:t>
      </w:r>
      <w:r w:rsidRPr="00DD2D90">
        <w:rPr>
          <w:rStyle w:val="StyleUnderline"/>
        </w:rPr>
        <w:t xml:space="preserve"> pharmaceutical </w:t>
      </w:r>
      <w:r w:rsidRPr="00DD2D90">
        <w:rPr>
          <w:rStyle w:val="StyleUnderline"/>
          <w:highlight w:val="green"/>
        </w:rPr>
        <w:t>innovation</w:t>
      </w:r>
      <w:r w:rsidRPr="009278EB">
        <w:rPr>
          <w:sz w:val="16"/>
        </w:rPr>
        <w:t xml:space="preserve">. </w:t>
      </w:r>
      <w:r w:rsidRPr="00DD2D90">
        <w:rPr>
          <w:rStyle w:val="StyleUnderline"/>
        </w:rPr>
        <w:t xml:space="preserve">When drugs are included in the health insurance catalog, </w:t>
      </w:r>
      <w:r w:rsidRPr="00DD2D90">
        <w:rPr>
          <w:rStyle w:val="StyleUnderline"/>
          <w:highlight w:val="green"/>
        </w:rPr>
        <w:t>enterprises receive a</w:t>
      </w:r>
      <w:r w:rsidRPr="00DD2D90">
        <w:rPr>
          <w:rStyle w:val="StyleUnderline"/>
        </w:rPr>
        <w:t xml:space="preserve"> </w:t>
      </w:r>
      <w:r w:rsidRPr="00DD2D90">
        <w:rPr>
          <w:rStyle w:val="Emphasis"/>
          <w:highlight w:val="green"/>
        </w:rPr>
        <w:t>substantial</w:t>
      </w:r>
      <w:r w:rsidRPr="00DD2D90">
        <w:rPr>
          <w:rStyle w:val="StyleUnderline"/>
          <w:highlight w:val="green"/>
        </w:rPr>
        <w:t xml:space="preserve"> number of purchase</w:t>
      </w:r>
      <w:r w:rsidRPr="00DD2D90">
        <w:rPr>
          <w:rStyle w:val="StyleUnderline"/>
        </w:rPr>
        <w:t xml:space="preserve"> </w:t>
      </w:r>
      <w:r w:rsidRPr="00DD2D90">
        <w:rPr>
          <w:rStyle w:val="StyleUnderline"/>
          <w:highlight w:val="green"/>
        </w:rPr>
        <w:t>orders</w:t>
      </w:r>
      <w:r w:rsidRPr="00DD2D90">
        <w:rPr>
          <w:rStyle w:val="StyleUnderline"/>
        </w:rPr>
        <w:t xml:space="preserve">, </w:t>
      </w:r>
      <w:r w:rsidRPr="00DD2D90">
        <w:rPr>
          <w:rStyle w:val="StyleUnderline"/>
          <w:highlight w:val="green"/>
        </w:rPr>
        <w:t>enabling them to</w:t>
      </w:r>
      <w:r w:rsidRPr="00DD2D90">
        <w:rPr>
          <w:rStyle w:val="StyleUnderline"/>
        </w:rPr>
        <w:t xml:space="preserve"> swiftly establish dominance in the pharmaceutical market and </w:t>
      </w:r>
      <w:r w:rsidRPr="00DD2D90">
        <w:rPr>
          <w:rStyle w:val="StyleUnderline"/>
          <w:highlight w:val="green"/>
        </w:rPr>
        <w:t xml:space="preserve">achieve </w:t>
      </w:r>
      <w:r w:rsidRPr="00DD2D90">
        <w:rPr>
          <w:rStyle w:val="Emphasis"/>
          <w:highlight w:val="green"/>
        </w:rPr>
        <w:t>significant</w:t>
      </w:r>
      <w:r w:rsidRPr="00DD2D90">
        <w:rPr>
          <w:rStyle w:val="StyleUnderline"/>
          <w:highlight w:val="green"/>
        </w:rPr>
        <w:t xml:space="preserve"> profits</w:t>
      </w:r>
      <w:r w:rsidRPr="009278EB">
        <w:rPr>
          <w:sz w:val="16"/>
        </w:rPr>
        <w:t xml:space="preserve">. In addition, the </w:t>
      </w:r>
      <w:r w:rsidRPr="00DD2D90">
        <w:rPr>
          <w:rStyle w:val="StyleUnderline"/>
          <w:highlight w:val="green"/>
        </w:rPr>
        <w:t>inclusion</w:t>
      </w:r>
      <w:r w:rsidRPr="009278EB">
        <w:rPr>
          <w:sz w:val="16"/>
        </w:rPr>
        <w:t xml:space="preserve"> of drugs </w:t>
      </w:r>
      <w:r w:rsidRPr="00DD2D90">
        <w:rPr>
          <w:rStyle w:val="StyleUnderline"/>
        </w:rPr>
        <w:t>in the health insurance</w:t>
      </w:r>
      <w:r w:rsidRPr="009278EB">
        <w:rPr>
          <w:sz w:val="16"/>
        </w:rPr>
        <w:t xml:space="preserve"> </w:t>
      </w:r>
      <w:r w:rsidRPr="00DD2D90">
        <w:rPr>
          <w:rStyle w:val="StyleUnderline"/>
        </w:rPr>
        <w:t xml:space="preserve">catalog </w:t>
      </w:r>
      <w:r w:rsidRPr="00DD2D90">
        <w:rPr>
          <w:rStyle w:val="StyleUnderline"/>
          <w:highlight w:val="green"/>
        </w:rPr>
        <w:t xml:space="preserve">signals </w:t>
      </w:r>
      <w:r w:rsidRPr="00DD2D90">
        <w:rPr>
          <w:rStyle w:val="Emphasis"/>
          <w:highlight w:val="green"/>
        </w:rPr>
        <w:t>superior</w:t>
      </w:r>
      <w:r w:rsidRPr="00DD2D90">
        <w:rPr>
          <w:rStyle w:val="StyleUnderline"/>
          <w:highlight w:val="green"/>
        </w:rPr>
        <w:t xml:space="preserve"> drug quality</w:t>
      </w:r>
      <w:r w:rsidRPr="00DD2D90">
        <w:rPr>
          <w:rStyle w:val="StyleUnderline"/>
        </w:rPr>
        <w:t xml:space="preserve">, </w:t>
      </w:r>
      <w:r w:rsidRPr="00DD2D90">
        <w:rPr>
          <w:rStyle w:val="StyleUnderline"/>
          <w:highlight w:val="green"/>
        </w:rPr>
        <w:t>mitigating sales risks and reducing promotion costs</w:t>
      </w:r>
      <w:r w:rsidRPr="00DD2D90">
        <w:rPr>
          <w:rStyle w:val="StyleUnderline"/>
        </w:rPr>
        <w:t xml:space="preserve"> for enterprises</w:t>
      </w:r>
      <w:r w:rsidRPr="009278EB">
        <w:rPr>
          <w:sz w:val="16"/>
        </w:rPr>
        <w:t xml:space="preserve">. This, in turn, enables them to allocate greater funds towards pharmaceutical research and development. Consequently, pharmaceutical companies and research institutions are encouraged to increase their investment in research and development, including securing additional research funding, acquiring laboratory equipment, and expanding their research team. These </w:t>
      </w:r>
      <w:r w:rsidRPr="00DD2D90">
        <w:rPr>
          <w:rStyle w:val="StyleUnderline"/>
        </w:rPr>
        <w:t>investments expedite the pace of drug innovation, enhancing the quality and quantity of new drug development</w:t>
      </w:r>
      <w:r w:rsidRPr="009278EB">
        <w:rPr>
          <w:sz w:val="16"/>
        </w:rPr>
        <w:t xml:space="preserve">. Furthermore, </w:t>
      </w:r>
      <w:r w:rsidRPr="00DD2D90">
        <w:rPr>
          <w:rStyle w:val="StyleUnderline"/>
        </w:rPr>
        <w:t>health insurance facilitates the execution of clinical trials by enabling a larger pool of patients to participate</w:t>
      </w:r>
      <w:r w:rsidRPr="009278EB">
        <w:rPr>
          <w:sz w:val="16"/>
        </w:rPr>
        <w:t xml:space="preserve">, thereby </w:t>
      </w:r>
      <w:r w:rsidRPr="00DD2D90">
        <w:rPr>
          <w:rStyle w:val="StyleUnderline"/>
        </w:rPr>
        <w:t>generating a richer dataset and an increased number of cases for drug development</w:t>
      </w:r>
      <w:r w:rsidRPr="009278EB">
        <w:rPr>
          <w:sz w:val="16"/>
        </w:rPr>
        <w:t xml:space="preserve">. Moreover, </w:t>
      </w:r>
      <w:r w:rsidRPr="00DD2D90">
        <w:rPr>
          <w:rStyle w:val="StyleUnderline"/>
        </w:rPr>
        <w:t>health insurance offers economic assistance to clinical trials</w:t>
      </w:r>
      <w:r w:rsidRPr="009278EB">
        <w:rPr>
          <w:sz w:val="16"/>
        </w:rPr>
        <w:t xml:space="preserve">, alleviating the financial burden on participants and </w:t>
      </w:r>
      <w:r w:rsidRPr="00DD2D90">
        <w:rPr>
          <w:rStyle w:val="StyleUnderline"/>
        </w:rPr>
        <w:t>facilitating trial conduction, as well as</w:t>
      </w:r>
      <w:r w:rsidRPr="009278EB">
        <w:rPr>
          <w:sz w:val="16"/>
        </w:rPr>
        <w:t xml:space="preserve"> the </w:t>
      </w:r>
      <w:r w:rsidRPr="00DD2D90">
        <w:rPr>
          <w:rStyle w:val="StyleUnderline"/>
        </w:rPr>
        <w:t>recruitment</w:t>
      </w:r>
      <w:r w:rsidRPr="009278EB">
        <w:rPr>
          <w:sz w:val="16"/>
        </w:rPr>
        <w:t xml:space="preserve"> of a larger number of patients. This plays a critical role in substantiating and verifying the safety and effectiveness of new drugs. 5.2. Discussion</w:t>
      </w:r>
    </w:p>
    <w:p w14:paraId="54F24F22" w14:textId="68D9C1F7" w:rsidR="00893021" w:rsidRPr="009278EB" w:rsidRDefault="00AA72F1" w:rsidP="00893021">
      <w:pPr>
        <w:pStyle w:val="Heading4"/>
        <w:rPr>
          <w:szCs w:val="26"/>
        </w:rPr>
      </w:pPr>
      <w:r w:rsidRPr="009278EB">
        <w:rPr>
          <w:szCs w:val="26"/>
        </w:rPr>
        <w:t xml:space="preserve">Err aff </w:t>
      </w:r>
      <w:r w:rsidR="0017095C" w:rsidRPr="009278EB">
        <w:rPr>
          <w:szCs w:val="26"/>
        </w:rPr>
        <w:t xml:space="preserve">on innovation </w:t>
      </w:r>
      <w:r w:rsidRPr="009278EB">
        <w:rPr>
          <w:szCs w:val="26"/>
        </w:rPr>
        <w:t>– pharmaceutical innovation is low now due to short-term stock price focus</w:t>
      </w:r>
      <w:r w:rsidR="009A270A" w:rsidRPr="009278EB">
        <w:rPr>
          <w:szCs w:val="26"/>
        </w:rPr>
        <w:t xml:space="preserve"> and </w:t>
      </w:r>
      <w:r w:rsidRPr="009278EB">
        <w:rPr>
          <w:szCs w:val="26"/>
        </w:rPr>
        <w:t xml:space="preserve">corporate </w:t>
      </w:r>
      <w:proofErr w:type="gramStart"/>
      <w:r w:rsidRPr="009278EB">
        <w:rPr>
          <w:szCs w:val="26"/>
        </w:rPr>
        <w:t>buy-outs</w:t>
      </w:r>
      <w:proofErr w:type="gramEnd"/>
    </w:p>
    <w:p w14:paraId="6ED2A4BD" w14:textId="77777777" w:rsidR="00893021" w:rsidRPr="00DD2D90" w:rsidRDefault="00893021" w:rsidP="00893021">
      <w:r w:rsidRPr="009278EB">
        <w:rPr>
          <w:b/>
          <w:bCs/>
          <w:sz w:val="26"/>
          <w:szCs w:val="26"/>
        </w:rPr>
        <w:t>Sell 21</w:t>
      </w:r>
      <w:r w:rsidRPr="00DD2D90">
        <w:t xml:space="preserve"> [Susan K. Sell, researcher at the School of Regulation and Global Governance at The Australian National University, 6-19-2021, "21st Century Capitalism and Innovation for Health", Wiley Online Library, https://onlinelibrary.wiley.com/doi/10.1111/1758-5899.12911]/Kankee</w:t>
      </w:r>
    </w:p>
    <w:p w14:paraId="2206DB40" w14:textId="77777777" w:rsidR="00893021" w:rsidRPr="009278EB" w:rsidRDefault="00893021" w:rsidP="00893021">
      <w:pPr>
        <w:rPr>
          <w:sz w:val="16"/>
        </w:rPr>
      </w:pPr>
      <w:r w:rsidRPr="009278EB">
        <w:rPr>
          <w:sz w:val="16"/>
        </w:rPr>
        <w:t xml:space="preserve">Financial incentives and pharmaceuticals: Wall Street capitalism meets Monopoly capitalism (terms from Braithwaite, 2019) One can see how financialization changes the behavior of non-financial corporations when examining the pharmaceutical sector (Busfield, 2020). Pharmaceutical innovation substantially has changed as a result of structural economic transformation. </w:t>
      </w:r>
      <w:r w:rsidRPr="00DD2D90">
        <w:rPr>
          <w:rStyle w:val="StyleUnderline"/>
          <w:highlight w:val="green"/>
        </w:rPr>
        <w:t>In the past</w:t>
      </w:r>
      <w:r w:rsidRPr="00DD2D90">
        <w:rPr>
          <w:rStyle w:val="StyleUnderline"/>
        </w:rPr>
        <w:t>, ‘large, vertically integrated firms carried out</w:t>
      </w:r>
      <w:r w:rsidRPr="009278EB">
        <w:rPr>
          <w:sz w:val="16"/>
        </w:rPr>
        <w:t xml:space="preserve"> virtually </w:t>
      </w:r>
      <w:r w:rsidRPr="00DD2D90">
        <w:rPr>
          <w:rStyle w:val="StyleUnderline"/>
        </w:rPr>
        <w:t>all</w:t>
      </w:r>
      <w:r w:rsidRPr="009278EB">
        <w:rPr>
          <w:sz w:val="16"/>
        </w:rPr>
        <w:t xml:space="preserve"> the </w:t>
      </w:r>
      <w:r w:rsidRPr="00DD2D90">
        <w:rPr>
          <w:rStyle w:val="StyleUnderline"/>
        </w:rPr>
        <w:t>stages</w:t>
      </w:r>
      <w:r w:rsidRPr="009278EB">
        <w:rPr>
          <w:sz w:val="16"/>
        </w:rPr>
        <w:t xml:space="preserve"> of the drug discovery and commercialisation process, from the discovery of the New Molecular Entities (NMEs) that constitute the active ingredients in medicines to large-scale clinical trials, production and marketing’ (Gleadle, et al., 2014, p. 68). </w:t>
      </w:r>
      <w:r w:rsidRPr="00DD2D90">
        <w:rPr>
          <w:rStyle w:val="StyleUnderline"/>
        </w:rPr>
        <w:t xml:space="preserve">These </w:t>
      </w:r>
      <w:r w:rsidRPr="00DD2D90">
        <w:rPr>
          <w:rStyle w:val="StyleUnderline"/>
          <w:highlight w:val="green"/>
        </w:rPr>
        <w:t>firms</w:t>
      </w:r>
      <w:r w:rsidRPr="009278EB">
        <w:rPr>
          <w:sz w:val="16"/>
        </w:rPr>
        <w:t xml:space="preserve"> routinely </w:t>
      </w:r>
      <w:r w:rsidRPr="00DD2D90">
        <w:rPr>
          <w:rStyle w:val="StyleUnderline"/>
          <w:highlight w:val="green"/>
        </w:rPr>
        <w:t>re-invested</w:t>
      </w:r>
      <w:r w:rsidRPr="009278EB">
        <w:rPr>
          <w:sz w:val="16"/>
        </w:rPr>
        <w:t xml:space="preserve"> their </w:t>
      </w:r>
      <w:r w:rsidRPr="00DD2D90">
        <w:rPr>
          <w:rStyle w:val="StyleUnderline"/>
          <w:highlight w:val="green"/>
        </w:rPr>
        <w:t>profits</w:t>
      </w:r>
      <w:r w:rsidRPr="00DD2D90">
        <w:rPr>
          <w:rStyle w:val="StyleUnderline"/>
        </w:rPr>
        <w:t xml:space="preserve"> into in-house R&amp;D</w:t>
      </w:r>
      <w:r w:rsidRPr="009278EB">
        <w:rPr>
          <w:sz w:val="16"/>
        </w:rPr>
        <w:t xml:space="preserve">, training </w:t>
      </w:r>
      <w:r w:rsidRPr="00DD2D90">
        <w:rPr>
          <w:rStyle w:val="StyleUnderline"/>
        </w:rPr>
        <w:t>and</w:t>
      </w:r>
      <w:r w:rsidRPr="009278EB">
        <w:rPr>
          <w:sz w:val="16"/>
        </w:rPr>
        <w:t xml:space="preserve"> retention of skilled </w:t>
      </w:r>
      <w:r w:rsidRPr="00DD2D90">
        <w:rPr>
          <w:rStyle w:val="StyleUnderline"/>
        </w:rPr>
        <w:t>employees</w:t>
      </w:r>
      <w:r w:rsidRPr="009278EB">
        <w:rPr>
          <w:sz w:val="16"/>
        </w:rPr>
        <w:t xml:space="preserve"> (Busfield, 2020; Lazonick, 2018). </w:t>
      </w:r>
      <w:r w:rsidRPr="00DD2D90">
        <w:rPr>
          <w:rStyle w:val="StyleUnderline"/>
          <w:highlight w:val="green"/>
        </w:rPr>
        <w:t>Now</w:t>
      </w:r>
      <w:r w:rsidRPr="009278EB">
        <w:rPr>
          <w:sz w:val="16"/>
          <w:highlight w:val="green"/>
        </w:rPr>
        <w:t xml:space="preserve"> </w:t>
      </w:r>
      <w:r w:rsidRPr="00DD2D90">
        <w:rPr>
          <w:rStyle w:val="StyleUnderline"/>
        </w:rPr>
        <w:t xml:space="preserve">industry </w:t>
      </w:r>
      <w:r w:rsidRPr="00DD2D90">
        <w:rPr>
          <w:rStyle w:val="StyleUnderline"/>
          <w:highlight w:val="green"/>
        </w:rPr>
        <w:t>trends include</w:t>
      </w:r>
      <w:r w:rsidRPr="009278EB">
        <w:rPr>
          <w:sz w:val="16"/>
        </w:rPr>
        <w:t xml:space="preserve"> fragmentation of functions, or </w:t>
      </w:r>
      <w:r w:rsidRPr="00DD2D90">
        <w:rPr>
          <w:rStyle w:val="Emphasis"/>
          <w:highlight w:val="green"/>
        </w:rPr>
        <w:t>vertical disintegration</w:t>
      </w:r>
      <w:r w:rsidRPr="009278EB">
        <w:rPr>
          <w:sz w:val="16"/>
        </w:rPr>
        <w:t xml:space="preserve">, </w:t>
      </w:r>
      <w:r w:rsidRPr="00DD2D90">
        <w:rPr>
          <w:rStyle w:val="StyleUnderline"/>
          <w:highlight w:val="green"/>
        </w:rPr>
        <w:t>and</w:t>
      </w:r>
      <w:r w:rsidRPr="009278EB">
        <w:rPr>
          <w:sz w:val="16"/>
        </w:rPr>
        <w:t xml:space="preserve"> a rise in </w:t>
      </w:r>
      <w:r w:rsidRPr="00DD2D90">
        <w:rPr>
          <w:rStyle w:val="Emphasis"/>
          <w:highlight w:val="green"/>
        </w:rPr>
        <w:t>horizontal integration</w:t>
      </w:r>
      <w:r w:rsidRPr="009278EB">
        <w:rPr>
          <w:sz w:val="16"/>
        </w:rPr>
        <w:t xml:space="preserve"> </w:t>
      </w:r>
      <w:r w:rsidRPr="00DD2D90">
        <w:rPr>
          <w:rStyle w:val="StyleUnderline"/>
        </w:rPr>
        <w:t>through mergers and acquisitions</w:t>
      </w:r>
      <w:r w:rsidRPr="009278EB">
        <w:rPr>
          <w:sz w:val="16"/>
        </w:rPr>
        <w:t xml:space="preserve">. The </w:t>
      </w:r>
      <w:r w:rsidRPr="00DD2D90">
        <w:rPr>
          <w:rStyle w:val="StyleUnderline"/>
        </w:rPr>
        <w:t>big firms engage in far less innovation</w:t>
      </w:r>
      <w:r w:rsidRPr="009278EB">
        <w:rPr>
          <w:sz w:val="16"/>
        </w:rPr>
        <w:t xml:space="preserve"> than in the past, and instead seek out firms to acquire that have developed promising pharmaceutical innovations. For example, in 2018 Merck and Pfizer grew large ‘by acquiring “blockbuster” drugs [those with at least $1 billion in sales in one year] that other companies have developed and then milking them for revenues over their remaining patent lives’ (Lazonick et al, 2019, p. 4). According to Tyfield (2008, p. 557), ‘</w:t>
      </w:r>
      <w:r w:rsidRPr="00DD2D90">
        <w:rPr>
          <w:rStyle w:val="StyleUnderline"/>
          <w:highlight w:val="green"/>
        </w:rPr>
        <w:t>the importance of</w:t>
      </w:r>
      <w:r w:rsidRPr="00DD2D90">
        <w:rPr>
          <w:rStyle w:val="StyleUnderline"/>
        </w:rPr>
        <w:t xml:space="preserve"> the demand from </w:t>
      </w:r>
      <w:r w:rsidRPr="00DD2D90">
        <w:rPr>
          <w:rStyle w:val="StyleUnderline"/>
          <w:highlight w:val="green"/>
        </w:rPr>
        <w:t>Wall Street</w:t>
      </w:r>
      <w:r w:rsidRPr="00DD2D90">
        <w:rPr>
          <w:rStyle w:val="StyleUnderline"/>
        </w:rPr>
        <w:t xml:space="preserve"> for high profit margins in order to maintain share prices </w:t>
      </w:r>
      <w:r w:rsidRPr="00DD2D90">
        <w:rPr>
          <w:rStyle w:val="StyleUnderline"/>
          <w:highlight w:val="green"/>
        </w:rPr>
        <w:t>has been</w:t>
      </w:r>
      <w:r w:rsidRPr="00DD2D90">
        <w:rPr>
          <w:rStyle w:val="StyleUnderline"/>
        </w:rPr>
        <w:t xml:space="preserve"> singled out as </w:t>
      </w:r>
      <w:r w:rsidRPr="00DD2D90">
        <w:rPr>
          <w:rStyle w:val="StyleUnderline"/>
          <w:highlight w:val="green"/>
        </w:rPr>
        <w:t>a major factor in</w:t>
      </w:r>
      <w:r w:rsidRPr="00DD2D90">
        <w:rPr>
          <w:rStyle w:val="StyleUnderline"/>
        </w:rPr>
        <w:t xml:space="preserve"> the </w:t>
      </w:r>
      <w:r w:rsidRPr="00DD2D90">
        <w:rPr>
          <w:rStyle w:val="Emphasis"/>
        </w:rPr>
        <w:t>futile</w:t>
      </w:r>
      <w:r w:rsidRPr="00DD2D90">
        <w:rPr>
          <w:rStyle w:val="StyleUnderline"/>
        </w:rPr>
        <w:t xml:space="preserve"> production of patented and branded </w:t>
      </w:r>
      <w:r w:rsidRPr="00DD2D90">
        <w:rPr>
          <w:rStyle w:val="Emphasis"/>
          <w:highlight w:val="green"/>
        </w:rPr>
        <w:t>me-too drugs</w:t>
      </w:r>
      <w:r w:rsidRPr="00DD2D90">
        <w:rPr>
          <w:rStyle w:val="StyleUnderline"/>
        </w:rPr>
        <w:t xml:space="preserve"> by big pharma’</w:t>
      </w:r>
      <w:r w:rsidRPr="009278EB">
        <w:rPr>
          <w:sz w:val="16"/>
        </w:rPr>
        <w:t xml:space="preserve">. </w:t>
      </w:r>
      <w:r w:rsidRPr="00DD2D90">
        <w:rPr>
          <w:rStyle w:val="StyleUnderline"/>
        </w:rPr>
        <w:t>This is</w:t>
      </w:r>
      <w:r w:rsidRPr="009278EB">
        <w:rPr>
          <w:sz w:val="16"/>
        </w:rPr>
        <w:t xml:space="preserve"> an important reason </w:t>
      </w:r>
      <w:r w:rsidRPr="00DD2D90">
        <w:rPr>
          <w:rStyle w:val="StyleUnderline"/>
        </w:rPr>
        <w:t>why there are multiple versions of erectile dysfunction and hair loss drugs and a paucity of drugs for lethal afflictions of the poor, particularly in the global south</w:t>
      </w:r>
      <w:r w:rsidRPr="009278EB">
        <w:rPr>
          <w:sz w:val="16"/>
        </w:rPr>
        <w:t xml:space="preserve">. </w:t>
      </w:r>
      <w:r w:rsidRPr="00DD2D90">
        <w:rPr>
          <w:rStyle w:val="Emphasis"/>
        </w:rPr>
        <w:t>Financialization</w:t>
      </w:r>
      <w:r w:rsidRPr="009278EB">
        <w:rPr>
          <w:sz w:val="16"/>
        </w:rPr>
        <w:t xml:space="preserve"> in the pharmaceutical sector has </w:t>
      </w:r>
      <w:r w:rsidRPr="00DD2D90">
        <w:rPr>
          <w:rStyle w:val="StyleUnderline"/>
        </w:rPr>
        <w:t>meant ‘a change in strategic priority</w:t>
      </w:r>
      <w:r w:rsidRPr="009278EB">
        <w:rPr>
          <w:sz w:val="16"/>
        </w:rPr>
        <w:t xml:space="preserve"> from delivering value to customers (in the form of marketable products) </w:t>
      </w:r>
      <w:r w:rsidRPr="00DD2D90">
        <w:rPr>
          <w:rStyle w:val="StyleUnderline"/>
        </w:rPr>
        <w:t>to</w:t>
      </w:r>
      <w:r w:rsidRPr="009278EB">
        <w:rPr>
          <w:sz w:val="16"/>
        </w:rPr>
        <w:t xml:space="preserve"> delivering value to </w:t>
      </w:r>
      <w:r w:rsidRPr="00DD2D90">
        <w:rPr>
          <w:rStyle w:val="StyleUnderline"/>
        </w:rPr>
        <w:t>creditors and shareholders</w:t>
      </w:r>
      <w:r w:rsidRPr="009278EB">
        <w:rPr>
          <w:sz w:val="16"/>
        </w:rPr>
        <w:t xml:space="preserve"> (in the form of distributable profit or financial instruments saleable at profit)’ (Gleadle et al, 2014, p- 71). Tables 1 and 2 illustrate the differences between the integrated and financialized models for both Pharma and Biotech. Under this new financialized model, </w:t>
      </w:r>
      <w:r w:rsidRPr="00DD2D90">
        <w:rPr>
          <w:rStyle w:val="StyleUnderline"/>
        </w:rPr>
        <w:t>executive compensation is stock based</w:t>
      </w:r>
      <w:r w:rsidRPr="009278EB">
        <w:rPr>
          <w:sz w:val="16"/>
        </w:rPr>
        <w:t xml:space="preserve">. Therefore, pharmaceutical and biotech </w:t>
      </w:r>
      <w:r w:rsidRPr="00DD2D90">
        <w:rPr>
          <w:rStyle w:val="StyleUnderline"/>
          <w:highlight w:val="green"/>
        </w:rPr>
        <w:t>executives are incentivized to boost share prices</w:t>
      </w:r>
      <w:r w:rsidRPr="009278EB">
        <w:rPr>
          <w:sz w:val="16"/>
        </w:rPr>
        <w:t xml:space="preserve"> (Lazonick et al, 2019). For example, in 2016 John C. Martin, CEO of Gilead Sciences, earned $98.4 million, of which 96 per cent was stock-based pay (Tulum and Lazonick, 2018). </w:t>
      </w:r>
      <w:r w:rsidRPr="00DD2D90">
        <w:rPr>
          <w:rStyle w:val="StyleUnderline"/>
        </w:rPr>
        <w:t xml:space="preserve">Pharmaceutical companies boost share prices </w:t>
      </w:r>
      <w:r w:rsidRPr="00DD2D90">
        <w:rPr>
          <w:rStyle w:val="StyleUnderline"/>
          <w:highlight w:val="green"/>
        </w:rPr>
        <w:t>by buying back shares</w:t>
      </w:r>
      <w:r w:rsidRPr="009278EB">
        <w:rPr>
          <w:sz w:val="16"/>
        </w:rPr>
        <w:t xml:space="preserve"> of their own companies on the open market. Until 1982 share buybacks were illegal. But that year the Securities and Exchange Commission introduced Rule 10b-18, allowing buybacks, which Lazonick (2018) has dubbed ‘a license to loot’. </w:t>
      </w:r>
      <w:r w:rsidRPr="00DD2D90">
        <w:rPr>
          <w:rStyle w:val="StyleUnderline"/>
        </w:rPr>
        <w:t xml:space="preserve">Instead of investing in productive activities, </w:t>
      </w:r>
      <w:r w:rsidRPr="00DD2D90">
        <w:rPr>
          <w:rStyle w:val="StyleUnderline"/>
          <w:highlight w:val="green"/>
        </w:rPr>
        <w:t xml:space="preserve">the ‘downsize-and-distribute </w:t>
      </w:r>
      <w:r w:rsidRPr="00DD2D90">
        <w:rPr>
          <w:rStyle w:val="StyleUnderline"/>
        </w:rPr>
        <w:t xml:space="preserve">resource-allocation </w:t>
      </w:r>
      <w:r w:rsidRPr="00DD2D90">
        <w:rPr>
          <w:rStyle w:val="StyleUnderline"/>
          <w:highlight w:val="green"/>
        </w:rPr>
        <w:t>model’ shifts resources to ‘</w:t>
      </w:r>
      <w:r w:rsidRPr="00DD2D90">
        <w:rPr>
          <w:rStyle w:val="Emphasis"/>
          <w:highlight w:val="green"/>
        </w:rPr>
        <w:t>unproductive</w:t>
      </w:r>
      <w:r w:rsidRPr="00DD2D90">
        <w:rPr>
          <w:rStyle w:val="StyleUnderline"/>
          <w:highlight w:val="green"/>
        </w:rPr>
        <w:t xml:space="preserve"> financial activities that benefit </w:t>
      </w:r>
      <w:r w:rsidRPr="00DD2D90">
        <w:rPr>
          <w:rStyle w:val="StyleUnderline"/>
        </w:rPr>
        <w:t xml:space="preserve">senior managers, shareholders and </w:t>
      </w:r>
      <w:r w:rsidRPr="00DD2D90">
        <w:rPr>
          <w:rStyle w:val="StyleUnderline"/>
          <w:highlight w:val="green"/>
        </w:rPr>
        <w:t>the financial sector’</w:t>
      </w:r>
      <w:r w:rsidRPr="009278EB">
        <w:rPr>
          <w:sz w:val="16"/>
        </w:rPr>
        <w:t xml:space="preserve"> (Busfield, 2020, p. 2; also see Lazonick, 2018). In 2019 </w:t>
      </w:r>
      <w:r w:rsidRPr="00DD2D90">
        <w:rPr>
          <w:rStyle w:val="StyleUnderline"/>
        </w:rPr>
        <w:t>institutional investors such as BlackRock, Vanguard, and State Street were the majority shareholders in pharmaceutical firms with holdings percentages ranging from 68–</w:t>
      </w:r>
      <w:r w:rsidRPr="00DD2D90">
        <w:rPr>
          <w:rStyle w:val="Emphasis"/>
        </w:rPr>
        <w:t>80 per cent</w:t>
      </w:r>
      <w:r w:rsidRPr="009278EB">
        <w:rPr>
          <w:sz w:val="16"/>
        </w:rPr>
        <w:t xml:space="preserve"> (Busfield, 2020). Today </w:t>
      </w:r>
      <w:r w:rsidRPr="00DD2D90">
        <w:rPr>
          <w:rStyle w:val="StyleUnderline"/>
          <w:highlight w:val="green"/>
        </w:rPr>
        <w:t>the bulk of</w:t>
      </w:r>
      <w:r w:rsidRPr="00DD2D90">
        <w:rPr>
          <w:rStyle w:val="StyleUnderline"/>
        </w:rPr>
        <w:t xml:space="preserve"> pharmaceutical firms’ </w:t>
      </w:r>
      <w:r w:rsidRPr="00DD2D90">
        <w:rPr>
          <w:rStyle w:val="StyleUnderline"/>
          <w:highlight w:val="green"/>
        </w:rPr>
        <w:t>profits are used to buy back shares</w:t>
      </w:r>
      <w:r w:rsidRPr="00DD2D90">
        <w:rPr>
          <w:rStyle w:val="StyleUnderline"/>
        </w:rPr>
        <w:t xml:space="preserve"> to drive up stock prices </w:t>
      </w:r>
      <w:r w:rsidRPr="00DD2D90">
        <w:rPr>
          <w:rStyle w:val="StyleUnderline"/>
          <w:highlight w:val="green"/>
        </w:rPr>
        <w:t>and distribute dividends</w:t>
      </w:r>
      <w:r w:rsidRPr="00DD2D90">
        <w:rPr>
          <w:rStyle w:val="StyleUnderline"/>
        </w:rPr>
        <w:t xml:space="preserve"> to shareholders</w:t>
      </w:r>
      <w:r w:rsidRPr="009278EB">
        <w:rPr>
          <w:sz w:val="16"/>
        </w:rPr>
        <w:t xml:space="preserve">. Between 2009 and 2018, 18 of the pharmaceutical firms publicly listed on the S&amp;P Exchange had combined profits of $588 billion; they spent $335 billion on buybacks and $287 billion on dividends (Lazonick et al, 2019). Some of the </w:t>
      </w:r>
      <w:r w:rsidRPr="00DD2D90">
        <w:rPr>
          <w:rStyle w:val="StyleUnderline"/>
          <w:highlight w:val="green"/>
        </w:rPr>
        <w:t>consequences</w:t>
      </w:r>
      <w:r w:rsidRPr="009278EB">
        <w:rPr>
          <w:sz w:val="16"/>
        </w:rPr>
        <w:t xml:space="preserve"> of this focus on share price </w:t>
      </w:r>
      <w:r w:rsidRPr="00DD2D90">
        <w:rPr>
          <w:rStyle w:val="StyleUnderline"/>
          <w:highlight w:val="green"/>
        </w:rPr>
        <w:t xml:space="preserve">include a </w:t>
      </w:r>
      <w:r w:rsidRPr="00DD2D90">
        <w:rPr>
          <w:rStyle w:val="Emphasis"/>
          <w:highlight w:val="green"/>
        </w:rPr>
        <w:t>short-term</w:t>
      </w:r>
      <w:r w:rsidRPr="00DD2D90">
        <w:rPr>
          <w:rStyle w:val="StyleUnderline"/>
          <w:highlight w:val="green"/>
        </w:rPr>
        <w:t xml:space="preserve"> orientation</w:t>
      </w:r>
      <w:r w:rsidRPr="00DD2D90">
        <w:rPr>
          <w:rStyle w:val="StyleUnderline"/>
        </w:rPr>
        <w:t xml:space="preserve"> (performance is measured quarterly), higher prices for pharmaceutical products to pay for buy backs and dividends, higher marketing costs, </w:t>
      </w:r>
      <w:r w:rsidRPr="00DD2D90">
        <w:rPr>
          <w:rStyle w:val="StyleUnderline"/>
          <w:highlight w:val="green"/>
        </w:rPr>
        <w:t>less money for R&amp;D</w:t>
      </w:r>
      <w:r w:rsidRPr="00DD2D90">
        <w:rPr>
          <w:rStyle w:val="StyleUnderline"/>
        </w:rPr>
        <w:t xml:space="preserve"> and the development of new drugs, and increased pressure to cut production and manufacturing costs</w:t>
      </w:r>
      <w:r w:rsidRPr="009278EB">
        <w:rPr>
          <w:sz w:val="16"/>
        </w:rPr>
        <w:t xml:space="preserve"> (Busfield, 2020).</w:t>
      </w:r>
    </w:p>
    <w:p w14:paraId="445AA8F2" w14:textId="77777777" w:rsidR="00EA6776" w:rsidRPr="009278EB" w:rsidRDefault="00EA6776">
      <w:pPr>
        <w:rPr>
          <w:rFonts w:eastAsiaTheme="majorEastAsia" w:cstheme="majorBidi"/>
          <w:b/>
          <w:iCs/>
          <w:sz w:val="16"/>
        </w:rPr>
      </w:pPr>
      <w:r w:rsidRPr="009278EB">
        <w:rPr>
          <w:sz w:val="16"/>
        </w:rPr>
        <w:br w:type="page"/>
      </w:r>
    </w:p>
    <w:p w14:paraId="13AE1EC6" w14:textId="77319629" w:rsidR="0082453E" w:rsidRPr="009278EB" w:rsidRDefault="00AA342A" w:rsidP="0082453E">
      <w:pPr>
        <w:pStyle w:val="Heading4"/>
        <w:rPr>
          <w:szCs w:val="26"/>
        </w:rPr>
      </w:pPr>
      <w:r w:rsidRPr="009278EB">
        <w:rPr>
          <w:szCs w:val="26"/>
        </w:rPr>
        <w:t>Pharma isn’t innovating – they inflate their stock and hike drug prices</w:t>
      </w:r>
    </w:p>
    <w:p w14:paraId="19DF507F" w14:textId="2C9D219E" w:rsidR="0082453E" w:rsidRPr="00DD2D90" w:rsidRDefault="0082453E" w:rsidP="0082453E">
      <w:r w:rsidRPr="009278EB">
        <w:rPr>
          <w:b/>
          <w:bCs/>
          <w:sz w:val="26"/>
          <w:szCs w:val="26"/>
        </w:rPr>
        <w:t>Lexchin 18</w:t>
      </w:r>
      <w:r w:rsidRPr="00DD2D90">
        <w:t xml:space="preserve"> [Joel Lexchin, educator of health policy at York University in Toronto and is an emergency physician at the University Health Network, 2018, “HEALTH CARE under the KNIFE Moving Beyond Capitalism for Our Health,” NYU Press, https://www.jstor.org/stable/j.ctt1pwt8bd]/Kankee</w:t>
      </w:r>
    </w:p>
    <w:p w14:paraId="7B660AF4" w14:textId="77777777" w:rsidR="007D286E" w:rsidRPr="009278EB" w:rsidRDefault="0082453E" w:rsidP="0082453E">
      <w:pPr>
        <w:rPr>
          <w:sz w:val="16"/>
        </w:rPr>
      </w:pPr>
      <w:r w:rsidRPr="009278EB">
        <w:rPr>
          <w:sz w:val="16"/>
        </w:rPr>
        <w:t xml:space="preserve">The pharmaceutical industry has remained near or at the top of the list for profitability during many decades.1 The myth is that its profits come from producing and selling the many therapeutic advances that industry research has generated, but the reality is far different. In the first place, </w:t>
      </w:r>
      <w:r w:rsidRPr="00DD2D90">
        <w:rPr>
          <w:rStyle w:val="StyleUnderline"/>
        </w:rPr>
        <w:t>after tax deductions</w:t>
      </w:r>
      <w:r w:rsidRPr="009278EB">
        <w:rPr>
          <w:sz w:val="16"/>
        </w:rPr>
        <w:t xml:space="preserve"> </w:t>
      </w:r>
      <w:r w:rsidRPr="00DD2D90">
        <w:rPr>
          <w:rStyle w:val="StyleUnderline"/>
          <w:highlight w:val="green"/>
        </w:rPr>
        <w:t>only</w:t>
      </w:r>
      <w:r w:rsidRPr="009278EB">
        <w:rPr>
          <w:sz w:val="16"/>
        </w:rPr>
        <w:t xml:space="preserve"> about </w:t>
      </w:r>
      <w:r w:rsidRPr="00DD2D90">
        <w:rPr>
          <w:rStyle w:val="Emphasis"/>
          <w:highlight w:val="green"/>
        </w:rPr>
        <w:t>1.3 percent</w:t>
      </w:r>
      <w:r w:rsidRPr="009278EB">
        <w:rPr>
          <w:sz w:val="16"/>
        </w:rPr>
        <w:t xml:space="preserve"> of the money that the industry spends actually </w:t>
      </w:r>
      <w:r w:rsidRPr="00DD2D90">
        <w:rPr>
          <w:rStyle w:val="StyleUnderline"/>
          <w:highlight w:val="green"/>
        </w:rPr>
        <w:t>goes into</w:t>
      </w:r>
      <w:r w:rsidRPr="00DD2D90">
        <w:rPr>
          <w:rStyle w:val="StyleUnderline"/>
        </w:rPr>
        <w:t xml:space="preserve"> </w:t>
      </w:r>
      <w:r w:rsidRPr="009278EB">
        <w:rPr>
          <w:sz w:val="16"/>
        </w:rPr>
        <w:t>basic</w:t>
      </w:r>
      <w:r w:rsidRPr="00DD2D90">
        <w:rPr>
          <w:rStyle w:val="StyleUnderline"/>
        </w:rPr>
        <w:t xml:space="preserve"> </w:t>
      </w:r>
      <w:r w:rsidRPr="00DD2D90">
        <w:rPr>
          <w:rStyle w:val="StyleUnderline"/>
          <w:highlight w:val="green"/>
        </w:rPr>
        <w:t>research</w:t>
      </w:r>
      <w:r w:rsidRPr="009278EB">
        <w:rPr>
          <w:sz w:val="16"/>
        </w:rPr>
        <w:t xml:space="preserve">, the type of research </w:t>
      </w:r>
      <w:r w:rsidRPr="00DD2D90">
        <w:rPr>
          <w:rStyle w:val="StyleUnderline"/>
        </w:rPr>
        <w:t xml:space="preserve">that </w:t>
      </w:r>
      <w:r w:rsidRPr="00DD2D90">
        <w:rPr>
          <w:rStyle w:val="StyleUnderline"/>
          <w:highlight w:val="green"/>
        </w:rPr>
        <w:t>leads to new medications</w:t>
      </w:r>
      <w:r w:rsidRPr="009278EB">
        <w:rPr>
          <w:sz w:val="16"/>
        </w:rPr>
        <w:t xml:space="preserve">.2 Second, </w:t>
      </w:r>
      <w:r w:rsidRPr="00DD2D90">
        <w:rPr>
          <w:rStyle w:val="StyleUnderline"/>
        </w:rPr>
        <w:t>most</w:t>
      </w:r>
      <w:r w:rsidRPr="009278EB">
        <w:rPr>
          <w:sz w:val="16"/>
        </w:rPr>
        <w:t xml:space="preserve"> of the </w:t>
      </w:r>
      <w:r w:rsidRPr="00DD2D90">
        <w:rPr>
          <w:rStyle w:val="StyleUnderline"/>
        </w:rPr>
        <w:t>new medicines</w:t>
      </w:r>
      <w:r w:rsidRPr="009278EB">
        <w:rPr>
          <w:sz w:val="16"/>
        </w:rPr>
        <w:t xml:space="preserve"> that come from the pharmaceutical corporations </w:t>
      </w:r>
      <w:r w:rsidRPr="00DD2D90">
        <w:rPr>
          <w:rStyle w:val="StyleUnderline"/>
        </w:rPr>
        <w:t>offer</w:t>
      </w:r>
      <w:r w:rsidRPr="009278EB">
        <w:rPr>
          <w:sz w:val="16"/>
        </w:rPr>
        <w:t xml:space="preserve"> little to </w:t>
      </w:r>
      <w:r w:rsidRPr="00DD2D90">
        <w:rPr>
          <w:rStyle w:val="StyleUnderline"/>
        </w:rPr>
        <w:t>nothing in the way of new therapeutic options</w:t>
      </w:r>
      <w:r w:rsidRPr="009278EB">
        <w:rPr>
          <w:sz w:val="16"/>
        </w:rPr>
        <w:t xml:space="preserve">. For the decade 2005 to 2014, </w:t>
      </w:r>
      <w:r w:rsidRPr="00DD2D90">
        <w:rPr>
          <w:rStyle w:val="StyleUnderline"/>
          <w:highlight w:val="green"/>
        </w:rPr>
        <w:t>among 1,032 new</w:t>
      </w:r>
      <w:r w:rsidRPr="00DD2D90">
        <w:rPr>
          <w:rStyle w:val="StyleUnderline"/>
        </w:rPr>
        <w:t xml:space="preserve"> </w:t>
      </w:r>
      <w:r w:rsidRPr="00DD2D90">
        <w:rPr>
          <w:rStyle w:val="StyleUnderline"/>
          <w:highlight w:val="green"/>
        </w:rPr>
        <w:t>drugs</w:t>
      </w:r>
      <w:r w:rsidRPr="00DD2D90">
        <w:rPr>
          <w:rStyle w:val="StyleUnderline"/>
        </w:rPr>
        <w:t xml:space="preserve"> and new uses for old drugs introduced</w:t>
      </w:r>
      <w:r w:rsidRPr="009278EB">
        <w:rPr>
          <w:sz w:val="16"/>
        </w:rPr>
        <w:t xml:space="preserve"> into the French market, for example, </w:t>
      </w:r>
      <w:r w:rsidRPr="00DD2D90">
        <w:rPr>
          <w:rStyle w:val="StyleUnderline"/>
          <w:highlight w:val="green"/>
        </w:rPr>
        <w:t xml:space="preserve">only </w:t>
      </w:r>
      <w:r w:rsidRPr="00DD2D90">
        <w:rPr>
          <w:rStyle w:val="Emphasis"/>
          <w:highlight w:val="green"/>
        </w:rPr>
        <w:t>sixty-six</w:t>
      </w:r>
      <w:r w:rsidRPr="00DD2D90">
        <w:rPr>
          <w:rStyle w:val="StyleUnderline"/>
        </w:rPr>
        <w:t xml:space="preserve"> </w:t>
      </w:r>
      <w:r w:rsidRPr="00DD2D90">
        <w:rPr>
          <w:rStyle w:val="StyleUnderline"/>
          <w:highlight w:val="green"/>
        </w:rPr>
        <w:t>offered a significant</w:t>
      </w:r>
      <w:r w:rsidRPr="009278EB">
        <w:rPr>
          <w:sz w:val="16"/>
          <w:highlight w:val="green"/>
        </w:rPr>
        <w:t xml:space="preserve"> </w:t>
      </w:r>
      <w:r w:rsidRPr="00DD2D90">
        <w:rPr>
          <w:rStyle w:val="StyleUnderline"/>
          <w:highlight w:val="green"/>
        </w:rPr>
        <w:t>advantage</w:t>
      </w:r>
      <w:r w:rsidRPr="009278EB">
        <w:rPr>
          <w:sz w:val="16"/>
        </w:rPr>
        <w:t xml:space="preserve"> whereas more than </w:t>
      </w:r>
      <w:r w:rsidRPr="00DD2D90">
        <w:rPr>
          <w:rStyle w:val="StyleUnderline"/>
          <w:highlight w:val="green"/>
        </w:rPr>
        <w:t>half</w:t>
      </w:r>
      <w:r w:rsidRPr="00DD2D90">
        <w:rPr>
          <w:rStyle w:val="StyleUnderline"/>
        </w:rPr>
        <w:t xml:space="preserve"> </w:t>
      </w:r>
      <w:r w:rsidRPr="00DD2D90">
        <w:rPr>
          <w:rStyle w:val="StyleUnderline"/>
          <w:highlight w:val="green"/>
        </w:rPr>
        <w:t>were</w:t>
      </w:r>
      <w:r w:rsidRPr="00DD2D90">
        <w:rPr>
          <w:rStyle w:val="StyleUnderline"/>
        </w:rPr>
        <w:t xml:space="preserve"> rated as “</w:t>
      </w:r>
      <w:r w:rsidRPr="00DD2D90">
        <w:rPr>
          <w:rStyle w:val="Emphasis"/>
          <w:highlight w:val="green"/>
        </w:rPr>
        <w:t>nothing new</w:t>
      </w:r>
      <w:r w:rsidRPr="00DD2D90">
        <w:rPr>
          <w:rStyle w:val="StyleUnderline"/>
        </w:rPr>
        <w:t xml:space="preserve">,” </w:t>
      </w:r>
      <w:r w:rsidRPr="00DD2D90">
        <w:rPr>
          <w:rStyle w:val="StyleUnderline"/>
          <w:highlight w:val="green"/>
        </w:rPr>
        <w:t>and 177</w:t>
      </w:r>
      <w:r w:rsidRPr="00DD2D90">
        <w:rPr>
          <w:rStyle w:val="StyleUnderline"/>
        </w:rPr>
        <w:t xml:space="preserve"> </w:t>
      </w:r>
      <w:r w:rsidRPr="00DD2D90">
        <w:rPr>
          <w:rStyle w:val="StyleUnderline"/>
          <w:highlight w:val="green"/>
        </w:rPr>
        <w:t>were</w:t>
      </w:r>
      <w:r w:rsidRPr="00DD2D90">
        <w:rPr>
          <w:rStyle w:val="StyleUnderline"/>
        </w:rPr>
        <w:t xml:space="preserve"> judged “</w:t>
      </w:r>
      <w:r w:rsidRPr="00DD2D90">
        <w:rPr>
          <w:rStyle w:val="Emphasis"/>
          <w:highlight w:val="green"/>
        </w:rPr>
        <w:t>unacceptable</w:t>
      </w:r>
      <w:r w:rsidRPr="00DD2D90">
        <w:rPr>
          <w:rStyle w:val="StyleUnderline"/>
        </w:rPr>
        <w:t>” because they came with serious safety issues</w:t>
      </w:r>
      <w:r w:rsidRPr="009278EB">
        <w:rPr>
          <w:sz w:val="16"/>
        </w:rPr>
        <w:t xml:space="preserve"> and no benefits.3 The industry also justifies its high level of profits with the claim that drug development is inherently risky. To this end, the pharmaceutical corporations maintain that only one in every 10,000 molecules actually results in a new drug. Though this may be true, </w:t>
      </w:r>
      <w:r w:rsidRPr="00DD2D90">
        <w:rPr>
          <w:rStyle w:val="StyleUnderline"/>
          <w:highlight w:val="green"/>
        </w:rPr>
        <w:t>most</w:t>
      </w:r>
      <w:r w:rsidRPr="009278EB">
        <w:rPr>
          <w:sz w:val="16"/>
        </w:rPr>
        <w:t xml:space="preserve"> of the </w:t>
      </w:r>
      <w:r w:rsidRPr="00DD2D90">
        <w:rPr>
          <w:rStyle w:val="StyleUnderline"/>
          <w:highlight w:val="green"/>
        </w:rPr>
        <w:t>molecules that fall by the wayside do so in</w:t>
      </w:r>
      <w:r w:rsidRPr="00DD2D90">
        <w:rPr>
          <w:rStyle w:val="StyleUnderline"/>
        </w:rPr>
        <w:t xml:space="preserve"> the </w:t>
      </w:r>
      <w:r w:rsidRPr="00DD2D90">
        <w:rPr>
          <w:rStyle w:val="Emphasis"/>
          <w:highlight w:val="green"/>
        </w:rPr>
        <w:t>very early</w:t>
      </w:r>
      <w:r w:rsidRPr="00DD2D90">
        <w:rPr>
          <w:rStyle w:val="StyleUnderline"/>
          <w:highlight w:val="green"/>
        </w:rPr>
        <w:t xml:space="preserve"> stages of development</w:t>
      </w:r>
      <w:r w:rsidRPr="00DD2D90">
        <w:rPr>
          <w:rStyle w:val="StyleUnderline"/>
        </w:rPr>
        <w:t xml:space="preserve"> </w:t>
      </w:r>
      <w:r w:rsidRPr="00DD2D90">
        <w:rPr>
          <w:rStyle w:val="StyleUnderline"/>
          <w:highlight w:val="green"/>
        </w:rPr>
        <w:t xml:space="preserve">when costs are </w:t>
      </w:r>
      <w:r w:rsidRPr="00DD2D90">
        <w:rPr>
          <w:rStyle w:val="Emphasis"/>
          <w:highlight w:val="green"/>
        </w:rPr>
        <w:t>minimal</w:t>
      </w:r>
      <w:r w:rsidRPr="009278EB">
        <w:rPr>
          <w:sz w:val="16"/>
        </w:rPr>
        <w:t xml:space="preserve">. The $2.6 billion figure that is now cited as </w:t>
      </w:r>
      <w:r w:rsidRPr="00DD2D90">
        <w:rPr>
          <w:rStyle w:val="StyleUnderline"/>
        </w:rPr>
        <w:t>the cost to bring a new drug to market</w:t>
      </w:r>
      <w:r w:rsidRPr="009278EB">
        <w:rPr>
          <w:sz w:val="16"/>
        </w:rPr>
        <w:t xml:space="preserve">4 comes from data that are confidential, and the calculations </w:t>
      </w:r>
      <w:r w:rsidRPr="00DD2D90">
        <w:rPr>
          <w:rStyle w:val="StyleUnderline"/>
        </w:rPr>
        <w:t>are based on</w:t>
      </w:r>
      <w:r w:rsidRPr="009278EB">
        <w:rPr>
          <w:sz w:val="16"/>
        </w:rPr>
        <w:t xml:space="preserve"> a set of </w:t>
      </w:r>
      <w:r w:rsidRPr="00DD2D90">
        <w:rPr>
          <w:rStyle w:val="StyleUnderline"/>
        </w:rPr>
        <w:t>assumptions</w:t>
      </w:r>
      <w:r w:rsidRPr="009278EB">
        <w:rPr>
          <w:sz w:val="16"/>
        </w:rPr>
        <w:t xml:space="preserve"> that have been </w:t>
      </w:r>
      <w:r w:rsidRPr="00DD2D90">
        <w:rPr>
          <w:rStyle w:val="Emphasis"/>
        </w:rPr>
        <w:t>widely challenged</w:t>
      </w:r>
      <w:r w:rsidRPr="009278EB">
        <w:rPr>
          <w:sz w:val="16"/>
        </w:rPr>
        <w:t xml:space="preserve">.5 </w:t>
      </w:r>
      <w:r w:rsidRPr="00DD2D90">
        <w:rPr>
          <w:rStyle w:val="StyleUnderline"/>
        </w:rPr>
        <w:t>Were</w:t>
      </w:r>
      <w:r w:rsidRPr="009278EB">
        <w:rPr>
          <w:sz w:val="16"/>
        </w:rPr>
        <w:t xml:space="preserve"> </w:t>
      </w:r>
      <w:r w:rsidRPr="00DD2D90">
        <w:rPr>
          <w:rStyle w:val="StyleUnderline"/>
        </w:rPr>
        <w:t>drug development</w:t>
      </w:r>
      <w:r w:rsidRPr="009278EB">
        <w:rPr>
          <w:sz w:val="16"/>
        </w:rPr>
        <w:t xml:space="preserve"> such a </w:t>
      </w:r>
      <w:r w:rsidRPr="00DD2D90">
        <w:rPr>
          <w:rStyle w:val="StyleUnderline"/>
        </w:rPr>
        <w:t>risky</w:t>
      </w:r>
      <w:r w:rsidRPr="009278EB">
        <w:rPr>
          <w:sz w:val="16"/>
        </w:rPr>
        <w:t xml:space="preserve"> proposition, then one would </w:t>
      </w:r>
      <w:r w:rsidRPr="00DD2D90">
        <w:rPr>
          <w:rStyle w:val="StyleUnderline"/>
        </w:rPr>
        <w:t>expect</w:t>
      </w:r>
      <w:r w:rsidRPr="009278EB">
        <w:rPr>
          <w:sz w:val="16"/>
        </w:rPr>
        <w:t xml:space="preserve"> that from time to time </w:t>
      </w:r>
      <w:r w:rsidRPr="00DD2D90">
        <w:rPr>
          <w:rStyle w:val="StyleUnderline"/>
        </w:rPr>
        <w:t xml:space="preserve">the fortunes of corporations </w:t>
      </w:r>
      <w:r w:rsidRPr="009278EB">
        <w:rPr>
          <w:sz w:val="16"/>
        </w:rPr>
        <w:t>would</w:t>
      </w:r>
      <w:r w:rsidRPr="00DD2D90">
        <w:rPr>
          <w:rStyle w:val="StyleUnderline"/>
        </w:rPr>
        <w:t xml:space="preserve"> vary</w:t>
      </w:r>
      <w:r w:rsidRPr="009278EB">
        <w:rPr>
          <w:sz w:val="16"/>
        </w:rPr>
        <w:t xml:space="preserve">. On the contrary, </w:t>
      </w:r>
      <w:r w:rsidRPr="00DD2D90">
        <w:rPr>
          <w:rStyle w:val="StyleUnderline"/>
        </w:rPr>
        <w:t>since 1980, all the large corporations have done well financially</w:t>
      </w:r>
      <w:r w:rsidRPr="009278EB">
        <w:rPr>
          <w:sz w:val="16"/>
        </w:rPr>
        <w:t>. As Stanley Finkelstein, a physician, and Peter Temin, an economist, both based at the Massachusetts Institute of Technology, point out, “</w:t>
      </w:r>
      <w:r w:rsidRPr="00DD2D90">
        <w:rPr>
          <w:rStyle w:val="StyleUnderline"/>
        </w:rPr>
        <w:t>No matter how many times industry analysts warn that a patent expiration is going to make this</w:t>
      </w:r>
      <w:r w:rsidRPr="009278EB">
        <w:rPr>
          <w:sz w:val="16"/>
        </w:rPr>
        <w:t xml:space="preserve"> or that </w:t>
      </w:r>
      <w:r w:rsidRPr="00DD2D90">
        <w:rPr>
          <w:rStyle w:val="StyleUnderline"/>
        </w:rPr>
        <w:t>company vanish, it hasn’t happened</w:t>
      </w:r>
      <w:r w:rsidRPr="009278EB">
        <w:rPr>
          <w:sz w:val="16"/>
        </w:rPr>
        <w:t>.”6 Despite the continuing impressive level of profit, the industry is undergoing a crisis from a trio of causes: patent expirations that were expected to lead to a loss of revenue in the range of $75 billion from 2010 to 2015, a poor pipeline of new drugs, and pressure on prices in many countries including, recently, the United States.7 This crisis reflects the emergence of financialization, the shift in gravity of economic activity from production to finance as a key feature of modern capitalism. Pedro Cuatrecasas, from the Departments of Pharmacology and Medicine at the University of California, San Diego, argues, “</w:t>
      </w:r>
      <w:r w:rsidRPr="00DD2D90">
        <w:rPr>
          <w:rStyle w:val="StyleUnderline"/>
        </w:rPr>
        <w:t>Shareholders, investment bankers, and analysts, who know little about drug discovery, place intense pressures on CEOs and their boards for quick</w:t>
      </w:r>
      <w:r w:rsidRPr="009278EB">
        <w:rPr>
          <w:sz w:val="16"/>
        </w:rPr>
        <w:t xml:space="preserve"> </w:t>
      </w:r>
      <w:r w:rsidRPr="00DD2D90">
        <w:rPr>
          <w:rStyle w:val="StyleUnderline"/>
        </w:rPr>
        <w:t>returns</w:t>
      </w:r>
      <w:r w:rsidRPr="009278EB">
        <w:rPr>
          <w:sz w:val="16"/>
        </w:rPr>
        <w:t xml:space="preserve">.”8 To maintain its attractiveness to the financial community, the pharmaceutical industry has developed several strategies. </w:t>
      </w:r>
      <w:r w:rsidRPr="00DD2D90">
        <w:rPr>
          <w:rStyle w:val="StyleUnderline"/>
        </w:rPr>
        <w:t>With</w:t>
      </w:r>
      <w:r w:rsidRPr="009278EB">
        <w:rPr>
          <w:sz w:val="16"/>
        </w:rPr>
        <w:t xml:space="preserve"> the </w:t>
      </w:r>
      <w:r w:rsidRPr="00DD2D90">
        <w:rPr>
          <w:rStyle w:val="StyleUnderline"/>
        </w:rPr>
        <w:t>blockbuster</w:t>
      </w:r>
      <w:r w:rsidRPr="009278EB">
        <w:rPr>
          <w:sz w:val="16"/>
        </w:rPr>
        <w:t xml:space="preserve"> model of development </w:t>
      </w:r>
      <w:r w:rsidRPr="00DD2D90">
        <w:rPr>
          <w:rStyle w:val="StyleUnderline"/>
        </w:rPr>
        <w:t xml:space="preserve">drying up, </w:t>
      </w:r>
      <w:r w:rsidRPr="00DD2D90">
        <w:rPr>
          <w:rStyle w:val="StyleUnderline"/>
          <w:highlight w:val="green"/>
        </w:rPr>
        <w:t>corporations</w:t>
      </w:r>
      <w:r w:rsidRPr="00DD2D90">
        <w:rPr>
          <w:rStyle w:val="StyleUnderline"/>
        </w:rPr>
        <w:t xml:space="preserve"> have </w:t>
      </w:r>
      <w:r w:rsidRPr="00DD2D90">
        <w:rPr>
          <w:rStyle w:val="StyleUnderline"/>
          <w:highlight w:val="green"/>
        </w:rPr>
        <w:t>shifted to a “</w:t>
      </w:r>
      <w:r w:rsidRPr="00DD2D90">
        <w:rPr>
          <w:rStyle w:val="Emphasis"/>
          <w:highlight w:val="green"/>
        </w:rPr>
        <w:t>nichebuster</w:t>
      </w:r>
      <w:r w:rsidRPr="00DD2D90">
        <w:rPr>
          <w:rStyle w:val="StyleUnderline"/>
          <w:highlight w:val="green"/>
        </w:rPr>
        <w:t>”</w:t>
      </w:r>
      <w:r w:rsidRPr="009278EB">
        <w:rPr>
          <w:sz w:val="16"/>
          <w:highlight w:val="green"/>
        </w:rPr>
        <w:t xml:space="preserve"> </w:t>
      </w:r>
      <w:r w:rsidRPr="00DD2D90">
        <w:rPr>
          <w:rStyle w:val="StyleUnderline"/>
          <w:highlight w:val="green"/>
        </w:rPr>
        <w:t>model</w:t>
      </w:r>
      <w:r w:rsidRPr="009278EB">
        <w:rPr>
          <w:sz w:val="16"/>
        </w:rPr>
        <w:t xml:space="preserve">. </w:t>
      </w:r>
      <w:r w:rsidRPr="00DD2D90">
        <w:rPr>
          <w:rStyle w:val="StyleUnderline"/>
          <w:highlight w:val="green"/>
        </w:rPr>
        <w:t>With fewer potential products in the</w:t>
      </w:r>
      <w:r w:rsidRPr="009278EB">
        <w:rPr>
          <w:sz w:val="16"/>
        </w:rPr>
        <w:t xml:space="preserve"> research and development (</w:t>
      </w:r>
      <w:r w:rsidRPr="00DD2D90">
        <w:rPr>
          <w:rStyle w:val="StyleUnderline"/>
          <w:highlight w:val="green"/>
        </w:rPr>
        <w:t>R&amp;D</w:t>
      </w:r>
      <w:r w:rsidRPr="009278EB">
        <w:rPr>
          <w:sz w:val="16"/>
        </w:rPr>
        <w:t xml:space="preserve">) </w:t>
      </w:r>
      <w:r w:rsidRPr="00DD2D90">
        <w:rPr>
          <w:rStyle w:val="StyleUnderline"/>
          <w:highlight w:val="green"/>
        </w:rPr>
        <w:t>pipeline</w:t>
      </w:r>
      <w:r w:rsidRPr="009278EB">
        <w:rPr>
          <w:sz w:val="16"/>
        </w:rPr>
        <w:t xml:space="preserve">, it is even more critical to ensure that drugs being developed make it through the regulatory process intact, and to do that industry has </w:t>
      </w:r>
      <w:r w:rsidRPr="00DD2D90">
        <w:rPr>
          <w:rStyle w:val="StyleUnderline"/>
        </w:rPr>
        <w:t xml:space="preserve">deepened its relationship with regulatory agencies to </w:t>
      </w:r>
      <w:r w:rsidRPr="00DD2D90">
        <w:rPr>
          <w:rStyle w:val="Emphasis"/>
        </w:rPr>
        <w:t>circumvent</w:t>
      </w:r>
      <w:r w:rsidRPr="00DD2D90">
        <w:rPr>
          <w:rStyle w:val="StyleUnderline"/>
        </w:rPr>
        <w:t xml:space="preserve"> or </w:t>
      </w:r>
      <w:r w:rsidRPr="00DD2D90">
        <w:rPr>
          <w:rStyle w:val="Emphasis"/>
        </w:rPr>
        <w:t>corrupt</w:t>
      </w:r>
      <w:r w:rsidRPr="00DD2D90">
        <w:rPr>
          <w:rStyle w:val="StyleUnderline"/>
        </w:rPr>
        <w:t xml:space="preserve"> the intent of regulation</w:t>
      </w:r>
      <w:r w:rsidRPr="009278EB">
        <w:rPr>
          <w:sz w:val="16"/>
        </w:rPr>
        <w:t xml:space="preserve">, often </w:t>
      </w:r>
      <w:r w:rsidRPr="00DD2D90">
        <w:rPr>
          <w:rStyle w:val="StyleUnderline"/>
        </w:rPr>
        <w:t xml:space="preserve">with the </w:t>
      </w:r>
      <w:r w:rsidRPr="00DD2D90">
        <w:rPr>
          <w:rStyle w:val="Emphasis"/>
        </w:rPr>
        <w:t>collusion</w:t>
      </w:r>
      <w:r w:rsidRPr="00DD2D90">
        <w:rPr>
          <w:rStyle w:val="StyleUnderline"/>
        </w:rPr>
        <w:t xml:space="preserve"> of</w:t>
      </w:r>
      <w:r w:rsidRPr="009278EB">
        <w:rPr>
          <w:sz w:val="16"/>
        </w:rPr>
        <w:t xml:space="preserve"> </w:t>
      </w:r>
      <w:r w:rsidRPr="00DD2D90">
        <w:rPr>
          <w:rStyle w:val="StyleUnderline"/>
        </w:rPr>
        <w:t>government</w:t>
      </w:r>
      <w:r w:rsidRPr="009278EB">
        <w:rPr>
          <w:sz w:val="16"/>
        </w:rPr>
        <w:t xml:space="preserve">. Key to the industry’s survival is its ability to extend the period during which it has a monopoly on the sale of products, and that translates into stronger intellectual property rights, both in the developed world and in the developing countries that represent the emerging sites of growth. With the threat of price controls looming, the other way of expanding revenue is to increase the volume of prescriptions for existing and new drugs. The approach to that goal is to control the knowledge about how and when drugs should be prescribed. An exploration of these four points informs the rest of this chapter: the development of nichebuster drugs, corrupting the regulatory process, strengthening intellectual property rights, and controlling knowledge about the benefits and harms of pharmaceutical products. FROM BLOCKBUSTER TO NICHEBUSTER Until a few years ago the pharmaceutical industry operated on what is known as a blockbuster model. The industry targeted drug development for chronic diseases that were common in developed countries, such as heart disease or diabetes, and then heavily marketed those drugs in the hope of reaching $1 billion annually in sales. Diseases that occurred predominantly or exclusively in developing countries were largely ignored because the people affected had no meaningful purchasing power. Of 850 new therapeutic products marketed between 2000 and 2011, only thirty-seven (4 percent) were indicated for those types of diseases.9 Recently, since all the easy targets are exhausted, there has been a shift away from the blockbuster model to the “nichebuster” model whereby </w:t>
      </w:r>
      <w:r w:rsidRPr="00DD2D90">
        <w:rPr>
          <w:rStyle w:val="StyleUnderline"/>
        </w:rPr>
        <w:t>corporations target small therapeutic markets with drugs that they can sell for hundreds of thousands of dollars per year per patient</w:t>
      </w:r>
      <w:r w:rsidRPr="009278EB">
        <w:rPr>
          <w:sz w:val="16"/>
        </w:rPr>
        <w:t xml:space="preserve">. In this sense, the challenges experienced by the pharmaceutical industry resemble those of others that operate in a capitalist economy. The exhaustion of markets is an intrinsic condition of </w:t>
      </w:r>
      <w:r w:rsidRPr="00DD2D90">
        <w:rPr>
          <w:rStyle w:val="StyleUnderline"/>
          <w:highlight w:val="green"/>
        </w:rPr>
        <w:t>capitalism</w:t>
      </w:r>
      <w:r w:rsidRPr="009278EB">
        <w:rPr>
          <w:sz w:val="16"/>
        </w:rPr>
        <w:t xml:space="preserve"> that </w:t>
      </w:r>
      <w:r w:rsidRPr="00DD2D90">
        <w:rPr>
          <w:rStyle w:val="StyleUnderline"/>
          <w:highlight w:val="green"/>
        </w:rPr>
        <w:t>requires</w:t>
      </w:r>
      <w:r w:rsidRPr="009278EB">
        <w:rPr>
          <w:sz w:val="16"/>
        </w:rPr>
        <w:t xml:space="preserve"> “product differentiation,” in this case </w:t>
      </w:r>
      <w:r w:rsidRPr="00DD2D90">
        <w:rPr>
          <w:rStyle w:val="StyleUnderline"/>
        </w:rPr>
        <w:t xml:space="preserve">more and </w:t>
      </w:r>
      <w:r w:rsidRPr="00DD2D90">
        <w:rPr>
          <w:rStyle w:val="StyleUnderline"/>
          <w:highlight w:val="green"/>
        </w:rPr>
        <w:t>more</w:t>
      </w:r>
      <w:r w:rsidRPr="00DD2D90">
        <w:rPr>
          <w:rStyle w:val="StyleUnderline"/>
        </w:rPr>
        <w:t xml:space="preserve"> </w:t>
      </w:r>
      <w:r w:rsidRPr="00DD2D90">
        <w:rPr>
          <w:rStyle w:val="StyleUnderline"/>
          <w:highlight w:val="green"/>
        </w:rPr>
        <w:t>expensive medications for narrower</w:t>
      </w:r>
      <w:r w:rsidRPr="00DD2D90">
        <w:rPr>
          <w:rStyle w:val="StyleUnderline"/>
        </w:rPr>
        <w:t xml:space="preserve"> and narrower </w:t>
      </w:r>
      <w:r w:rsidRPr="00DD2D90">
        <w:rPr>
          <w:rStyle w:val="StyleUnderline"/>
          <w:highlight w:val="green"/>
        </w:rPr>
        <w:t>markets</w:t>
      </w:r>
      <w:r w:rsidRPr="00DD2D90">
        <w:rPr>
          <w:rStyle w:val="StyleUnderline"/>
        </w:rPr>
        <w:t xml:space="preserve">, </w:t>
      </w:r>
      <w:r w:rsidRPr="009278EB">
        <w:rPr>
          <w:sz w:val="16"/>
        </w:rPr>
        <w:t xml:space="preserve">assuring requisite growth. </w:t>
      </w:r>
      <w:r w:rsidRPr="00DD2D90">
        <w:rPr>
          <w:rStyle w:val="StyleUnderline"/>
        </w:rPr>
        <w:t xml:space="preserve">In the </w:t>
      </w:r>
      <w:r w:rsidRPr="00DD2D90">
        <w:rPr>
          <w:rStyle w:val="StyleUnderline"/>
          <w:highlight w:val="green"/>
        </w:rPr>
        <w:t>U</w:t>
      </w:r>
      <w:r w:rsidRPr="00DD2D90">
        <w:rPr>
          <w:rStyle w:val="StyleUnderline"/>
        </w:rPr>
        <w:t xml:space="preserve">nited </w:t>
      </w:r>
      <w:r w:rsidRPr="00DD2D90">
        <w:rPr>
          <w:rStyle w:val="StyleUnderline"/>
          <w:highlight w:val="green"/>
        </w:rPr>
        <w:t>S</w:t>
      </w:r>
      <w:r w:rsidRPr="00DD2D90">
        <w:rPr>
          <w:rStyle w:val="StyleUnderline"/>
        </w:rPr>
        <w:t xml:space="preserve">tates the </w:t>
      </w:r>
      <w:r w:rsidRPr="00DD2D90">
        <w:rPr>
          <w:rStyle w:val="StyleUnderline"/>
          <w:highlight w:val="green"/>
        </w:rPr>
        <w:t>cost</w:t>
      </w:r>
      <w:r w:rsidRPr="00DD2D90">
        <w:rPr>
          <w:rStyle w:val="StyleUnderline"/>
        </w:rPr>
        <w:t xml:space="preserve"> of disease-modifying drugs </w:t>
      </w:r>
      <w:r w:rsidRPr="00DD2D90">
        <w:rPr>
          <w:rStyle w:val="StyleUnderline"/>
          <w:highlight w:val="green"/>
        </w:rPr>
        <w:t>for</w:t>
      </w:r>
      <w:r w:rsidRPr="00DD2D90">
        <w:rPr>
          <w:rStyle w:val="StyleUnderline"/>
        </w:rPr>
        <w:t xml:space="preserve"> </w:t>
      </w:r>
      <w:r w:rsidRPr="00DD2D90">
        <w:rPr>
          <w:rStyle w:val="StyleUnderline"/>
          <w:highlight w:val="green"/>
        </w:rPr>
        <w:t>m</w:t>
      </w:r>
      <w:r w:rsidRPr="00DD2D90">
        <w:rPr>
          <w:rStyle w:val="StyleUnderline"/>
        </w:rPr>
        <w:t xml:space="preserve">ultiple </w:t>
      </w:r>
      <w:r w:rsidRPr="00DD2D90">
        <w:rPr>
          <w:rStyle w:val="StyleUnderline"/>
          <w:highlight w:val="green"/>
        </w:rPr>
        <w:t>s</w:t>
      </w:r>
      <w:r w:rsidRPr="00DD2D90">
        <w:rPr>
          <w:rStyle w:val="StyleUnderline"/>
        </w:rPr>
        <w:t xml:space="preserve">clerosis </w:t>
      </w:r>
      <w:r w:rsidRPr="00DD2D90">
        <w:rPr>
          <w:rStyle w:val="StyleUnderline"/>
          <w:highlight w:val="green"/>
        </w:rPr>
        <w:t>has gone from</w:t>
      </w:r>
      <w:r w:rsidRPr="00DD2D90">
        <w:rPr>
          <w:rStyle w:val="StyleUnderline"/>
        </w:rPr>
        <w:t xml:space="preserve"> an average of $</w:t>
      </w:r>
      <w:r w:rsidRPr="00DD2D90">
        <w:rPr>
          <w:rStyle w:val="StyleUnderline"/>
          <w:highlight w:val="green"/>
        </w:rPr>
        <w:t>8,000</w:t>
      </w:r>
      <w:r w:rsidRPr="00DD2D90">
        <w:rPr>
          <w:rStyle w:val="StyleUnderline"/>
        </w:rPr>
        <w:t xml:space="preserve"> to $11,000 per year in the early to mid-1990s </w:t>
      </w:r>
      <w:r w:rsidRPr="00DD2D90">
        <w:rPr>
          <w:rStyle w:val="StyleUnderline"/>
          <w:highlight w:val="green"/>
        </w:rPr>
        <w:t>to</w:t>
      </w:r>
      <w:r w:rsidRPr="00DD2D90">
        <w:rPr>
          <w:rStyle w:val="StyleUnderline"/>
        </w:rPr>
        <w:t xml:space="preserve"> $</w:t>
      </w:r>
      <w:r w:rsidRPr="00DD2D90">
        <w:rPr>
          <w:rStyle w:val="StyleUnderline"/>
          <w:highlight w:val="green"/>
        </w:rPr>
        <w:t>60,000</w:t>
      </w:r>
      <w:r w:rsidRPr="00DD2D90">
        <w:rPr>
          <w:rStyle w:val="StyleUnderline"/>
        </w:rPr>
        <w:t xml:space="preserve"> annually</w:t>
      </w:r>
      <w:r w:rsidRPr="009278EB">
        <w:rPr>
          <w:sz w:val="16"/>
        </w:rPr>
        <w:t xml:space="preserve">.10 In 2013, 120 cancer specialists from more than fifteen countries came together to denounce prices for new oncology drugs that had reached $100,000 or more annually.11 The idea that these prices were justified by the cost of R&amp;D should be put to rest, as confirmed by the former CEO of Pfizer, Hank McKinnell, who said, “It’s a fallacy to suggest that our industry, or any industry, prices a product to recapture the R&amp;D budget.”12 Prices are based on what the market will bear. </w:t>
      </w:r>
      <w:r w:rsidRPr="00DD2D90">
        <w:rPr>
          <w:rStyle w:val="StyleUnderline"/>
        </w:rPr>
        <w:t xml:space="preserve">The more desperate patients become, the higher the price that they are willing to pay. </w:t>
      </w:r>
      <w:r w:rsidRPr="009278EB">
        <w:rPr>
          <w:sz w:val="16"/>
        </w:rPr>
        <w:t xml:space="preserve">CORRUPTION OF THE DRUG REGULATORY PROCESS </w:t>
      </w:r>
    </w:p>
    <w:p w14:paraId="34F5CC46" w14:textId="77777777" w:rsidR="00EA6776" w:rsidRPr="009278EB" w:rsidRDefault="00EA6776">
      <w:pPr>
        <w:rPr>
          <w:rFonts w:eastAsiaTheme="majorEastAsia" w:cstheme="majorBidi"/>
          <w:b/>
          <w:iCs/>
          <w:sz w:val="16"/>
        </w:rPr>
      </w:pPr>
      <w:r w:rsidRPr="009278EB">
        <w:rPr>
          <w:sz w:val="16"/>
        </w:rPr>
        <w:br w:type="page"/>
      </w:r>
    </w:p>
    <w:p w14:paraId="3B30DB55" w14:textId="651014AB" w:rsidR="00EA028A" w:rsidRPr="009278EB" w:rsidRDefault="000D1BF2" w:rsidP="00EA028A">
      <w:pPr>
        <w:pStyle w:val="Heading4"/>
        <w:rPr>
          <w:szCs w:val="26"/>
        </w:rPr>
      </w:pPr>
      <w:r w:rsidRPr="009278EB">
        <w:rPr>
          <w:szCs w:val="26"/>
        </w:rPr>
        <w:t>Financialization means innovation doesn’t promote health</w:t>
      </w:r>
      <w:r w:rsidR="0062666B" w:rsidRPr="009278EB">
        <w:rPr>
          <w:szCs w:val="26"/>
        </w:rPr>
        <w:t xml:space="preserve"> and undermines safety</w:t>
      </w:r>
    </w:p>
    <w:p w14:paraId="5C5B1336" w14:textId="77777777" w:rsidR="00EA028A" w:rsidRPr="00DD2D90" w:rsidRDefault="00EA028A" w:rsidP="00EA028A">
      <w:r w:rsidRPr="009278EB">
        <w:rPr>
          <w:b/>
          <w:bCs/>
          <w:sz w:val="26"/>
          <w:szCs w:val="26"/>
        </w:rPr>
        <w:t>Sell 21</w:t>
      </w:r>
      <w:r w:rsidRPr="00DD2D90">
        <w:t xml:space="preserve"> [Susan K. Sell, researcher at the School of Regulation and Global Governance at The Australian National University, 6-19-2021, "21st Century Capitalism and Innovation for Health", Wiley Online Library, https://onlinelibrary.wiley.com/doi/10.1111/1758-5899.12911]/Kankee</w:t>
      </w:r>
    </w:p>
    <w:p w14:paraId="2CFCD576" w14:textId="77777777" w:rsidR="00EA028A" w:rsidRPr="009278EB" w:rsidRDefault="00EA028A" w:rsidP="00EA028A">
      <w:pPr>
        <w:rPr>
          <w:sz w:val="16"/>
        </w:rPr>
      </w:pPr>
      <w:r w:rsidRPr="009278EB">
        <w:rPr>
          <w:sz w:val="16"/>
        </w:rPr>
        <w:t xml:space="preserve">Pandemic response: personal protective equipment and ventilators These same structural trends have had negative consequences for the COVID-19 response with shortages of personal protective equipment and ventilators. As COVID-19 ravaged the United States, hospitals faced acute shortages of medical equipment. Personal protective equipment (PPE) and ventilators topped this list and meant the difference between life and death for patients and first responders. Just as in the case of the pharmaceutical sector, the top producers and distributors are committed to monopoly and Wall Street capitalisms to the detriment of public health. Multiple patents on N95 technologies for masks have slowed the rapid production and distribution of this vital PPE. The three largest N95 respirator mask producers, 3M, Honeywell, and Kimberly-Clark have outsourced most of their production to Chinese manufacturers to reduce costs and have also dedicated themselves to maximizing shareholder value (Lazonick and Hopkins, 2020). The country’s largest PPE distributor, ‘McKesson, paid out 115 percent of its profits to shareholders, with 100 percent of profits distributed as buybacks’ (Lazonick and Hopkins, 2020, p. 2). A lead story in The New York Times described the failure of a promising ventilator production initiative and highlighted tensions between the pursuit of health and the pursuit of wealth. Between 2010 and 2019 the US government allocated $13.2 billion in R&amp;D countermeasures for pandemic preparedness (Lazonick and Hopkins, 2020). The Biomedical Advanced Research and Development Authority (BARDA) awarded one of its contracts to Newport Medical Instruments, a small company, to produce mobile and easy-to-use ventilators that would be priced at $3,000 (versus typically $10,000) for the Strategic National Stockpile. By all accounts Newport was making excellent progress developing the requested ventilators. Its sole business was producing ventilators and it worked closely with the biomedical research agency. In the early 2010s the medical device industry was undergoing substantial consolidation with mergers and acquisitions, and in 2012 Covidien (a $12billion dollar medical device manufacturer) bought Newport for just over $100 million. The Newport ventilator project was not a priority for Covidien, and Covidien asked the government for a higher sales price when Newport applied for clearance from the Food and Drug Administration (FDA). As theNew York Times reported, ‘government officials and executives at rival ventilator companies said they suspected that Covidien had acquired Newport to prevent it from building cheaper products that would undermine Covidien’s profits from its existing ventilator business’ (Kulish et al., 2020). Covidien told the government that the project was not sufficiently profitable for the company and asked the government to cancel the contract. </w:t>
      </w:r>
      <w:r w:rsidRPr="00DD2D90">
        <w:rPr>
          <w:rStyle w:val="StyleUnderline"/>
        </w:rPr>
        <w:t xml:space="preserve">Contemporary </w:t>
      </w:r>
      <w:r w:rsidRPr="00DD2D90">
        <w:rPr>
          <w:rStyle w:val="StyleUnderline"/>
          <w:highlight w:val="green"/>
        </w:rPr>
        <w:t>financialization can slow the</w:t>
      </w:r>
      <w:r w:rsidRPr="009278EB">
        <w:rPr>
          <w:sz w:val="16"/>
          <w:highlight w:val="green"/>
        </w:rPr>
        <w:t xml:space="preserve"> </w:t>
      </w:r>
      <w:r w:rsidRPr="00DD2D90">
        <w:rPr>
          <w:rStyle w:val="StyleUnderline"/>
          <w:highlight w:val="green"/>
        </w:rPr>
        <w:t xml:space="preserve">pace of innovation as </w:t>
      </w:r>
      <w:r w:rsidRPr="00DD2D90">
        <w:rPr>
          <w:rStyle w:val="StyleUnderline"/>
        </w:rPr>
        <w:t xml:space="preserve">large </w:t>
      </w:r>
      <w:r w:rsidRPr="00DD2D90">
        <w:rPr>
          <w:rStyle w:val="StyleUnderline"/>
          <w:highlight w:val="green"/>
        </w:rPr>
        <w:t>research-</w:t>
      </w:r>
      <w:r w:rsidRPr="00DD2D90">
        <w:rPr>
          <w:rStyle w:val="StyleUnderline"/>
        </w:rPr>
        <w:t xml:space="preserve">performing </w:t>
      </w:r>
      <w:r w:rsidRPr="00DD2D90">
        <w:rPr>
          <w:rStyle w:val="StyleUnderline"/>
          <w:highlight w:val="green"/>
        </w:rPr>
        <w:t>companies buy up</w:t>
      </w:r>
      <w:r w:rsidRPr="00DD2D90">
        <w:rPr>
          <w:rStyle w:val="StyleUnderline"/>
        </w:rPr>
        <w:t xml:space="preserve"> ‘smaller concerns with potentially </w:t>
      </w:r>
      <w:r w:rsidRPr="00DD2D90">
        <w:rPr>
          <w:rStyle w:val="StyleUnderline"/>
          <w:highlight w:val="green"/>
        </w:rPr>
        <w:t>competing tech</w:t>
      </w:r>
      <w:r w:rsidRPr="00DD2D90">
        <w:rPr>
          <w:rStyle w:val="StyleUnderline"/>
        </w:rPr>
        <w:t xml:space="preserve">nologies’ and amass ‘intellectual property to satisfy </w:t>
      </w:r>
      <w:r w:rsidRPr="009278EB">
        <w:rPr>
          <w:sz w:val="16"/>
        </w:rPr>
        <w:t>the demands of</w:t>
      </w:r>
      <w:r w:rsidRPr="00DD2D90">
        <w:rPr>
          <w:rStyle w:val="StyleUnderline"/>
        </w:rPr>
        <w:t xml:space="preserve"> </w:t>
      </w:r>
      <w:r w:rsidRPr="00DD2D90">
        <w:rPr>
          <w:rStyle w:val="StyleUnderline"/>
          <w:highlight w:val="green"/>
        </w:rPr>
        <w:t>venture capitalists</w:t>
      </w:r>
      <w:r w:rsidRPr="009278EB">
        <w:rPr>
          <w:sz w:val="16"/>
        </w:rPr>
        <w:t xml:space="preserve"> for tangible collateral’ (Graham, 2019, p. 7). Each of these cases illustrate that the </w:t>
      </w:r>
      <w:r w:rsidRPr="00DD2D90">
        <w:rPr>
          <w:rStyle w:val="StyleUnderline"/>
        </w:rPr>
        <w:t>financialized business corporations</w:t>
      </w:r>
      <w:r w:rsidRPr="009278EB">
        <w:rPr>
          <w:sz w:val="16"/>
        </w:rPr>
        <w:t xml:space="preserve"> have </w:t>
      </w:r>
      <w:r w:rsidRPr="00DD2D90">
        <w:rPr>
          <w:rStyle w:val="StyleUnderline"/>
          <w:highlight w:val="green"/>
        </w:rPr>
        <w:t>undermined</w:t>
      </w:r>
      <w:r w:rsidRPr="009278EB">
        <w:rPr>
          <w:sz w:val="16"/>
        </w:rPr>
        <w:t xml:space="preserve"> development and delivery of </w:t>
      </w:r>
      <w:r w:rsidRPr="00DD2D90">
        <w:rPr>
          <w:rStyle w:val="Emphasis"/>
          <w:highlight w:val="green"/>
        </w:rPr>
        <w:t>pandemic preparedness</w:t>
      </w:r>
      <w:r w:rsidRPr="009278EB">
        <w:rPr>
          <w:sz w:val="16"/>
        </w:rPr>
        <w:t xml:space="preserve"> essentials (Lazonick and Hopkins, 2020). The New York Times concluded that, </w:t>
      </w:r>
      <w:r w:rsidRPr="00DD2D90">
        <w:rPr>
          <w:rStyle w:val="StyleUnderline"/>
        </w:rPr>
        <w:t xml:space="preserve">‘the </w:t>
      </w:r>
      <w:r w:rsidRPr="00DD2D90">
        <w:rPr>
          <w:rStyle w:val="StyleUnderline"/>
          <w:highlight w:val="green"/>
        </w:rPr>
        <w:t>stalled efforts to create</w:t>
      </w:r>
      <w:r w:rsidRPr="00DD2D90">
        <w:rPr>
          <w:rStyle w:val="StyleUnderline"/>
        </w:rPr>
        <w:t xml:space="preserve"> a new class of cheap, easy-to-use </w:t>
      </w:r>
      <w:r w:rsidRPr="00DD2D90">
        <w:rPr>
          <w:rStyle w:val="StyleUnderline"/>
          <w:highlight w:val="green"/>
        </w:rPr>
        <w:t>ventilators</w:t>
      </w:r>
      <w:r w:rsidRPr="00DD2D90">
        <w:rPr>
          <w:rStyle w:val="StyleUnderline"/>
        </w:rPr>
        <w:t xml:space="preserve"> </w:t>
      </w:r>
      <w:r w:rsidRPr="00DD2D90">
        <w:rPr>
          <w:rStyle w:val="StyleUnderline"/>
          <w:highlight w:val="green"/>
        </w:rPr>
        <w:t xml:space="preserve">highlight the </w:t>
      </w:r>
      <w:r w:rsidRPr="00DD2D90">
        <w:rPr>
          <w:rStyle w:val="Emphasis"/>
          <w:highlight w:val="green"/>
        </w:rPr>
        <w:t>perils</w:t>
      </w:r>
      <w:r w:rsidRPr="00DD2D90">
        <w:rPr>
          <w:rStyle w:val="StyleUnderline"/>
          <w:highlight w:val="green"/>
        </w:rPr>
        <w:t xml:space="preserve"> of</w:t>
      </w:r>
      <w:r w:rsidRPr="00DD2D90">
        <w:rPr>
          <w:rStyle w:val="StyleUnderline"/>
        </w:rPr>
        <w:t xml:space="preserve"> </w:t>
      </w:r>
      <w:r w:rsidRPr="00DD2D90">
        <w:rPr>
          <w:rStyle w:val="StyleUnderline"/>
          <w:highlight w:val="green"/>
        </w:rPr>
        <w:t>outsourcing</w:t>
      </w:r>
      <w:r w:rsidRPr="00DD2D90">
        <w:rPr>
          <w:rStyle w:val="StyleUnderline"/>
        </w:rPr>
        <w:t xml:space="preserve"> projects with critical </w:t>
      </w:r>
      <w:r w:rsidRPr="00DD2D90">
        <w:rPr>
          <w:rStyle w:val="StyleUnderline"/>
          <w:highlight w:val="green"/>
        </w:rPr>
        <w:t>public health</w:t>
      </w:r>
      <w:r w:rsidRPr="00DD2D90">
        <w:rPr>
          <w:rStyle w:val="StyleUnderline"/>
        </w:rPr>
        <w:t xml:space="preserve"> implications to private companies; their focus on maximizing profits is not always consistent with the government’s goal of preparing for a future crisis’</w:t>
      </w:r>
      <w:r w:rsidRPr="009278EB">
        <w:rPr>
          <w:sz w:val="16"/>
        </w:rPr>
        <w:t xml:space="preserve"> (Kulish et al., 2020). Similarly, BARDA awarded Respironics, a small ventilator producer, a contract, but in 2014 Royal Philips purchased the company and Phillips has yet to deliver on the government’s ventilator contract (Lazonick and Hopkins, 2020, p. 2). The government lost precious time and the case illustrates the poor fit between public health priorities and the quest for profits. Financing digital health innovation Digital health includes mobile health and telemedicine. ‘Mobile health, or “mHealth’ is the use of portable devices such as smartphones and tablets for medical purposes, including diagnosis, treatment, or support of general health and well-being’ (Nathan et al., 2014, p. 372). Health information technology includes ‘electronic medical records, clinical decision support, mobile medical applications, and any software-driven medical device used in the diagnosis or treatment of disease’ (Ronquillo and Zuckerman, 2017, p. 536). Some medical technologies, especially mHealth, are more consumer-facing, whereas others are designed to increase efficiency and accuracy for healthcare providers (e.g. electronic medical records and clinical decision support). The promises of new medical technologies are compelling – more accurate monitoring and information; greater efficiency; personalized and precision diagnostics and treatment; and greater equality in access to healthcare in remote and under-served areas. Innovative medical technologies have offered crucial lifelines in the midst of the COVID-19 pandemic. To increase access to urgent medical care while protecting both healthcare providers and patients, many states have encouraged patients to access telemedicine services to consult with healthcare providers remotely. Kinsa Health’s smart thermometers have been tracking fevers, getting around 162,000 reports from its thermometers’ users daily since COVID-19 erupted in the US (McNeil, 2020). The company’s database has tracked daily fever readings and has found a sharp drop in fever incidence only after the most restrictive stay-at-home guidance had been implemented. This is crucial information for policymakers under pressure to ease restrictive guidelines. The World Health Organization (2020) sees digital health as offering enormous potential for addressing inequality in healthcare availability worldwide. While the positive benefits and transformative potential are compelling, often there are misalignments between medical device technology and innovation on the one hand, and public health priorities on the other. In a perfect world health and wealth objectives would mesh seamlessly but, as pharmaceutical sector trends and the ventilator shortage story suggest, at times these two goals can be at odds. Identifying conditions under which the two goals are misaligned to the detriment of public health priorities can highlight possibilities for policy reform. The rise of private financial capital in social sectors has been a function of resource gaps in public funding as well as ‘proactive policies for commercialization’ (Hunter and Murray, 2019, p. 1266). In 2017, then-President of the World Bank J.Y. Kim stated that, ‘our top priority should be to systematically de-risk both projects and countries to enable private sector financing’ (quoted in Stein and Sridhar, 2018, p. 3). In the past several decades, ‘a phase of </w:t>
      </w:r>
      <w:r w:rsidRPr="00DD2D90">
        <w:rPr>
          <w:rStyle w:val="StyleUnderline"/>
        </w:rPr>
        <w:t>corporate-oriented healthcare reforms transformed healthcare systems into profitable zones for global capital</w:t>
      </w:r>
      <w:r w:rsidRPr="009278EB">
        <w:rPr>
          <w:sz w:val="16"/>
        </w:rPr>
        <w:t xml:space="preserve">’ (Hunter and Murray, 2019, p. 1267). Venture capitalists play important roles in the development of medical devices and digital health products. In a knowledge-based economy commercial entities ‘‘seek capital, in the form of speculative investment, to transform [research-based] discoveries into commercial products and services’’ (Lehoux, et al., 2017b, p. 206). In 1980 the US Congress passed the Bayh-Dole Act to promote innovation by facilitating the commercialization of university discoveries, thereby converting ‘public science into private assets’ (Roy, 2017, p. 211). As Kesselheim (2011, p. 453) points out, ‘it gave universities authority to retain control of the patent rights arising from government-sponsored research and offer exclusive rights to private firms’. </w:t>
      </w:r>
      <w:r w:rsidRPr="00DD2D90">
        <w:rPr>
          <w:rStyle w:val="StyleUnderline"/>
        </w:rPr>
        <w:t>This prompted the conversion of ‘publicly funded knowledge into private intangible assets that entered into financial markets and became objects of speculation and shareholder control’</w:t>
      </w:r>
      <w:r w:rsidRPr="009278EB">
        <w:rPr>
          <w:sz w:val="16"/>
        </w:rPr>
        <w:t xml:space="preserve"> (Roy, 2017, p. 211; also see Rai and Eisenberg, 2003). Many of the start-ups that venture capitalists fund arose from government-sponsored university research. Another important regulatory change in the United States released massive new sources of capital available for high-risk start-up ventures. In 1979 the Employee Retirement Income Security Act amended the so-called ‘prudent man’ rule that had strictly limited the amount that institutional investors, such as pension funds, could allocate to high-risk assets including venture capital (Gompers, 1994). The new rule allowed them to invest up to 10 per cent of their capital into venture funds; annual pension fund contributions rose from $100–200 in the 1970s to over $4 billion by the late 1980s (Gompers, 1994). Venture capital firms multiplied in the Silicon Valley during the microelectronic revolution of the 1970s and 1980s and were attracted to biopharmaceutical companies in the early 1980s (Tyfield, 2008; Tulum and Lazonick, 2018). These firms helped to launch contemporary tech giants such as Apple and Microsoft, as well as biopharmaceutical firm Genentech. Digital health has since emerged as a robust area for venture capital activity. The global digital health market was expected to reach $206 billion by 2020 (driven especially by the mobile and wireless health market) (ANDHealth, 2018). In just two years, between 2013 and 2015, the number of wearable devices sold in the market tripled to 34.3 million devices (Li et al., 2017, p. 3). Digital health funding rose from $1.2 billion in 2010 to over $11 billion in 2018 (ANDHealth, 2018). In 2019 nearly one in 10 venture dollars invested in the US went to digital health; $7.4B was invested in 359 US digital start-ups (rockhealth.com). Investments in medical device companies are about $4 billion annually into 400–600 US companies (Mas and Hsueh, 2017). In 2019 the global market for medical devices is estimated at $398 billion, excluding in vitro diagnostic equipment (Beaulieu and Lehoux, 2018). The number of digital health products has skyrocketed; in mental health alone by 2017 there were already over 10,000 mental health related applications available to download (Tourous and Roberts, 2017). </w:t>
      </w:r>
      <w:r w:rsidRPr="00DD2D90">
        <w:rPr>
          <w:rStyle w:val="StyleUnderline"/>
          <w:highlight w:val="green"/>
        </w:rPr>
        <w:t>Health gains are not the point</w:t>
      </w:r>
      <w:r w:rsidRPr="00DD2D90">
        <w:rPr>
          <w:rStyle w:val="StyleUnderline"/>
        </w:rPr>
        <w:t xml:space="preserve"> </w:t>
      </w:r>
      <w:r w:rsidRPr="00DD2D90">
        <w:rPr>
          <w:rStyle w:val="StyleUnderline"/>
          <w:highlight w:val="green"/>
        </w:rPr>
        <w:t>of capital investment</w:t>
      </w:r>
      <w:r w:rsidRPr="00DD2D90">
        <w:rPr>
          <w:rStyle w:val="StyleUnderline"/>
        </w:rPr>
        <w:t xml:space="preserve"> initiatives</w:t>
      </w:r>
      <w:r w:rsidRPr="009278EB">
        <w:rPr>
          <w:sz w:val="16"/>
        </w:rPr>
        <w:t>. As Lehoux et al (2017a, p. 647) point out, ‘</w:t>
      </w:r>
      <w:r w:rsidRPr="00DD2D90">
        <w:rPr>
          <w:rStyle w:val="StyleUnderline"/>
        </w:rPr>
        <w:t>capital investment is characterized by an “</w:t>
      </w:r>
      <w:r w:rsidRPr="00DD2D90">
        <w:rPr>
          <w:rStyle w:val="StyleUnderline"/>
          <w:highlight w:val="green"/>
        </w:rPr>
        <w:t>exit orientation’</w:t>
      </w:r>
      <w:r w:rsidRPr="00DD2D90">
        <w:rPr>
          <w:rStyle w:val="StyleUnderline"/>
        </w:rPr>
        <w:t xml:space="preserve">, which </w:t>
      </w:r>
      <w:r w:rsidRPr="00DD2D90">
        <w:rPr>
          <w:rStyle w:val="StyleUnderline"/>
          <w:highlight w:val="green"/>
        </w:rPr>
        <w:t>underscores</w:t>
      </w:r>
      <w:r w:rsidRPr="00DD2D90">
        <w:rPr>
          <w:rStyle w:val="StyleUnderline"/>
        </w:rPr>
        <w:t xml:space="preserve"> the notion that </w:t>
      </w:r>
      <w:r w:rsidRPr="00DD2D90">
        <w:rPr>
          <w:rStyle w:val="StyleUnderline"/>
          <w:highlight w:val="green"/>
        </w:rPr>
        <w:t>the highest returns</w:t>
      </w:r>
      <w:r w:rsidRPr="00DD2D90">
        <w:rPr>
          <w:rStyle w:val="StyleUnderline"/>
        </w:rPr>
        <w:t xml:space="preserve"> possible must be generated </w:t>
      </w:r>
      <w:r w:rsidRPr="00DD2D90">
        <w:rPr>
          <w:rStyle w:val="StyleUnderline"/>
          <w:highlight w:val="green"/>
        </w:rPr>
        <w:t>within the shortest timeframe’</w:t>
      </w:r>
      <w:r w:rsidRPr="009278EB">
        <w:rPr>
          <w:sz w:val="16"/>
        </w:rPr>
        <w:t xml:space="preserve">. Venture capitalists aim to bring start-ups ‘to the most profitable “exit’, which may happen through the acquisition of the venture by another company or an initial public offering (IPO) that provides the ability to sell shares to the public’ (Lehoux et al., 2017c, p. 513). These exits, or </w:t>
      </w:r>
      <w:r w:rsidRPr="00DD2D90">
        <w:rPr>
          <w:rStyle w:val="StyleUnderline"/>
        </w:rPr>
        <w:t xml:space="preserve">liquidity events, are means to generate returns on investment and reflect the orientation of </w:t>
      </w:r>
      <w:r w:rsidRPr="00DD2D90">
        <w:rPr>
          <w:rStyle w:val="Emphasis"/>
        </w:rPr>
        <w:t>value</w:t>
      </w:r>
      <w:r w:rsidRPr="00DD2D90">
        <w:rPr>
          <w:rStyle w:val="StyleUnderline"/>
        </w:rPr>
        <w:t xml:space="preserve"> </w:t>
      </w:r>
      <w:r w:rsidRPr="00DD2D90">
        <w:rPr>
          <w:rStyle w:val="Emphasis"/>
        </w:rPr>
        <w:t>extraction</w:t>
      </w:r>
      <w:r w:rsidRPr="009278EB">
        <w:rPr>
          <w:sz w:val="16"/>
        </w:rPr>
        <w:t xml:space="preserve"> (Lehoux et al., 2017a). </w:t>
      </w:r>
      <w:r w:rsidRPr="00DD2D90">
        <w:rPr>
          <w:rStyle w:val="StyleUnderline"/>
        </w:rPr>
        <w:t>Venture capitalists make their profits ‘mainly by capital gain on equity sale’</w:t>
      </w:r>
      <w:r w:rsidRPr="009278EB">
        <w:rPr>
          <w:sz w:val="16"/>
        </w:rPr>
        <w:t xml:space="preserve"> (Gleadle, et al., 2014, p. 72). Health policy </w:t>
      </w:r>
      <w:r w:rsidRPr="00DD2D90">
        <w:rPr>
          <w:rStyle w:val="StyleUnderline"/>
        </w:rPr>
        <w:t>outcomes</w:t>
      </w:r>
      <w:r w:rsidRPr="009278EB">
        <w:rPr>
          <w:sz w:val="16"/>
        </w:rPr>
        <w:t xml:space="preserve"> </w:t>
      </w:r>
      <w:r w:rsidRPr="00DD2D90">
        <w:rPr>
          <w:rStyle w:val="StyleUnderline"/>
        </w:rPr>
        <w:t>and innovation policy frameworks operate under different logics,</w:t>
      </w:r>
      <w:r w:rsidRPr="009278EB">
        <w:rPr>
          <w:sz w:val="16"/>
        </w:rPr>
        <w:t xml:space="preserve"> and the supply-side logics (investor dynamics) overshadow the demand-side logics (health policy needs) (Lehoux et al, 2017c, p. 510). Health technology start-ups need to consider the expectations of those ‘to whom value is offered (e.g. physicians, nurses, patients, third-party payers); and … capital investors and shareholders for whom value is captured’ (Lehoux et al., 2014, p. 1026). Robinson (2018) has concluded that ‘market concerns increasingly shape the kinds of medical innovations that will be designed and developed for patients’. As a result, </w:t>
      </w:r>
      <w:r w:rsidRPr="00DD2D90">
        <w:rPr>
          <w:rStyle w:val="StyleUnderline"/>
          <w:highlight w:val="green"/>
        </w:rPr>
        <w:t>the</w:t>
      </w:r>
      <w:r w:rsidRPr="00DD2D90">
        <w:rPr>
          <w:rStyle w:val="StyleUnderline"/>
        </w:rPr>
        <w:t xml:space="preserve"> </w:t>
      </w:r>
      <w:r w:rsidRPr="00DD2D90">
        <w:rPr>
          <w:rStyle w:val="StyleUnderline"/>
          <w:highlight w:val="green"/>
        </w:rPr>
        <w:t>purpose</w:t>
      </w:r>
      <w:r w:rsidRPr="00DD2D90">
        <w:rPr>
          <w:rStyle w:val="StyleUnderline"/>
        </w:rPr>
        <w:t xml:space="preserve"> behind</w:t>
      </w:r>
      <w:r w:rsidRPr="009278EB">
        <w:rPr>
          <w:sz w:val="16"/>
        </w:rPr>
        <w:t xml:space="preserve"> the creation of </w:t>
      </w:r>
      <w:r w:rsidRPr="00DD2D90">
        <w:rPr>
          <w:rStyle w:val="StyleUnderline"/>
        </w:rPr>
        <w:t>innovative companies ‘</w:t>
      </w:r>
      <w:r w:rsidRPr="00DD2D90">
        <w:rPr>
          <w:rStyle w:val="StyleUnderline"/>
          <w:highlight w:val="green"/>
        </w:rPr>
        <w:t>is not to</w:t>
      </w:r>
      <w:r w:rsidRPr="00DD2D90">
        <w:rPr>
          <w:rStyle w:val="StyleUnderline"/>
        </w:rPr>
        <w:t xml:space="preserve"> substantially </w:t>
      </w:r>
      <w:r w:rsidRPr="00DD2D90">
        <w:rPr>
          <w:rStyle w:val="StyleUnderline"/>
          <w:highlight w:val="green"/>
        </w:rPr>
        <w:t>improve</w:t>
      </w:r>
      <w:r w:rsidRPr="00DD2D90">
        <w:rPr>
          <w:rStyle w:val="StyleUnderline"/>
        </w:rPr>
        <w:t xml:space="preserve"> </w:t>
      </w:r>
      <w:r w:rsidRPr="00DD2D90">
        <w:rPr>
          <w:rStyle w:val="StyleUnderline"/>
          <w:highlight w:val="green"/>
        </w:rPr>
        <w:t xml:space="preserve">health as much as to provide a </w:t>
      </w:r>
      <w:r w:rsidRPr="00DD2D90">
        <w:rPr>
          <w:rStyle w:val="Emphasis"/>
          <w:highlight w:val="green"/>
        </w:rPr>
        <w:t>temporary vehicle</w:t>
      </w:r>
      <w:r w:rsidRPr="00DD2D90">
        <w:rPr>
          <w:rStyle w:val="StyleUnderline"/>
          <w:highlight w:val="green"/>
        </w:rPr>
        <w:t xml:space="preserve"> for generating returns on investment’’</w:t>
      </w:r>
      <w:r w:rsidRPr="009278EB">
        <w:rPr>
          <w:sz w:val="16"/>
        </w:rPr>
        <w:t xml:space="preserve"> (Lehoux et al., 2018, p. 14). Regulatory approval Regulatory institutions play an essential role in medical innovation. Regulatory approval permits the innovation’s release into the marketplace, allowing investors to realize its economic value. Regulatory institutions have not kept pace with medical technology innovation. By prioritizing innovation as an economic driver, the US has relaxed regulatory oversight of many burgeoning medical technologies. In particular, both the US Congress and technology developers have worked to narrow the US Food and Drug Administration’s (FDA) oversight role over time. This reduced oversight has led to numerous product recalls and the surprising gatekeeper role of the Apple iTunes and Android Google Play Store for many digital health applications (Tourous and Roberts, 2017). The Apple iTunes Store and Android Google Play have begun to step in to oversee some health apps. ‘In September 2016 Apple announced that it would no longer allow certain health applications in its marketplace’; for example, its guidelines include the provision that to be offered through the Apple iTunes Store drug dosage calculators must come from approved health entities or receive FDA approval (Torous and Roberts, 2017, p. 437). The initial impetus for giving FDA regulatory authority for medical devices was the Dalkon Shield scandal of the early 1970s in which the Intra Uterine Device (IUD) caused grievous medical harm to the many women who used it. In response, the 1976 Medical Devices Amendments foregrounded the ‘safety and effectiveness of medical devices intended for human use’ (Johnson, 2018, p. 2). Regulation was hardly immune to the broader economic currents of the 1980s and 1990s. The focus on innovation as a job creator and wealth generator spilled over into discussions of health regulation. Over time, policy discussions began to shift in the direction of prioritizing innovation as an urgent public health goal. As Johnson points out, by the 1990s the notion emerged that ‘impeding innovation was a threat to public health’ (emphasis added, Johnson, 2018, p. 9). In 1997 lawmakers prioritized innovation in the Food and Drug Modernization Act; it was the ‘first time that the word “innovation” appeared in device legislation’ (Johnson, 2018, p. 9). Flipping the script, the ‘statute called for a report on how clinical trial data requirements caused “adverse impact[s] … on device innovation and research”’ [emphasis added] (Johnson, 2018, p. 9). The rhetoric of innovation was often juxtaposed with that of regulation in debates leading up to the 21st Century Cures Act of December 2016. Members of Congress and the medical device sector worried that ‘applying a complex regulatory framework could inhibit future growth and innovation in this promising market’ (Nathan et al., 2014, p. 372). Those prioritizing innovation won the debate. Before 2016, the FDA ‘was responsible for ensuring that medical devices (including EMRs [electronic medical records] and other health IT) were safe and effective for patients’ (Ronquillo and Zuckerman, 2017, p. 537). Under the new law the definition of medical ‘device’ in the Food, Drug and Cosmetic Act was amended to exclude certain software functions intended: For administrative support; For maintaining or encouraging a healthy lifestyle; To serve as electronic patient records; For transferring, storing, converting formats, or displaying clinical laboratory test or other device data and results and certain other related information; and To provide recommendations to healthcare professionals for clinical decisions, where the user can independently review the basis of the recommendation (FDA, 2017). President of the Advanced Medical Technology Association (which represents over 300 medical device companies), Scott Whitaker, stated that ‘passage of this legislation is a milestone in improving the innovation ecosystem of medical technology and ensuring the availability of new lifesaving, life-enhancing devices and diagnostics for patients’ (PBS News Hour, 2016). Light et al. (2013, p. 597) go further and argue that the FDA has been transformed from a regulator into an ‘industry partner’. Indeed, the FDA earns substantial revenue from user fees, setting up potential conflicts of interest between the regulators and the regulated. Hogarth (2017) has argued that the culture of Silicon Valley, epicenter of the robust American venture capital industry, is neoliberal, libertarian and anti-regulation. Its ‘move fast and break things’ mantra embraces digital disruption as innovation. Mobile phone app companies exist in some limbo between being software firms and healthcare firms and may be attractive to investors ‘hoping for an opportunity to work in the healthcare system without the added costs of regulatory compliance’ (Hogarth, 2017, p. 261; also see Moses et al. on devices, 2005). Indeed, a 2006 Business 2.0 magazine article gave the following advice for those considering entry into the consumer healthcare sector: ‘stay clear of services that require you to spend a lot of quality time with the FDA’ (Alsever et al., 2006, quoted in Hogarth, 2017, p. 261). Public health advocates have expressed concerns over patient safety with this relaxing of FDA regulation over digital health. Since the 2010s the number of new digital health interventions on the market has overwhelmed patients and caregivers alike (Mesko et al., 2017). Numerous analysts have pointed out the dangers of lax oversight in digital health stemming from mobile phone apps that fail to reflect clinical guidelines and best practices (Moller et al., 2017; Torous and Roberts, 2017). Digital health interventions can be harmful and may make fraudulent claims, such as those purporting to measure blood alcohol concentration that have no capacity to do so (Murray et al., 2016). For example, Torous and Roberts (2017) noted one app advising people experiencing a bipolar manic episode to drink hard alcohol to assist with sleeping. The 21st Century Cures Act made sure that health applications would be even less stringently regulated (Torous and Roberts, 2017). In the FDA assessment process considerations of cost, health impact, or clinical relevance of a new technology are excluded; ‘all medical devices are normatively equal in the eyes of the regulator’ (Lehoux et al., 2017a, p. 651; Lehoux et al., 2017c). The diagnostics sector faces ‘lower regulatory hurdles and has products on the market far faster than therapeutics firms, and their product development process has no equivalent formal regulatory definition of pre-clinical/clinical developmental stages’ (Hogarth, 2017, p. 254). An examination of FDA databases of medical devices recalled between 2011 and 2015 because of software defects found that 627 software devices were subject to recalls (1.4 million units), with 12 of these devices (190,596 units) subject to the highest risk recalls (Ronquillo and Zuckerman, 2017). The analysts found that 11 of the 12 highest risk recalls had been approved through the more forgiving 510(k) review process and that the 12th had not been reviewed at all (Ronquillo and Zuckerman, 2017). For the 510(k) review the producer just needs to claim that the new device is ‘substantially equivalent’ to an already-approved device. One of the core problems with the 510(k) review process is that, in a rapidly evolving technological landscape, the concept of ‘substantial equivalence’ to previously approved devices may not reflect significant and consequential technological differences between the earlier and newer devices. This could jeopardize patient safety. The largest number of high-risk software recalls included five ventilators and three infusion pumps for hospital use (Ronquillo and Zuckerman, 2017). None of these devices had been classified as high risk at the time of regulatory review and had only been required to demonstrate ‘substantial equivalence’ to other devices on the market that had not been required to prove safety or efficacy (Ronquillo and Zuckerman, 2017, p. 547). The analysts raise alarm that the 21st Century Cures Act further reduces FDA’s regulatory authority and shifts responsibility away from the health technology firms (to prove safety) to healthcare organizations to report harms after the fact (Ronquillo and Zuckerman, 2017). The authors expect the risks of injury from software problems in medical devices to increase. The Public Citizen’s Health Research Group and the National Center for Health Research lobbied against the Cures Act and believe that the resulting relaxation of FDA standards will endanger public health (PBS Newshour, 2016). Implications and ways forward Examples from the pharmaceutical sector, COVID essentials, digital health and regulation reveal troubling misalignments between 21st century capitalism and public health priorities. It is clear that the </w:t>
      </w:r>
      <w:r w:rsidRPr="00DD2D90">
        <w:rPr>
          <w:rStyle w:val="StyleUnderline"/>
          <w:highlight w:val="green"/>
        </w:rPr>
        <w:t>economies of health</w:t>
      </w:r>
      <w:r w:rsidRPr="00DD2D90">
        <w:rPr>
          <w:rStyle w:val="StyleUnderline"/>
        </w:rPr>
        <w:t xml:space="preserve"> </w:t>
      </w:r>
      <w:r w:rsidRPr="00DD2D90">
        <w:rPr>
          <w:rStyle w:val="StyleUnderline"/>
          <w:highlight w:val="green"/>
        </w:rPr>
        <w:t>defy</w:t>
      </w:r>
      <w:r w:rsidRPr="00DD2D90">
        <w:rPr>
          <w:rStyle w:val="StyleUnderline"/>
        </w:rPr>
        <w:t xml:space="preserve"> simple </w:t>
      </w:r>
      <w:r w:rsidRPr="00DD2D90">
        <w:rPr>
          <w:rStyle w:val="StyleUnderline"/>
          <w:highlight w:val="green"/>
        </w:rPr>
        <w:t>supply</w:t>
      </w:r>
      <w:r w:rsidRPr="00DD2D90">
        <w:rPr>
          <w:rStyle w:val="StyleUnderline"/>
        </w:rPr>
        <w:t xml:space="preserve"> and </w:t>
      </w:r>
      <w:r w:rsidRPr="00DD2D90">
        <w:rPr>
          <w:rStyle w:val="StyleUnderline"/>
          <w:highlight w:val="green"/>
        </w:rPr>
        <w:t>demand</w:t>
      </w:r>
      <w:r w:rsidRPr="00DD2D90">
        <w:rPr>
          <w:rStyle w:val="StyleUnderline"/>
        </w:rPr>
        <w:t xml:space="preserve"> and cost-benefit </w:t>
      </w:r>
      <w:r w:rsidRPr="00DD2D90">
        <w:rPr>
          <w:rStyle w:val="StyleUnderline"/>
          <w:highlight w:val="green"/>
        </w:rPr>
        <w:t>logic</w:t>
      </w:r>
      <w:r w:rsidRPr="00DD2D90">
        <w:rPr>
          <w:rStyle w:val="StyleUnderline"/>
        </w:rPr>
        <w:t>. ‘Allowing the marketplace to govern issues related to well-being of the public is simply not sufficient’</w:t>
      </w:r>
      <w:r w:rsidRPr="009278EB">
        <w:rPr>
          <w:sz w:val="16"/>
        </w:rPr>
        <w:t xml:space="preserve"> (Tourous and Roberts, 2017, p. 438). The COVID-19 pandemic throws these misalignments into sharp relief. The indispensable role of public institutions has never been clearer, whether for procuring personal protective equipment, developing testing protocols, pursuing vaccine research or guiding the public response with information and expertise. The private sector, too, has an indispensable role to play, particularly for financing early stage medical innovation. The challenge is how to ‘truly assure that we advance technologically, and that we do so in a way that ensures deep and broad public interests are met’ (Powles and Hodson, 2017, p. 363). Challenges such as COVID-19 and antimicrobial resistance are two clear and urgent opportunities for pursing public purpose missions. Investment and </w:t>
      </w:r>
      <w:r w:rsidRPr="00DD2D90">
        <w:rPr>
          <w:rStyle w:val="StyleUnderline"/>
          <w:highlight w:val="green"/>
        </w:rPr>
        <w:t>innovation should be directed at</w:t>
      </w:r>
      <w:r w:rsidRPr="00DD2D90">
        <w:rPr>
          <w:rStyle w:val="StyleUnderline"/>
        </w:rPr>
        <w:t xml:space="preserve"> </w:t>
      </w:r>
      <w:r w:rsidRPr="00DD2D90">
        <w:rPr>
          <w:rStyle w:val="StyleUnderline"/>
          <w:highlight w:val="green"/>
        </w:rPr>
        <w:t>unmet</w:t>
      </w:r>
      <w:r w:rsidRPr="00DD2D90">
        <w:rPr>
          <w:rStyle w:val="StyleUnderline"/>
        </w:rPr>
        <w:t xml:space="preserve"> global </w:t>
      </w:r>
      <w:r w:rsidRPr="00DD2D90">
        <w:rPr>
          <w:rStyle w:val="StyleUnderline"/>
          <w:highlight w:val="green"/>
        </w:rPr>
        <w:t>health needs</w:t>
      </w:r>
      <w:r w:rsidRPr="00DD2D90">
        <w:rPr>
          <w:rStyle w:val="StyleUnderline"/>
        </w:rPr>
        <w:t xml:space="preserve"> and products that are accessible and affordable</w:t>
      </w:r>
      <w:r w:rsidRPr="009278EB">
        <w:rPr>
          <w:sz w:val="16"/>
        </w:rPr>
        <w:t xml:space="preserve"> (Mazzucato, 2016). The fact that the </w:t>
      </w:r>
      <w:r w:rsidRPr="00DD2D90">
        <w:rPr>
          <w:rStyle w:val="StyleUnderline"/>
          <w:highlight w:val="green"/>
        </w:rPr>
        <w:t>value extractors are profiting to the detriment of</w:t>
      </w:r>
      <w:r w:rsidRPr="00DD2D90">
        <w:rPr>
          <w:rStyle w:val="StyleUnderline"/>
        </w:rPr>
        <w:t xml:space="preserve"> </w:t>
      </w:r>
      <w:r w:rsidRPr="00DD2D90">
        <w:rPr>
          <w:rStyle w:val="StyleUnderline"/>
          <w:highlight w:val="green"/>
        </w:rPr>
        <w:t>innovation</w:t>
      </w:r>
      <w:r w:rsidRPr="00DD2D90">
        <w:rPr>
          <w:rStyle w:val="StyleUnderline"/>
        </w:rPr>
        <w:t xml:space="preserve"> suggests the need to realign risk and reward to reflect the social priority of value creation</w:t>
      </w:r>
      <w:r w:rsidRPr="009278EB">
        <w:rPr>
          <w:sz w:val="16"/>
        </w:rPr>
        <w:t>. Medical innovation is cumulative and collective; ‘value creation occurs through multiple actors taking risks for the sake of uncertain rewards’ (Mazzucato and Roy, 2019, p. 108). Indeed, ‘national states have been among the risk-takers. They have been major R&amp;D investors especially of the most radical and path-breaking innovations without enjoying their associated profits’ (Rikap, 2019, p. 993). The important role of the ‘entreprenurial state’ often gets lost in narratives around innovation (Mazzucato, 2011). As Mazzucato and Roy point out (2019, p. 112), ‘the conventional narrative on value assumes a public sector that provides basic goods and then ‘“gets out of the way” of private actors, with innovation an outcome of risk-hungry capitalists’. The state can play an essential role in directing, funding and guiding ‘public purpose missions in public health – not only to de-risk markets’ (Mazzucato and Roy, 2019, p. 101; Torreele, 2016). To evaluate policy along these lines Walter Johnson advocates a public value mapping, ‘to identify and characterize the public values that operate in a policy area’ and ask if ‘decision-making has successfully delivered on public values that permeate the policy area’ (Johnson, 2018, p. 2; see also Mazzucato and Roy, 2019). This approach could be facilitated by more robust and systematic stakeholder engagement. For example, one way to foreground such public purpose in medical innovation would be to stop characterizing healthcare organizations as customers, or ‘downstream purchasers, not upstream policy stakeholders’ Lehoux et al., 2017a, pp. 644–645). Market logic fails to look at them as partners that should be consulted at every stage. Lehoux and colleagues (2016b, p. 121) endorse the World Health Organization’s Innovation principles of the 4As: ‘Availability, Accessibility, Appropriateness and Affordability’.They recommend that healthcare managers, physicians and technology developers foreground and discuss these purposes of responsible health innovation at each stage of the development pathway (Lehoux, et al., 2016b). Beyond early stage consultation, Mazzucato and Roy (2019, p. 115) recommend a deeper structural change, to ‘</w:t>
      </w:r>
      <w:r w:rsidRPr="00DD2D90">
        <w:rPr>
          <w:rStyle w:val="StyleUnderline"/>
          <w:highlight w:val="green"/>
        </w:rPr>
        <w:t>change the rules of the game</w:t>
      </w:r>
      <w:r w:rsidRPr="009278EB">
        <w:rPr>
          <w:sz w:val="16"/>
        </w:rPr>
        <w:t xml:space="preserve"> in shareholder-driven, financial-market-based economies </w:t>
      </w:r>
      <w:r w:rsidRPr="00DD2D90">
        <w:rPr>
          <w:rStyle w:val="StyleUnderline"/>
          <w:highlight w:val="green"/>
        </w:rPr>
        <w:t>so</w:t>
      </w:r>
      <w:r w:rsidRPr="009278EB">
        <w:rPr>
          <w:sz w:val="16"/>
        </w:rPr>
        <w:t xml:space="preserve"> that </w:t>
      </w:r>
      <w:r w:rsidRPr="00DD2D90">
        <w:rPr>
          <w:rStyle w:val="StyleUnderline"/>
          <w:highlight w:val="green"/>
        </w:rPr>
        <w:t>companies are accountable to</w:t>
      </w:r>
      <w:r w:rsidRPr="00DD2D90">
        <w:rPr>
          <w:rStyle w:val="StyleUnderline"/>
        </w:rPr>
        <w:t xml:space="preserve"> multiple stakeholders, including </w:t>
      </w:r>
      <w:r w:rsidRPr="00DD2D90">
        <w:rPr>
          <w:rStyle w:val="StyleUnderline"/>
          <w:highlight w:val="green"/>
        </w:rPr>
        <w:t>patients</w:t>
      </w:r>
      <w:r w:rsidRPr="00DD2D90">
        <w:rPr>
          <w:rStyle w:val="StyleUnderline"/>
        </w:rPr>
        <w:t xml:space="preserve"> and health systems, rather than only shareholders’</w:t>
      </w:r>
      <w:r w:rsidRPr="009278EB">
        <w:rPr>
          <w:sz w:val="16"/>
        </w:rPr>
        <w:t>. Issues of pricing and accessibility of medical innovation need to reflect the substantial investment of taxpayer money into the research and development underpinning this innovation so that ‘taxpayers don’t pay twice’ (Mazzucato, 2016, p. 180). Firms should be required to offer pricing transparency to reflect the proportion of the R&amp;D that taxpayer dollars funded. There need to be price caps to reflect public inputs. Some have recommended the establishment of prize funds for innovation that meets unmet medical needs as an alternative to the intellectual monopoly capitalism that dominates today’s ‘innovation’ landscape. Compulsory licensing of urgently needed medical interventions, such as PPE and vaccines, should be considered as a way to ramp up production and accelerate access. Executive incentives need to be realigned with firms’ productivity, not share price manipulation. Regulatory reform is urgently needed. Patient safety should be paramount in FDA regulation. The metric of ‘substantial equivalence’ for the 510(k) review process poses risks in such a rapidly innovating field as medical devices and mHealth. In what way might an outdated technology be seen to be ‘substantially equivalent’ to a new technology? The FDA product recalls of software-based innovations suggest the need to re-examine some of the regulatory misalignments in the interest of patient safety. The balance between urgent medical needs, innovation and regulation is always complex. The quick FDA approval of second uses of the malaria, lupus and rheumatoid arthritis drug hydroxychloroquine to treat COVID-19 stands as a cautionary tale that moving too quickly poses substantial risks. As Nathan et al. (2014, p. 377) suggest, ‘robust FDA oversight is not necessarily incompatible with innovation in the mHealth industry. In fact, the industry’s long-term potential may depend on it’ . Indeed, Mazzucato and Roy (2019, p. 101) advocate thinking about the government’s role as not ‘regulating’ but rather as ‘actively co-shaping markets’. This analysis of the structural economic features of contemporary capitalism has illustrated several areas of public health that are not being well served by current arrangements. This discussion seeks to contribute to what Robinson refers to as an ‘economic bioethics’; as Robinson (2018) suggests, ‘to adequately understand and make sense of global health care contexts that are increasingly modulated according to financial levers, it is imperative to fully understand and analyze issues of finance, markets, and capital as part of larger bioethical agendas and analysis’.</w:t>
      </w:r>
    </w:p>
    <w:p w14:paraId="27185224" w14:textId="77777777" w:rsidR="00EA6776" w:rsidRPr="009278EB" w:rsidRDefault="00EA6776">
      <w:pPr>
        <w:rPr>
          <w:rFonts w:eastAsiaTheme="majorEastAsia" w:cstheme="majorBidi"/>
          <w:b/>
          <w:iCs/>
          <w:sz w:val="16"/>
        </w:rPr>
      </w:pPr>
      <w:r w:rsidRPr="009278EB">
        <w:rPr>
          <w:sz w:val="16"/>
        </w:rPr>
        <w:br w:type="page"/>
      </w:r>
    </w:p>
    <w:p w14:paraId="07086F0B" w14:textId="54AA5F56" w:rsidR="007D286E" w:rsidRPr="009278EB" w:rsidRDefault="00AA342A" w:rsidP="00AF7291">
      <w:pPr>
        <w:pStyle w:val="Heading4"/>
        <w:rPr>
          <w:szCs w:val="26"/>
        </w:rPr>
      </w:pPr>
      <w:r w:rsidRPr="009278EB">
        <w:rPr>
          <w:szCs w:val="26"/>
        </w:rPr>
        <w:t>Capitalistic r</w:t>
      </w:r>
      <w:r w:rsidR="00AF7291" w:rsidRPr="009278EB">
        <w:rPr>
          <w:szCs w:val="26"/>
        </w:rPr>
        <w:t>egulatory capture</w:t>
      </w:r>
      <w:r w:rsidRPr="009278EB">
        <w:rPr>
          <w:szCs w:val="26"/>
        </w:rPr>
        <w:t xml:space="preserve"> undermines bioethics and drug safety</w:t>
      </w:r>
    </w:p>
    <w:p w14:paraId="21260F3E" w14:textId="020F236F" w:rsidR="007D286E" w:rsidRPr="00DD2D90" w:rsidRDefault="001201ED" w:rsidP="0082453E">
      <w:r w:rsidRPr="009278EB">
        <w:rPr>
          <w:b/>
          <w:bCs/>
          <w:sz w:val="26"/>
          <w:szCs w:val="26"/>
        </w:rPr>
        <w:t>Lexchin 18</w:t>
      </w:r>
      <w:r w:rsidRPr="00DD2D90">
        <w:t xml:space="preserve"> [Joel Lexchin, educator of health policy at York University in Toronto and is an emergency physician at the University Health Network, 2018, “HEALTH CARE under the KNIFE Moving Beyond Capitalism for Our Health,” NYU Press, </w:t>
      </w:r>
      <w:r w:rsidRPr="009278EB">
        <w:t>https://www.jstor.org/stable/j.ctt1pwt8bd]/Kankee</w:t>
      </w:r>
    </w:p>
    <w:p w14:paraId="271FE551" w14:textId="6998ACB2" w:rsidR="0082453E" w:rsidRPr="009278EB" w:rsidRDefault="0082453E" w:rsidP="0082453E">
      <w:pPr>
        <w:rPr>
          <w:sz w:val="16"/>
        </w:rPr>
      </w:pPr>
      <w:r w:rsidRPr="009278EB">
        <w:rPr>
          <w:sz w:val="16"/>
        </w:rPr>
        <w:t xml:space="preserve">Before corporations can start making money from the drugs they manufacture, those drugs need to be approved for marketing. This stipulation is merely pro forma in much of the developing world, however, where one-third of countries have no or very little drug regulatory capacity.13 Even in countries like India, drug regulation is often a sham, as can be seen by a 2011–12 examination of fixed-dose combination (FDC) products, that is, products that contain two or more active ingredients. Research recently found that corporations took advantage of lax regulatory standards to sell “many millions of doses . . . of FDCs that included drugs restricted, banned, or never approved in other countries owing to their association with serious adverse events including fatality.”14 </w:t>
      </w:r>
      <w:r w:rsidRPr="00DD2D90">
        <w:rPr>
          <w:rStyle w:val="StyleUnderline"/>
        </w:rPr>
        <w:t>Drug regulation in the United States</w:t>
      </w:r>
      <w:r w:rsidRPr="009278EB">
        <w:rPr>
          <w:sz w:val="16"/>
        </w:rPr>
        <w:t xml:space="preserve"> and the European Union (EU) </w:t>
      </w:r>
      <w:r w:rsidRPr="00DD2D90">
        <w:rPr>
          <w:rStyle w:val="StyleUnderline"/>
        </w:rPr>
        <w:t xml:space="preserve">has been </w:t>
      </w:r>
      <w:r w:rsidRPr="00DD2D90">
        <w:rPr>
          <w:rStyle w:val="Emphasis"/>
        </w:rPr>
        <w:t>corrupted</w:t>
      </w:r>
      <w:r w:rsidRPr="00DD2D90">
        <w:rPr>
          <w:rStyle w:val="StyleUnderline"/>
        </w:rPr>
        <w:t xml:space="preserve"> through</w:t>
      </w:r>
      <w:r w:rsidRPr="009278EB">
        <w:rPr>
          <w:sz w:val="16"/>
        </w:rPr>
        <w:t xml:space="preserve"> the influence of </w:t>
      </w:r>
      <w:r w:rsidRPr="00DD2D90">
        <w:rPr>
          <w:rStyle w:val="StyleUnderline"/>
        </w:rPr>
        <w:t>the pharmaceutical industry</w:t>
      </w:r>
      <w:r w:rsidRPr="009278EB">
        <w:rPr>
          <w:sz w:val="16"/>
        </w:rPr>
        <w:t>. Courtney Davis and John Abraham, who teach pharmaceutical policy at King’s College London, observe that “</w:t>
      </w:r>
      <w:r w:rsidRPr="00DD2D90">
        <w:rPr>
          <w:rStyle w:val="StyleUnderline"/>
        </w:rPr>
        <w:t>the last 30 years have seen a raft of deregulatory reforms</w:t>
      </w:r>
      <w:r w:rsidRPr="009278EB">
        <w:rPr>
          <w:sz w:val="16"/>
        </w:rPr>
        <w:t xml:space="preserve">, ostensibly </w:t>
      </w:r>
      <w:r w:rsidRPr="00DD2D90">
        <w:rPr>
          <w:rStyle w:val="StyleUnderline"/>
        </w:rPr>
        <w:t xml:space="preserve">to </w:t>
      </w:r>
      <w:r w:rsidRPr="00DD2D90">
        <w:rPr>
          <w:rStyle w:val="StyleUnderline"/>
          <w:highlight w:val="green"/>
        </w:rPr>
        <w:t>promote</w:t>
      </w:r>
      <w:r w:rsidRPr="009278EB">
        <w:rPr>
          <w:sz w:val="16"/>
          <w:highlight w:val="green"/>
        </w:rPr>
        <w:t xml:space="preserve"> </w:t>
      </w:r>
      <w:r w:rsidRPr="00DD2D90">
        <w:rPr>
          <w:rStyle w:val="StyleUnderline"/>
          <w:highlight w:val="green"/>
        </w:rPr>
        <w:t>pharmaceutical</w:t>
      </w:r>
      <w:r w:rsidRPr="009278EB">
        <w:rPr>
          <w:sz w:val="16"/>
        </w:rPr>
        <w:t xml:space="preserve"> innovation deemed to be simultaneously in the </w:t>
      </w:r>
      <w:r w:rsidRPr="00DD2D90">
        <w:rPr>
          <w:rStyle w:val="StyleUnderline"/>
          <w:highlight w:val="green"/>
        </w:rPr>
        <w:t>commercial interests</w:t>
      </w:r>
      <w:r w:rsidRPr="009278EB">
        <w:rPr>
          <w:sz w:val="16"/>
        </w:rPr>
        <w:t xml:space="preserve"> of industry and the health interests of patients.”15 An explanation for why this is allowed to take place comes </w:t>
      </w:r>
      <w:r w:rsidRPr="00DD2D90">
        <w:rPr>
          <w:rStyle w:val="StyleUnderline"/>
          <w:highlight w:val="green"/>
        </w:rPr>
        <w:t>from</w:t>
      </w:r>
      <w:r w:rsidRPr="009278EB">
        <w:rPr>
          <w:sz w:val="16"/>
        </w:rPr>
        <w:t xml:space="preserve"> corporate bias theory.16 Abraham argues, “Corporate bias theory allows for the possibility of a relatively strong, pro-active state, which may encourage </w:t>
      </w:r>
      <w:r w:rsidRPr="00DD2D90">
        <w:rPr>
          <w:rStyle w:val="StyleUnderline"/>
          <w:highlight w:val="green"/>
        </w:rPr>
        <w:t>pro-business (de)regulation in collaboration with</w:t>
      </w:r>
      <w:r w:rsidRPr="00DD2D90">
        <w:rPr>
          <w:rStyle w:val="StyleUnderline"/>
        </w:rPr>
        <w:t xml:space="preserve"> </w:t>
      </w:r>
      <w:r w:rsidRPr="00DD2D90">
        <w:rPr>
          <w:rStyle w:val="StyleUnderline"/>
          <w:highlight w:val="green"/>
        </w:rPr>
        <w:t>industry</w:t>
      </w:r>
      <w:r w:rsidRPr="009278EB">
        <w:rPr>
          <w:sz w:val="16"/>
        </w:rPr>
        <w:t xml:space="preserve">.”17 Abraham contends that industry can drive regulation by influencing not just the regulatory agencies but also the broader government directly </w:t>
      </w:r>
      <w:r w:rsidRPr="00DD2D90">
        <w:rPr>
          <w:rStyle w:val="StyleUnderline"/>
        </w:rPr>
        <w:t>through lobbying, financial donations, and other activities</w:t>
      </w:r>
      <w:r w:rsidRPr="009278EB">
        <w:rPr>
          <w:sz w:val="16"/>
        </w:rPr>
        <w:t xml:space="preserve">: for example, getting </w:t>
      </w:r>
      <w:r w:rsidRPr="00DD2D90">
        <w:rPr>
          <w:rStyle w:val="StyleUnderline"/>
          <w:highlight w:val="green"/>
        </w:rPr>
        <w:t>drug</w:t>
      </w:r>
      <w:r w:rsidRPr="00DD2D90">
        <w:rPr>
          <w:rStyle w:val="StyleUnderline"/>
        </w:rPr>
        <w:t xml:space="preserve"> company </w:t>
      </w:r>
      <w:r w:rsidRPr="00DD2D90">
        <w:rPr>
          <w:rStyle w:val="StyleUnderline"/>
          <w:highlight w:val="green"/>
        </w:rPr>
        <w:t>representatives appointed to task forces</w:t>
      </w:r>
      <w:r w:rsidRPr="00DD2D90">
        <w:rPr>
          <w:rStyle w:val="StyleUnderline"/>
        </w:rPr>
        <w:t xml:space="preserve"> that help </w:t>
      </w:r>
      <w:r w:rsidRPr="00DD2D90">
        <w:rPr>
          <w:rStyle w:val="StyleUnderline"/>
          <w:highlight w:val="green"/>
        </w:rPr>
        <w:t>form</w:t>
      </w:r>
      <w:r w:rsidRPr="00DD2D90">
        <w:rPr>
          <w:rStyle w:val="StyleUnderline"/>
        </w:rPr>
        <w:t xml:space="preserve"> overall government </w:t>
      </w:r>
      <w:r w:rsidRPr="00DD2D90">
        <w:rPr>
          <w:rStyle w:val="StyleUnderline"/>
          <w:highlight w:val="green"/>
        </w:rPr>
        <w:t>policy</w:t>
      </w:r>
      <w:r w:rsidRPr="009278EB">
        <w:rPr>
          <w:sz w:val="16"/>
        </w:rPr>
        <w:t xml:space="preserve">. The ultimate result is that </w:t>
      </w:r>
      <w:r w:rsidRPr="00DD2D90">
        <w:rPr>
          <w:rStyle w:val="StyleUnderline"/>
        </w:rPr>
        <w:t>the state actively supports the broad regulatory goals of industry</w:t>
      </w:r>
      <w:r w:rsidRPr="009278EB">
        <w:rPr>
          <w:sz w:val="16"/>
        </w:rPr>
        <w:t xml:space="preserve">. The clearest manifestation of corporate bias theory in pharmaceutical regulation is the widespread adoption of </w:t>
      </w:r>
      <w:r w:rsidRPr="00DD2D90">
        <w:rPr>
          <w:rStyle w:val="StyleUnderline"/>
        </w:rPr>
        <w:t>corporate-user fees</w:t>
      </w:r>
      <w:r w:rsidRPr="009278EB">
        <w:rPr>
          <w:sz w:val="16"/>
        </w:rPr>
        <w:t xml:space="preserve"> to </w:t>
      </w:r>
      <w:r w:rsidRPr="00DD2D90">
        <w:rPr>
          <w:rStyle w:val="StyleUnderline"/>
        </w:rPr>
        <w:t>pay for</w:t>
      </w:r>
      <w:r w:rsidRPr="009278EB">
        <w:rPr>
          <w:sz w:val="16"/>
        </w:rPr>
        <w:t xml:space="preserve"> the functions of </w:t>
      </w:r>
      <w:r w:rsidRPr="00DD2D90">
        <w:rPr>
          <w:rStyle w:val="StyleUnderline"/>
        </w:rPr>
        <w:t>drug regulatory authorities such as the</w:t>
      </w:r>
      <w:r w:rsidRPr="009278EB">
        <w:rPr>
          <w:sz w:val="16"/>
        </w:rPr>
        <w:t xml:space="preserve"> U.S. Food and Drug Administration (</w:t>
      </w:r>
      <w:r w:rsidRPr="00DD2D90">
        <w:rPr>
          <w:rStyle w:val="StyleUnderline"/>
        </w:rPr>
        <w:t>FDA</w:t>
      </w:r>
      <w:r w:rsidRPr="009278EB">
        <w:rPr>
          <w:sz w:val="16"/>
        </w:rPr>
        <w:t xml:space="preserve">), the European Medicines Agency (EMA), and the Medicines and Healthcare Products Regulatory Agency in the United Kingdom (UK MHRA). Resource constraints on the FDA were the major driving force behind the implementation of user fees in the United States. The continuing reluctance of Congress to increase the FDA’s budget ultimately led the FDA to abandon its previous position in opposition to user fees from the pharmaceutical industry. As part of the Prescription Drug User Fees Act (PDUFA) of 1992, the industry agreed to enter into an arrangement provided that the fees were supplemental to congressional appropriations and that the money was used exclusively to improve the efficiency and speed of new drug reviews for brandname drugs. As a result, the majority of fee revenues went to hiring new drug reviewers. It was not until 2007 that the FDA was allowed to use any of this additional money to monitor the safety of the products that it had approved. PDUFA subsequently has been reauthorized at five-year intervals, with the latest renewal in 2012. One of the key features of PDUFA is that it contains provisions committing the FDA to continual improvements in the percentage of new drug applications approved within set periods of time.18 </w:t>
      </w:r>
      <w:r w:rsidRPr="00DD2D90">
        <w:rPr>
          <w:rStyle w:val="StyleUnderline"/>
        </w:rPr>
        <w:t>With limited patent life, the longer drugs are on the market the greater the return to the corporations marketing them. PDUFA, by getting drugs to the market faster, meant more profits for the corporations</w:t>
      </w:r>
      <w:r w:rsidRPr="009278EB">
        <w:rPr>
          <w:sz w:val="16"/>
        </w:rPr>
        <w:t xml:space="preserve">. Prior to 1989, the Medicines Control Agency (the precursor of the MHRA) in the UK received 65 percent of its funding from user fees and 35 percent via taxes. At that point, funding moved to 100 percent from user fees, a reflection of the philosophy of the Thatcher Conservative government that science should be made “more responsive” to the needs of industry.19 In the European Union as a whole, the philosophy of user fees seems to have been accepted from the inception of the Agency. The question then becomes whose priorities are being served, those of the public or those of the industry? Evidence shows that user fees have had negative consequences for public safety. In the United States the standard review time for a new drug application is 300 days, and under PDUFA the FDA is required to complete 90 percent of applications within the timeline. If this goal is not achieved, renewal of user fees might be threatened, thereby depriving the agency of a substantial portion of its revenue. In practice, it appears that </w:t>
      </w:r>
      <w:r w:rsidRPr="00DD2D90">
        <w:rPr>
          <w:rStyle w:val="StyleUnderline"/>
          <w:highlight w:val="green"/>
        </w:rPr>
        <w:t>as the FDA is</w:t>
      </w:r>
      <w:r w:rsidRPr="00DD2D90">
        <w:rPr>
          <w:rStyle w:val="StyleUnderline"/>
        </w:rPr>
        <w:t xml:space="preserve"> </w:t>
      </w:r>
      <w:r w:rsidRPr="00DD2D90">
        <w:rPr>
          <w:rStyle w:val="StyleUnderline"/>
          <w:highlight w:val="green"/>
        </w:rPr>
        <w:t>approaching its deadline</w:t>
      </w:r>
      <w:r w:rsidRPr="00DD2D90">
        <w:rPr>
          <w:rStyle w:val="StyleUnderline"/>
        </w:rPr>
        <w:t xml:space="preserve"> for making a decision, </w:t>
      </w:r>
      <w:r w:rsidRPr="00DD2D90">
        <w:rPr>
          <w:rStyle w:val="StyleUnderline"/>
          <w:highlight w:val="green"/>
        </w:rPr>
        <w:t>it relaxes its standards</w:t>
      </w:r>
      <w:r w:rsidRPr="00DD2D90">
        <w:rPr>
          <w:rStyle w:val="StyleUnderline"/>
        </w:rPr>
        <w:t xml:space="preserve"> for evaluating safety</w:t>
      </w:r>
      <w:r w:rsidRPr="009278EB">
        <w:rPr>
          <w:sz w:val="16"/>
        </w:rPr>
        <w:t xml:space="preserve">. As compared with drugs approved at other times, </w:t>
      </w:r>
      <w:r w:rsidRPr="00DD2D90">
        <w:rPr>
          <w:rStyle w:val="StyleUnderline"/>
          <w:highlight w:val="green"/>
        </w:rPr>
        <w:t>drugs approved</w:t>
      </w:r>
      <w:r w:rsidRPr="00DD2D90">
        <w:rPr>
          <w:rStyle w:val="StyleUnderline"/>
        </w:rPr>
        <w:t xml:space="preserve"> </w:t>
      </w:r>
      <w:r w:rsidRPr="00DD2D90">
        <w:rPr>
          <w:rStyle w:val="StyleUnderline"/>
          <w:highlight w:val="green"/>
        </w:rPr>
        <w:t>in</w:t>
      </w:r>
      <w:r w:rsidRPr="00DD2D90">
        <w:rPr>
          <w:rStyle w:val="StyleUnderline"/>
        </w:rPr>
        <w:t xml:space="preserve"> the two </w:t>
      </w:r>
      <w:r w:rsidRPr="00DD2D90">
        <w:rPr>
          <w:rStyle w:val="StyleUnderline"/>
          <w:highlight w:val="green"/>
        </w:rPr>
        <w:t>months before</w:t>
      </w:r>
      <w:r w:rsidRPr="00DD2D90">
        <w:rPr>
          <w:rStyle w:val="StyleUnderline"/>
        </w:rPr>
        <w:t xml:space="preserve"> their </w:t>
      </w:r>
      <w:r w:rsidRPr="00DD2D90">
        <w:rPr>
          <w:rStyle w:val="StyleUnderline"/>
          <w:highlight w:val="green"/>
        </w:rPr>
        <w:t xml:space="preserve">deadlines were </w:t>
      </w:r>
      <w:r w:rsidRPr="00DD2D90">
        <w:rPr>
          <w:rStyle w:val="StyleUnderline"/>
        </w:rPr>
        <w:t xml:space="preserve">over </w:t>
      </w:r>
      <w:r w:rsidRPr="00DD2D90">
        <w:rPr>
          <w:rStyle w:val="Emphasis"/>
          <w:highlight w:val="green"/>
        </w:rPr>
        <w:t>five times</w:t>
      </w:r>
      <w:r w:rsidRPr="00DD2D90">
        <w:rPr>
          <w:rStyle w:val="StyleUnderline"/>
          <w:highlight w:val="green"/>
        </w:rPr>
        <w:t xml:space="preserve"> more likely to be withdrawn</w:t>
      </w:r>
      <w:r w:rsidRPr="00DD2D90">
        <w:rPr>
          <w:rStyle w:val="StyleUnderline"/>
        </w:rPr>
        <w:t xml:space="preserve"> for safety reasons </w:t>
      </w:r>
      <w:r w:rsidRPr="00DD2D90">
        <w:rPr>
          <w:rStyle w:val="StyleUnderline"/>
          <w:highlight w:val="green"/>
        </w:rPr>
        <w:t>and</w:t>
      </w:r>
      <w:r w:rsidRPr="00DD2D90">
        <w:rPr>
          <w:rStyle w:val="StyleUnderline"/>
        </w:rPr>
        <w:t xml:space="preserve"> almost </w:t>
      </w:r>
      <w:r w:rsidRPr="00DD2D90">
        <w:rPr>
          <w:rStyle w:val="Emphasis"/>
          <w:highlight w:val="green"/>
        </w:rPr>
        <w:t>4.5 times</w:t>
      </w:r>
      <w:r w:rsidRPr="00DD2D90">
        <w:rPr>
          <w:rStyle w:val="StyleUnderline"/>
          <w:highlight w:val="green"/>
        </w:rPr>
        <w:t xml:space="preserve"> more likely to carry a</w:t>
      </w:r>
      <w:r w:rsidRPr="00DD2D90">
        <w:rPr>
          <w:rStyle w:val="StyleUnderline"/>
        </w:rPr>
        <w:t xml:space="preserve"> subsequent </w:t>
      </w:r>
      <w:r w:rsidRPr="00DD2D90">
        <w:rPr>
          <w:rStyle w:val="StyleUnderline"/>
          <w:highlight w:val="green"/>
        </w:rPr>
        <w:t>black-box warning</w:t>
      </w:r>
      <w:r w:rsidRPr="00DD2D90">
        <w:rPr>
          <w:rStyle w:val="StyleUnderline"/>
        </w:rPr>
        <w:t>, the most serious safety warning</w:t>
      </w:r>
      <w:r w:rsidRPr="009278EB">
        <w:rPr>
          <w:sz w:val="16"/>
        </w:rPr>
        <w:t xml:space="preserve"> that </w:t>
      </w:r>
      <w:r w:rsidRPr="00DD2D90">
        <w:rPr>
          <w:rStyle w:val="StyleUnderline"/>
        </w:rPr>
        <w:t>the FDA can require</w:t>
      </w:r>
      <w:r w:rsidRPr="009278EB">
        <w:rPr>
          <w:sz w:val="16"/>
        </w:rPr>
        <w:t xml:space="preserve">.20 In the EU, when a drug application is made to the EMA, the organization is responsible for choosing what is called the Rapporteur and Co-Rapporteur, that is, the national regulatory agencies that will do the actual evaluation of the new drug application. Since most of the regulatory agencies in EU countries are funded to a considerable extent by user fees, there is often intense competition among them for Rapporteur and Co-Rapporteur status to generate income.21 This competition puts the national agencies under considerable pressure to conform to or to better the EU’s 210- day timeline for drug approvals as corporations look for fast approval rates, one of their key criteria when recommending a Rapporteur and Co-Rapporteur. Out of fifteen German, Swedish, and UK regulatory personnel who were interviewed by Abraham and Graham Lewis from the University of York, five agreed that </w:t>
      </w:r>
      <w:r w:rsidRPr="00DD2D90">
        <w:rPr>
          <w:rStyle w:val="StyleUnderline"/>
          <w:highlight w:val="green"/>
        </w:rPr>
        <w:t>this timeline was a threat to public health</w:t>
      </w:r>
      <w:r w:rsidRPr="009278EB">
        <w:rPr>
          <w:sz w:val="16"/>
        </w:rPr>
        <w:t xml:space="preserve">, and an additional five thought that it possibly was.22 In a similar vein, a British House of Commons Committee looking into the influence of the pharmaceutical industry concluded, “The MHRA, like many </w:t>
      </w:r>
      <w:r w:rsidRPr="00DD2D90">
        <w:rPr>
          <w:rStyle w:val="StyleUnderline"/>
          <w:highlight w:val="green"/>
        </w:rPr>
        <w:t>regulatory organisations</w:t>
      </w:r>
      <w:r w:rsidRPr="00DD2D90">
        <w:rPr>
          <w:rStyle w:val="StyleUnderline"/>
        </w:rPr>
        <w:t xml:space="preserve">, </w:t>
      </w:r>
      <w:r w:rsidRPr="00DD2D90">
        <w:rPr>
          <w:rStyle w:val="StyleUnderline"/>
          <w:highlight w:val="green"/>
        </w:rPr>
        <w:t>is</w:t>
      </w:r>
      <w:r w:rsidRPr="00DD2D90">
        <w:rPr>
          <w:rStyle w:val="StyleUnderline"/>
        </w:rPr>
        <w:t xml:space="preserve"> entirely </w:t>
      </w:r>
      <w:r w:rsidRPr="00DD2D90">
        <w:rPr>
          <w:rStyle w:val="StyleUnderline"/>
          <w:highlight w:val="green"/>
        </w:rPr>
        <w:t>funded by fees from those it regulates</w:t>
      </w:r>
      <w:r w:rsidRPr="009278EB">
        <w:rPr>
          <w:sz w:val="16"/>
        </w:rPr>
        <w:t xml:space="preserve">. However, unlike many regulators, it competes with other European agencies for fee income. This situation has led to concerns that </w:t>
      </w:r>
      <w:r w:rsidRPr="00DD2D90">
        <w:rPr>
          <w:rStyle w:val="StyleUnderline"/>
        </w:rPr>
        <w:t>it may lose sight of the need to protect and promote public health above all else as it seeks to win fee income from the companies</w:t>
      </w:r>
      <w:r w:rsidRPr="009278EB">
        <w:rPr>
          <w:sz w:val="16"/>
        </w:rPr>
        <w:t xml:space="preserve">.”23 IS INTELLECTUAL PROPERTY A “RIGHT”? Intellectual property rights (IPRs) are the key factor in driving revenue and profits for pharmaceutical corporations. In the contemporary pharmaceutical context, the primary IPRs are the patents over the products themselves and the data that the corporations generate when they conduct premarket clinical trials to evaluate the safety and efficacy of their products. The stronger a country’s IPRs, the longer the corporations retain a monopoly on their products and the more money they can make from them. Therefore, it should not be any surprise that the pharmaceutical industry goes to great lengths not only to protect IPRs but to strengthen them. One of the earliest manifestations of this obsession with IPRs was the industry lobbying that led the United States to insist that Canada dismantle its regime of compulsory licensing in return for getting the initial U.S.-Canadian Free Trade Agreement in 1987 and then the North American Free Trade Agreement (NAFTA) in 1994. At that time, compulsory licensing was cutting Canada’s overall drug spending by about 15 percent.24 (A compulsory license allows a generic manufacturer to produce a drug even if the patent on the product is still in effect.) In the United States, the latest victory for stronger IPRs has been the twelve years of market exclusivity for biologic products, that is, those that are made from living cells. These twelve years come courtesy of four years of data protection and an additional eight years of exclusive use for biological products. This means that the FDA will not approve a “biosimilar,” the equivalent of a generic product, during this eight-year period. In some ways, data protection can be even more important to corporations than patents since data protection cannot be challenged in the court system the same way that patents can. Although biologics represent fewer than 1 percent of prescriptions written in the United States, they account for 28 percent of drug spending, and that figure is only going to increase in the future.25 For instance, Cerezyme, a treatment for Gaucher disease, a rare inherited enzyme deficiency, costs $200,000 a year per patient. Internationally, the U.S. government, with strong backing from the pharmaceutical industry, pushed to make sure that an investor-state dispute settlement (ISDS) mechanism was included in international trade agreements. ISDS allows corporations to sue governments.26 Eli Lilly has used the ISDS provisions in the North American Free Trade Agreement to demand $500 million from the Canadian government because Canadian courts invalidated patents on two of Lilly’s drugs.27 Although in developed countries the IPR provisions in trade agreements have a significant impact on drug access, causing delays in generics reaching the market, the consequences in developing countries are much more devastating. For instance, under current patent laws 68 percent of the HIV population in Vietnam receives antiretroviral medications, but under the failed Trans-Pacific Partnership that figure would have dropped to about 30 percent.28 The pharmaceutical industry has more than a three-decade history of successfully lobbying for stronger IPRs, beginning with the lead-up to the Uruguay Round of trade talks that ultimately resulted in the World Trade Organization (WTO). Pfizer and its then CEO Edmund Pratt played a key role in convincing the U.S. government to make IPRs a major issue in these talks.29 The result, in 1994, was the Agreement on Trade-Related Aspects of Intellectual Property Rights (TRIPS), which required uniform patent standards for all WTO member countries, meaning product patents for pharmaceuticals of twenty years and limiting the use of compulsory licensing as a tool for accelerating the appearance of generic products. The pharmaceutical industry’s goal was to have all countries adopt the same IPRs as those in the United States, regardless of their level of development or ability to deliver drug therapy to their populations at an affordable price. Many developed countries did not adopt full patent protection for pharmaceuticals until the 1970s or later when their gross domestic product (GDP) per capita was in the tens of thousands of dollars. The TRIPS Agreement required developing countries with a GDP in the hundreds or low thousands of dollars to have the equivalent standards.30 Due to the strengthening of IPRs, by 2000 many developing countries were confronting a situation where the price of triple therapy for HIV was greater than US$10,000 per person per year, and the ability to access low-cost generics was going to disappear in the near future.31 Faced with increasing rates of HIV infection and these prices for HIV treatment, the South African government in the late 1990s passed the Medicines and Related Substances Control Amendment Act, which allowed for generic substitution of off-patent medicines and the ability to import a non-counterfeit version of patented medicines from another country without the permission of the intellectual property owners. In response, during 1998 thirty-nine multinational pharmaceutical corporations, with the support of the U.S. government (under the Clinton administration) and the European Commission, took the South African government to court alleging that the legislation violated both the TRIPS Agreement and the country’s constitution. Eventually, in the face of widespread public opposition, the U.S. government withdrew its support for the court case, and without the U.S. support the corporations dropped their lawsuit.32 Since then, the United States and the EU have used the TRIPS Agreement as a minimum for acceptable IPR standards and have tried to ratchet up their strength with each successive trade deal by incorporating newer and more stringent provisions. Some of the results can be seen in longer periods of patent extension (patents can be extended past twenty years) and in the elimination of objecting to patents before they are granted.33 Like the consequences for HIV medication access in Vietnam, stronger IPR provisions in free trade agreements significantly decrease access to prescribed medicines.34 Thailand provides just one of many examples of how governments and the industry have used IPRs as a tool to bully developing countries. Citing high drug prices and its obligation to provide access to essential medicines, in 2006 Thailand issued a compulsory license for lopinavir/ritonavir, a drug combination used to treat HIV. The EU Trade Commissioner wrote to the Thai Minister of Commerce to complain about Thailand’s move. Abbott, the maker of lopinavir/ritonavir, responded by withdrawing all new drug applications from the Thai Food and Drug Administration, including the much needed heat-stable version of lopinavir/ritonavir.35 When generic drugs are produced through compulsory licenses, brand-name corporations are quick to denounce this measure. Marijn Dekkers, CEO of Bayer, referred to compulsory licensing as “essentially theft,” although it is perfectly legal under the TRIPS Agreement. In addition, when Dekkers was talking about his company’s new and highly effective drug sobosbuvir (Sovaldi) for treating hepatitis C, he commented: “We did not develop this product for the Indian market, let’s be honest. I mean, you know, we developed this product for Western patients who can afford this product, quite honestly.”36 CONTROLLING KNOWLEDGE </w:t>
      </w:r>
      <w:r w:rsidRPr="00DD2D90">
        <w:rPr>
          <w:rStyle w:val="StyleUnderline"/>
          <w:highlight w:val="green"/>
        </w:rPr>
        <w:t>Clinical trials that fail to</w:t>
      </w:r>
      <w:r w:rsidRPr="00DD2D90">
        <w:rPr>
          <w:rStyle w:val="StyleUnderline"/>
        </w:rPr>
        <w:t xml:space="preserve"> </w:t>
      </w:r>
      <w:r w:rsidRPr="00DD2D90">
        <w:rPr>
          <w:rStyle w:val="StyleUnderline"/>
          <w:highlight w:val="green"/>
        </w:rPr>
        <w:t>demonstrate effectiveness</w:t>
      </w:r>
      <w:r w:rsidRPr="00DD2D90">
        <w:rPr>
          <w:rStyle w:val="StyleUnderline"/>
        </w:rPr>
        <w:t xml:space="preserve"> or that raise significant safety concerns </w:t>
      </w:r>
      <w:r w:rsidRPr="00DD2D90">
        <w:rPr>
          <w:rStyle w:val="StyleUnderline"/>
          <w:highlight w:val="green"/>
        </w:rPr>
        <w:t>can</w:t>
      </w:r>
      <w:r w:rsidRPr="00DD2D90">
        <w:rPr>
          <w:rStyle w:val="StyleUnderline"/>
        </w:rPr>
        <w:t xml:space="preserve"> dramatically </w:t>
      </w:r>
      <w:r w:rsidRPr="00DD2D90">
        <w:rPr>
          <w:rStyle w:val="StyleUnderline"/>
          <w:highlight w:val="green"/>
        </w:rPr>
        <w:t>affect</w:t>
      </w:r>
      <w:r w:rsidRPr="00DD2D90">
        <w:rPr>
          <w:rStyle w:val="StyleUnderline"/>
        </w:rPr>
        <w:t xml:space="preserve"> the sale of </w:t>
      </w:r>
      <w:r w:rsidRPr="00DD2D90">
        <w:rPr>
          <w:rStyle w:val="StyleUnderline"/>
          <w:highlight w:val="green"/>
        </w:rPr>
        <w:t>products</w:t>
      </w:r>
      <w:r w:rsidRPr="009278EB">
        <w:rPr>
          <w:sz w:val="16"/>
        </w:rPr>
        <w:t xml:space="preserve">. In July 2002 the results of a Women’s Health Initiative clinical trial found that the estrogen/progestin combination of hormone replacement therapy (HRT) caused an increased risk of cardiovascular disease and breast cancer in postmenopausal women.37 By June 2003 prescriptions for Prempro, the most widely sold estrogen/progestin combination, had declined by 66 percent in the United States.38 </w:t>
      </w:r>
      <w:r w:rsidRPr="00DD2D90">
        <w:rPr>
          <w:rStyle w:val="StyleUnderline"/>
        </w:rPr>
        <w:t>To avoid these scenarios</w:t>
      </w:r>
      <w:r w:rsidRPr="009278EB">
        <w:rPr>
          <w:sz w:val="16"/>
        </w:rPr>
        <w:t xml:space="preserve"> and continue to expand revenue, </w:t>
      </w:r>
      <w:r w:rsidRPr="00DD2D90">
        <w:rPr>
          <w:rStyle w:val="StyleUnderline"/>
        </w:rPr>
        <w:t>corporations</w:t>
      </w:r>
      <w:r w:rsidRPr="009278EB">
        <w:rPr>
          <w:sz w:val="16"/>
        </w:rPr>
        <w:t xml:space="preserve"> have evolved from controlling the development of new drugs to </w:t>
      </w:r>
      <w:r w:rsidRPr="00DD2D90">
        <w:rPr>
          <w:rStyle w:val="StyleUnderline"/>
        </w:rPr>
        <w:t>control</w:t>
      </w:r>
      <w:r w:rsidRPr="009278EB">
        <w:rPr>
          <w:sz w:val="16"/>
        </w:rPr>
        <w:t xml:space="preserve">ling </w:t>
      </w:r>
      <w:r w:rsidRPr="00DD2D90">
        <w:rPr>
          <w:rStyle w:val="StyleUnderline"/>
        </w:rPr>
        <w:t>the knowledge about those drugs</w:t>
      </w:r>
      <w:r w:rsidRPr="009278EB">
        <w:rPr>
          <w:sz w:val="16"/>
        </w:rPr>
        <w:t xml:space="preserve">, ensuring that their message is the one that reaches doctors and patients.39 Pharmaceutical corporations fund almost all pre-market clinical trials, the ones used as the basis for approving a new drug or a new indication for an existing drug. These trials are the foundation of knowledge about a drug and as such their outcome is extremely important. As funders, corporations control all aspects of the trials from their initial design to the way that they are conducted and analyzed, how they are reported to drug regulatory agencies such as the FDA, whether and how they are published, and to a large extent how they are presented to doctors. Pro-corporate bias starts with the trial design. </w:t>
      </w:r>
      <w:r w:rsidRPr="00DD2D90">
        <w:rPr>
          <w:rStyle w:val="StyleUnderline"/>
        </w:rPr>
        <w:t xml:space="preserve">When the new drug being tested is compared to another drug already on the market, </w:t>
      </w:r>
      <w:r w:rsidRPr="00DD2D90">
        <w:rPr>
          <w:rStyle w:val="StyleUnderline"/>
          <w:highlight w:val="green"/>
        </w:rPr>
        <w:t>inappropriately low or high doses of the comparator drug may be chosen to</w:t>
      </w:r>
      <w:r w:rsidRPr="00DD2D90">
        <w:rPr>
          <w:rStyle w:val="StyleUnderline"/>
        </w:rPr>
        <w:t xml:space="preserve"> either </w:t>
      </w:r>
      <w:r w:rsidRPr="00DD2D90">
        <w:rPr>
          <w:rStyle w:val="StyleUnderline"/>
          <w:highlight w:val="green"/>
        </w:rPr>
        <w:t>minimize effectiveness or maximize side effects</w:t>
      </w:r>
      <w:r w:rsidRPr="009278EB">
        <w:rPr>
          <w:sz w:val="16"/>
        </w:rPr>
        <w:t xml:space="preserve">.40 In the 1980s, </w:t>
      </w:r>
      <w:r w:rsidRPr="00DD2D90">
        <w:rPr>
          <w:rStyle w:val="StyleUnderline"/>
          <w:highlight w:val="green"/>
        </w:rPr>
        <w:t xml:space="preserve">the </w:t>
      </w:r>
      <w:r w:rsidRPr="00DD2D90">
        <w:rPr>
          <w:rStyle w:val="Emphasis"/>
          <w:highlight w:val="green"/>
        </w:rPr>
        <w:t>most common</w:t>
      </w:r>
      <w:r w:rsidRPr="00DD2D90">
        <w:rPr>
          <w:rStyle w:val="StyleUnderline"/>
          <w:highlight w:val="green"/>
        </w:rPr>
        <w:t xml:space="preserve"> reason</w:t>
      </w:r>
      <w:r w:rsidRPr="00DD2D90">
        <w:rPr>
          <w:rStyle w:val="StyleUnderline"/>
        </w:rPr>
        <w:t xml:space="preserve"> </w:t>
      </w:r>
      <w:r w:rsidRPr="00DD2D90">
        <w:rPr>
          <w:rStyle w:val="StyleUnderline"/>
          <w:highlight w:val="green"/>
        </w:rPr>
        <w:t>for terminating trials</w:t>
      </w:r>
      <w:r w:rsidRPr="00DD2D90">
        <w:rPr>
          <w:rStyle w:val="StyleUnderline"/>
        </w:rPr>
        <w:t xml:space="preserve"> in the late stages of research, including treatments for cancer, cardiovascular disease, and neonatal sepsis, </w:t>
      </w:r>
      <w:r w:rsidRPr="00DD2D90">
        <w:rPr>
          <w:rStyle w:val="StyleUnderline"/>
          <w:highlight w:val="green"/>
        </w:rPr>
        <w:t>was financial consideration</w:t>
      </w:r>
      <w:r w:rsidRPr="009278EB">
        <w:rPr>
          <w:sz w:val="16"/>
        </w:rPr>
        <w:t xml:space="preserve"> (43 percent), </w:t>
      </w:r>
      <w:r w:rsidRPr="00DD2D90">
        <w:rPr>
          <w:rStyle w:val="StyleUnderline"/>
          <w:highlight w:val="green"/>
        </w:rPr>
        <w:t>compared to efficacy</w:t>
      </w:r>
      <w:r w:rsidRPr="009278EB">
        <w:rPr>
          <w:sz w:val="16"/>
        </w:rPr>
        <w:t xml:space="preserve"> (31 percent) </w:t>
      </w:r>
      <w:r w:rsidRPr="00DD2D90">
        <w:rPr>
          <w:rStyle w:val="StyleUnderline"/>
          <w:highlight w:val="green"/>
        </w:rPr>
        <w:t>and</w:t>
      </w:r>
      <w:r w:rsidRPr="00DD2D90">
        <w:rPr>
          <w:rStyle w:val="StyleUnderline"/>
        </w:rPr>
        <w:t xml:space="preserve"> </w:t>
      </w:r>
      <w:r w:rsidRPr="00DD2D90">
        <w:rPr>
          <w:rStyle w:val="StyleUnderline"/>
          <w:highlight w:val="green"/>
        </w:rPr>
        <w:t>safety</w:t>
      </w:r>
      <w:r w:rsidRPr="009278EB">
        <w:rPr>
          <w:sz w:val="16"/>
        </w:rPr>
        <w:t xml:space="preserve"> (21 percent).41 </w:t>
      </w:r>
      <w:r w:rsidRPr="00DD2D90">
        <w:rPr>
          <w:rStyle w:val="StyleUnderline"/>
        </w:rPr>
        <w:t>The financial reasons included a limited commercial market, insufficient anticipated return on investment, and a change in research priorities</w:t>
      </w:r>
      <w:r w:rsidRPr="009278EB">
        <w:rPr>
          <w:sz w:val="16"/>
        </w:rPr>
        <w:t xml:space="preserve"> following drug company mergers. However, </w:t>
      </w:r>
      <w:r w:rsidRPr="00DD2D90">
        <w:rPr>
          <w:rStyle w:val="StyleUnderline"/>
        </w:rPr>
        <w:t>termination solely on financial grounds can be viewed as a violation of</w:t>
      </w:r>
      <w:r w:rsidRPr="009278EB">
        <w:rPr>
          <w:sz w:val="16"/>
        </w:rPr>
        <w:t xml:space="preserve"> Article 6 of </w:t>
      </w:r>
      <w:r w:rsidRPr="00DD2D90">
        <w:rPr>
          <w:rStyle w:val="StyleUnderline"/>
        </w:rPr>
        <w:t>the Declaration of Helsinki</w:t>
      </w:r>
      <w:r w:rsidRPr="009278EB">
        <w:rPr>
          <w:sz w:val="16"/>
        </w:rPr>
        <w:t xml:space="preserve">, the internationally recognized standard for the conduct of clinical research.42 Article 6 states that “in medical research involving human subjects, </w:t>
      </w:r>
      <w:r w:rsidRPr="00DD2D90">
        <w:rPr>
          <w:rStyle w:val="StyleUnderline"/>
        </w:rPr>
        <w:t xml:space="preserve">the well-being of the individual research subject must take precedence over </w:t>
      </w:r>
      <w:r w:rsidRPr="00DD2D90">
        <w:rPr>
          <w:rStyle w:val="Emphasis"/>
        </w:rPr>
        <w:t>all other interests</w:t>
      </w:r>
      <w:r w:rsidRPr="009278EB">
        <w:rPr>
          <w:sz w:val="16"/>
        </w:rPr>
        <w:t xml:space="preserve">.” </w:t>
      </w:r>
      <w:r w:rsidRPr="00DD2D90">
        <w:rPr>
          <w:rStyle w:val="StyleUnderline"/>
        </w:rPr>
        <w:t>Stopping trials before they are completed solely for financial reasons effectively means that the “quarterly business plans or the changing of chief executive officers” takes precedence over “the responsible conduct of medical research</w:t>
      </w:r>
      <w:r w:rsidRPr="009278EB">
        <w:rPr>
          <w:sz w:val="16"/>
        </w:rPr>
        <w:t xml:space="preserve"> [that] involves a social duty and a moral responsibility that transcends quarterly business plans or the changing of chief executive officers.”43 There is evidence that </w:t>
      </w:r>
      <w:r w:rsidRPr="00DD2D90">
        <w:rPr>
          <w:rStyle w:val="StyleUnderline"/>
          <w:highlight w:val="green"/>
        </w:rPr>
        <w:t>not all</w:t>
      </w:r>
      <w:r w:rsidRPr="00DD2D90">
        <w:rPr>
          <w:rStyle w:val="StyleUnderline"/>
        </w:rPr>
        <w:t xml:space="preserve"> the </w:t>
      </w:r>
      <w:r w:rsidRPr="00DD2D90">
        <w:rPr>
          <w:rStyle w:val="StyleUnderline"/>
          <w:highlight w:val="green"/>
        </w:rPr>
        <w:t>data from</w:t>
      </w:r>
      <w:r w:rsidRPr="00DD2D90">
        <w:rPr>
          <w:rStyle w:val="StyleUnderline"/>
        </w:rPr>
        <w:t xml:space="preserve"> clinical </w:t>
      </w:r>
      <w:r w:rsidRPr="00DD2D90">
        <w:rPr>
          <w:rStyle w:val="StyleUnderline"/>
          <w:highlight w:val="green"/>
        </w:rPr>
        <w:t>trials is made available</w:t>
      </w:r>
      <w:r w:rsidRPr="00DD2D90">
        <w:rPr>
          <w:rStyle w:val="StyleUnderline"/>
        </w:rPr>
        <w:t xml:space="preserve"> to regulatory authorities </w:t>
      </w:r>
      <w:r w:rsidRPr="00DD2D90">
        <w:rPr>
          <w:rStyle w:val="StyleUnderline"/>
          <w:highlight w:val="green"/>
        </w:rPr>
        <w:t>and</w:t>
      </w:r>
      <w:r w:rsidRPr="00DD2D90">
        <w:rPr>
          <w:rStyle w:val="StyleUnderline"/>
        </w:rPr>
        <w:t xml:space="preserve"> that it </w:t>
      </w:r>
      <w:r w:rsidRPr="00DD2D90">
        <w:rPr>
          <w:rStyle w:val="StyleUnderline"/>
          <w:highlight w:val="green"/>
        </w:rPr>
        <w:t>is presented in a</w:t>
      </w:r>
      <w:r w:rsidRPr="00DD2D90">
        <w:rPr>
          <w:rStyle w:val="StyleUnderline"/>
        </w:rPr>
        <w:t xml:space="preserve"> </w:t>
      </w:r>
      <w:r w:rsidRPr="00DD2D90">
        <w:rPr>
          <w:rStyle w:val="Emphasis"/>
          <w:highlight w:val="green"/>
        </w:rPr>
        <w:t>misleading</w:t>
      </w:r>
      <w:r w:rsidRPr="00DD2D90">
        <w:rPr>
          <w:rStyle w:val="StyleUnderline"/>
          <w:highlight w:val="green"/>
        </w:rPr>
        <w:t xml:space="preserve"> way</w:t>
      </w:r>
      <w:r w:rsidRPr="009278EB">
        <w:rPr>
          <w:sz w:val="16"/>
        </w:rPr>
        <w:t xml:space="preserve">. Merck failed to provide mortality data in a timely manner to the FDA from two trials involving the use of rofecoxib in patients with Alzheimer’s or other cognitive impairment.44 GlaxoSmithKline presented data to the FDA about its asthma drug, salmeterol, that produced an apparent decrease in the danger associated with the drug.45 One of the best-known examples of the way that corporations change the interpretation of trials between the time that they report results to the FDA and when the trials are actually published is the study that examined the effectiveness of celecoxib, a non-steroidal anti-inflammatory drug (NSAID) and pain reliever made by Pfizer. The published trial, based on six months of data, appeared to confirm the protective effect of celecoxib over traditional anti-inflammatories medications in reducing stomach bleeding. However, the two studies combined in the publication actually continued for twelve and sixteen months. At the 12–16-month time there was no difference in gastrointestinal adverse effects between those patients who used celecoxib and those users of the traditional NSAID.46 </w:t>
      </w:r>
      <w:r w:rsidRPr="00DD2D90">
        <w:rPr>
          <w:rStyle w:val="StyleUnderline"/>
        </w:rPr>
        <w:t>Ghostwriting</w:t>
      </w:r>
      <w:r w:rsidRPr="009278EB">
        <w:rPr>
          <w:sz w:val="16"/>
        </w:rPr>
        <w:t xml:space="preserve"> in the pharmaceutical industry </w:t>
      </w:r>
      <w:r w:rsidRPr="00DD2D90">
        <w:rPr>
          <w:rStyle w:val="StyleUnderline"/>
        </w:rPr>
        <w:t>refers to</w:t>
      </w:r>
      <w:r w:rsidRPr="009278EB">
        <w:rPr>
          <w:sz w:val="16"/>
        </w:rPr>
        <w:t xml:space="preserve"> the practice </w:t>
      </w:r>
      <w:r w:rsidRPr="00DD2D90">
        <w:rPr>
          <w:rStyle w:val="StyleUnderline"/>
        </w:rPr>
        <w:t>where</w:t>
      </w:r>
      <w:r w:rsidRPr="009278EB">
        <w:rPr>
          <w:sz w:val="16"/>
        </w:rPr>
        <w:t xml:space="preserve">by </w:t>
      </w:r>
      <w:r w:rsidRPr="00DD2D90">
        <w:rPr>
          <w:rStyle w:val="StyleUnderline"/>
        </w:rPr>
        <w:t>corporations</w:t>
      </w:r>
      <w:r w:rsidRPr="009278EB">
        <w:rPr>
          <w:sz w:val="16"/>
        </w:rPr>
        <w:t xml:space="preserve">, or someone working on their behalf, </w:t>
      </w:r>
      <w:r w:rsidRPr="00DD2D90">
        <w:rPr>
          <w:rStyle w:val="StyleUnderline"/>
        </w:rPr>
        <w:t>hire medical writers to write a journal article or letter based on company-owned data</w:t>
      </w:r>
      <w:r w:rsidRPr="009278EB">
        <w:rPr>
          <w:sz w:val="16"/>
        </w:rPr>
        <w:t xml:space="preserve">. The article is then taken to </w:t>
      </w:r>
      <w:r w:rsidRPr="00DD2D90">
        <w:rPr>
          <w:rStyle w:val="StyleUnderline"/>
        </w:rPr>
        <w:t>an academic researcher</w:t>
      </w:r>
      <w:r w:rsidRPr="009278EB">
        <w:rPr>
          <w:sz w:val="16"/>
        </w:rPr>
        <w:t xml:space="preserve"> who </w:t>
      </w:r>
      <w:r w:rsidRPr="00DD2D90">
        <w:rPr>
          <w:rStyle w:val="StyleUnderline"/>
        </w:rPr>
        <w:t>agrees to sign it, usually for money or the prestige value of having a publication</w:t>
      </w:r>
      <w:r w:rsidRPr="009278EB">
        <w:rPr>
          <w:sz w:val="16"/>
        </w:rPr>
        <w:t xml:space="preserve">. When the article eventually appears in print, </w:t>
      </w:r>
      <w:r w:rsidRPr="00DD2D90">
        <w:rPr>
          <w:rStyle w:val="StyleUnderline"/>
        </w:rPr>
        <w:t>there is no acknowledgement of the role played by the ghostwriter</w:t>
      </w:r>
      <w:r w:rsidRPr="009278EB">
        <w:rPr>
          <w:sz w:val="16"/>
        </w:rPr>
        <w:t xml:space="preserve"> in its production. Wyeth enlisted ghostwriters to defend the $2 billion in annual sales from Premarin and Prempro, its two HRT products, before and after the publication of the Women’s Health Initiative, which showed that the risks from HRT drugs outweighed their benefits. Court documents show that ghostwriters played a major role in producing twenty-six scientific papers that backed the use of HRT. The articles did not disclose Wyeth’s role in initiating and paying for the work.47 </w:t>
      </w:r>
      <w:r w:rsidRPr="00DD2D90">
        <w:rPr>
          <w:rStyle w:val="StyleUnderline"/>
        </w:rPr>
        <w:t xml:space="preserve">There are numerous examples of </w:t>
      </w:r>
      <w:r w:rsidRPr="00DD2D90">
        <w:rPr>
          <w:rStyle w:val="Emphasis"/>
          <w:highlight w:val="green"/>
        </w:rPr>
        <w:t>selective publication</w:t>
      </w:r>
      <w:r w:rsidRPr="00DD2D90">
        <w:rPr>
          <w:rStyle w:val="StyleUnderline"/>
        </w:rPr>
        <w:t xml:space="preserve"> of industry trials with negative results. Out of thirty-seven studies on antidepressants that the FDA viewed as either negative or questionable, twenty-two were never published</w:t>
      </w:r>
      <w:r w:rsidRPr="009278EB">
        <w:rPr>
          <w:sz w:val="16"/>
        </w:rPr>
        <w:t xml:space="preserve">.48 </w:t>
      </w:r>
      <w:r w:rsidRPr="00DD2D90">
        <w:rPr>
          <w:rStyle w:val="StyleUnderline"/>
        </w:rPr>
        <w:t xml:space="preserve">Failure to publish data </w:t>
      </w:r>
      <w:r w:rsidRPr="00DD2D90">
        <w:rPr>
          <w:rStyle w:val="StyleUnderline"/>
          <w:highlight w:val="green"/>
        </w:rPr>
        <w:t xml:space="preserve">can lead to </w:t>
      </w:r>
      <w:r w:rsidRPr="00DD2D90">
        <w:rPr>
          <w:rStyle w:val="Emphasis"/>
          <w:highlight w:val="green"/>
        </w:rPr>
        <w:t>overestimating</w:t>
      </w:r>
      <w:r w:rsidRPr="00DD2D90">
        <w:rPr>
          <w:rStyle w:val="StyleUnderline"/>
        </w:rPr>
        <w:t xml:space="preserve"> the effectiveness </w:t>
      </w:r>
      <w:r w:rsidRPr="00DD2D90">
        <w:rPr>
          <w:rStyle w:val="StyleUnderline"/>
          <w:highlight w:val="green"/>
        </w:rPr>
        <w:t>of</w:t>
      </w:r>
      <w:r w:rsidRPr="00DD2D90">
        <w:rPr>
          <w:rStyle w:val="StyleUnderline"/>
        </w:rPr>
        <w:t xml:space="preserve"> products and </w:t>
      </w:r>
      <w:r w:rsidRPr="00DD2D90">
        <w:rPr>
          <w:rStyle w:val="Emphasis"/>
          <w:highlight w:val="green"/>
        </w:rPr>
        <w:t>underestimating</w:t>
      </w:r>
      <w:r w:rsidRPr="00DD2D90">
        <w:rPr>
          <w:rStyle w:val="StyleUnderline"/>
        </w:rPr>
        <w:t xml:space="preserve"> their </w:t>
      </w:r>
      <w:r w:rsidRPr="00DD2D90">
        <w:rPr>
          <w:rStyle w:val="StyleUnderline"/>
          <w:highlight w:val="green"/>
        </w:rPr>
        <w:t>harm</w:t>
      </w:r>
      <w:r w:rsidRPr="009278EB">
        <w:rPr>
          <w:sz w:val="16"/>
        </w:rPr>
        <w:t xml:space="preserve">. </w:t>
      </w:r>
      <w:r w:rsidRPr="00DD2D90">
        <w:rPr>
          <w:rStyle w:val="StyleUnderline"/>
        </w:rPr>
        <w:t xml:space="preserve">Published data overestimated the benefit of the antidepressant reboxetine versus placebo by up to </w:t>
      </w:r>
      <w:r w:rsidRPr="00DD2D90">
        <w:rPr>
          <w:rStyle w:val="Emphasis"/>
        </w:rPr>
        <w:t>115 percent</w:t>
      </w:r>
      <w:r w:rsidRPr="009278EB">
        <w:rPr>
          <w:sz w:val="16"/>
        </w:rPr>
        <w:t xml:space="preserve"> and also underestimated harm.49 Internal documents from GlaxoSmithKline were used to demonstrate differences between the actual results of a study that examined the safety and effectiveness of the antidepressant paroxetine in adolescents and the way the results were presented in published form.50 The publication claimed that “paroxetine is generally well tolerated and effective for major depression in adolescents.”51 In contrast, based on the protocol- defined primary and secondary outcomes, “there was no significant efficacy difference between paroxetine and placebo on the two primary outcomes or six secondary outcomes,” and paroxetine was associated with harm, including an increase in suicidal ideation.52 Finally, corporations recognize that there is a credibility gap when they directly present evidence about their products to doctors. To get around this problem they employ doctors and researchers known as “key opinion leaders” (KOLs). It’s vital for the corporations to preserve the fiction that KOLs are independent sources of information in order to maintain the trust of doctors who hear the KOLs’ presentations. However, it is precisely when KOLs start to act independently and deviate from the messages corporations are cultivating that their value to the corporations starts to be questioned.53 One KOL wrote a series of case reports about a certain medication made by a company for which he often spoke that portrayed the product as less favorable than that of a drug made by a competitor. Once those case reports became public, his invitations to speak dropped from four to six times per month to essentially none.54 A BETTER WORLD IS POSSIBLE In an unpublished paper the British economist Alan Maynard notes: </w:t>
      </w:r>
      <w:r w:rsidRPr="00DD2D90">
        <w:rPr>
          <w:rStyle w:val="StyleUnderline"/>
        </w:rPr>
        <w:t xml:space="preserve">Economic theory predicts that </w:t>
      </w:r>
      <w:r w:rsidRPr="00DD2D90">
        <w:rPr>
          <w:rStyle w:val="StyleUnderline"/>
          <w:highlight w:val="green"/>
        </w:rPr>
        <w:t>firms will invest in corruption of the evidence base wherever its benefits exceed its costs</w:t>
      </w:r>
      <w:r w:rsidRPr="009278EB">
        <w:rPr>
          <w:sz w:val="16"/>
        </w:rPr>
        <w:t xml:space="preserve">. </w:t>
      </w:r>
      <w:r w:rsidRPr="00DD2D90">
        <w:rPr>
          <w:rStyle w:val="StyleUnderline"/>
        </w:rPr>
        <w:t>If detection is costly</w:t>
      </w:r>
      <w:r w:rsidRPr="009278EB">
        <w:rPr>
          <w:sz w:val="16"/>
        </w:rPr>
        <w:t xml:space="preserve"> for regulators, </w:t>
      </w:r>
      <w:r w:rsidRPr="00DD2D90">
        <w:rPr>
          <w:rStyle w:val="StyleUnderline"/>
        </w:rPr>
        <w:t>corruption</w:t>
      </w:r>
      <w:r w:rsidRPr="009278EB">
        <w:rPr>
          <w:sz w:val="16"/>
        </w:rPr>
        <w:t xml:space="preserve"> of the evidence base </w:t>
      </w:r>
      <w:r w:rsidRPr="00DD2D90">
        <w:rPr>
          <w:rStyle w:val="StyleUnderline"/>
        </w:rPr>
        <w:t>can be</w:t>
      </w:r>
      <w:r w:rsidRPr="009278EB">
        <w:rPr>
          <w:sz w:val="16"/>
        </w:rPr>
        <w:t xml:space="preserve"> expected to be </w:t>
      </w:r>
      <w:r w:rsidRPr="00DD2D90">
        <w:rPr>
          <w:rStyle w:val="StyleUnderline"/>
        </w:rPr>
        <w:t>extensive</w:t>
      </w:r>
      <w:r w:rsidRPr="009278EB">
        <w:rPr>
          <w:sz w:val="16"/>
        </w:rPr>
        <w:t xml:space="preserve">. </w:t>
      </w:r>
      <w:r w:rsidRPr="00DD2D90">
        <w:rPr>
          <w:rStyle w:val="StyleUnderline"/>
        </w:rPr>
        <w:t xml:space="preserve">Investment in </w:t>
      </w:r>
      <w:r w:rsidRPr="00DD2D90">
        <w:rPr>
          <w:rStyle w:val="Emphasis"/>
        </w:rPr>
        <w:t>biasing</w:t>
      </w:r>
      <w:r w:rsidRPr="009278EB">
        <w:rPr>
          <w:sz w:val="16"/>
        </w:rPr>
        <w:t xml:space="preserve"> the </w:t>
      </w:r>
      <w:r w:rsidRPr="00DD2D90">
        <w:rPr>
          <w:rStyle w:val="StyleUnderline"/>
        </w:rPr>
        <w:t>evidence</w:t>
      </w:r>
      <w:r w:rsidRPr="009278EB">
        <w:rPr>
          <w:sz w:val="16"/>
        </w:rPr>
        <w:t xml:space="preserve"> base, both clinical and economic, </w:t>
      </w:r>
      <w:r w:rsidRPr="00DD2D90">
        <w:rPr>
          <w:rStyle w:val="StyleUnderline"/>
        </w:rPr>
        <w:t>in pharmaceuticals is</w:t>
      </w:r>
      <w:r w:rsidRPr="009278EB">
        <w:rPr>
          <w:sz w:val="16"/>
        </w:rPr>
        <w:t xml:space="preserve"> likely to be </w:t>
      </w:r>
      <w:r w:rsidRPr="00DD2D90">
        <w:rPr>
          <w:rStyle w:val="StyleUnderline"/>
        </w:rPr>
        <w:t>detailed and comprehensive, covering all aspects of the appraisal process</w:t>
      </w:r>
      <w:r w:rsidRPr="009278EB">
        <w:rPr>
          <w:sz w:val="16"/>
        </w:rPr>
        <w:t xml:space="preserve">. Such investment is likely to be extensive as the </w:t>
      </w:r>
      <w:r w:rsidRPr="00DD2D90">
        <w:rPr>
          <w:rStyle w:val="StyleUnderline"/>
        </w:rPr>
        <w:t>scientific and policy discourses are technical and esoteric, making detection difficult and expensive</w:t>
      </w:r>
      <w:r w:rsidRPr="009278EB">
        <w:rPr>
          <w:sz w:val="16"/>
        </w:rPr>
        <w:t xml:space="preserve">.55 Although the pharmaceutical industry seems like an invincible opponent, the crisis that it is facing also offers the opportunity to advocate for new ways of bringing drugs to the market that are affordable and meet real medical needs rather than maximization of profits. The Mario Negri Institute in Italy, in existence since the early 1960s, offers an alternative way for doing pharmacological research. It is willing to accept money from pharmaceutical corporations for research, but it insists on maintaining its independence by designing the trials, conducting them, collecting and analyzing the data, and writing up the results without any interference from the funding source. In addition, the Institute declines to take out any patents or to demand any other form of IPRs and makes all data freely available. Finally, it rejects any funding when its scientists conclude that the results will not further the interest of public health.56 Though it is worth emulating the Mario Negri Institute model on a wider scale, this still leaves the choice of what drugs to focus on and their eventual price in the hands of the pharmaceutical corporations. To deal with these issues, there have been proposals circulating for over a decade to incentivize R&amp;D into products that meet real medical needs rather than just enhancing profits and to base the revenue that corporations earn on the therapeutic value of products rather than their prices. U.S. Senator Bernie Sanders introduced and revised the Medical Innovation Prize Fund bill, which would de-link the incentives for R&amp;D from high drug prices through innovation inducement prizes. “Incentives can target important goals such as products that . . . address research priorities from a health perspective”.57 Going further, there is the “sequestration thesis” proposed by Arthur Schafer, Director of the Centre for Professional and Applied Ethics at the University of Manitoba.58 Under this proposal, an organization such as the National Institutes of Health or its equivalent in other countries would organize and manage clinical trials and the data that come from them, with funding generated through taxes collected from the pharmaceutical industry and/or general tax revenue.59 “Drug companies would no longer directly compensate scientists for evaluating their own products; instead, scientists would work for the testing agency.”60 Dean Baker, co-founder of the Center for Economic and Policy Research in Washington, D.C., goes even further in arguing for a system whereby all clinical trials would be publicly financed, with the cost of the trials in the United States being covered through lower drug prices under the Medicare drug program and other public health care programs.61 Some national health systems have experienced relative success in controlling overall drug expenditures through a variety of mechanisms. Canada sets a maximum introductory price for new patented medicines.62 As a result, prices for brand-name drugs are, on average, about 50 percent lower than prices in the United States.63 However, the benchmark that Canada uses is the median price in seven other countries, some with the highest prices in the world; this is one of the reasons why spending for medications in Canada is $713 per capita, fourth highest in the world.64 Australia, with its Pharmaceutical Benefits Scheme that covers the entire population, negotiates prices at a national level. If drugs are not listed on its formulary, sales suffer significantly. Therefore, Australia is able to achieve prices for brand-name drugs that are about 9 to 10 percent lower than Canada’s.65 New Zealand is even more aggressive and uses competitive bidding for generic drugs and reference-based pricing for brand-name drugs. Reference-based pricing groups all drugs that are therapeutically equivalent for a particular problem, and the government then pays only for the lowest-priced drug in the group. Using these two approaches and a few others, instead of spending an expected NZ$2.34 billion in 2012, based on the rate of rise in drug spending in 2000, New Zealand paid out only NZ$777 million.66 However, despite successes in controlling overall spending, no developed countries have been willing to mount a challenge to the current intellectual property regime that grants monopolies for up to twenty years and keeps lower-priced generics off the market. All </w:t>
      </w:r>
      <w:r w:rsidRPr="00DD2D90">
        <w:rPr>
          <w:rStyle w:val="StyleUnderline"/>
        </w:rPr>
        <w:t>drug regulatory systems are funded</w:t>
      </w:r>
      <w:r w:rsidRPr="009278EB">
        <w:rPr>
          <w:sz w:val="16"/>
        </w:rPr>
        <w:t xml:space="preserve"> to varying degrees </w:t>
      </w:r>
      <w:r w:rsidRPr="00DD2D90">
        <w:rPr>
          <w:rStyle w:val="StyleUnderline"/>
        </w:rPr>
        <w:t>by user fees</w:t>
      </w:r>
      <w:r w:rsidRPr="009278EB">
        <w:rPr>
          <w:sz w:val="16"/>
        </w:rPr>
        <w:t xml:space="preserve">, thereby </w:t>
      </w:r>
      <w:r w:rsidRPr="00DD2D90">
        <w:rPr>
          <w:rStyle w:val="StyleUnderline"/>
        </w:rPr>
        <w:t>embedding a system that makes regulators sensitive to the needs of the pharmaceutical industry when it comes to approving new products</w:t>
      </w:r>
      <w:r w:rsidRPr="009278EB">
        <w:rPr>
          <w:sz w:val="16"/>
        </w:rPr>
        <w:t xml:space="preserve">. Finally, </w:t>
      </w:r>
      <w:r w:rsidRPr="00DD2D90">
        <w:rPr>
          <w:rStyle w:val="StyleUnderline"/>
        </w:rPr>
        <w:t>clinical trials are</w:t>
      </w:r>
      <w:r w:rsidRPr="009278EB">
        <w:rPr>
          <w:sz w:val="16"/>
        </w:rPr>
        <w:t xml:space="preserve"> still </w:t>
      </w:r>
      <w:r w:rsidRPr="00DD2D90">
        <w:rPr>
          <w:rStyle w:val="StyleUnderline"/>
        </w:rPr>
        <w:t>under control of pharmaceutical corporations worldwide</w:t>
      </w:r>
      <w:r w:rsidRPr="009278EB">
        <w:rPr>
          <w:sz w:val="16"/>
        </w:rPr>
        <w:t xml:space="preserve">. </w:t>
      </w:r>
      <w:r w:rsidRPr="00DD2D90">
        <w:rPr>
          <w:rStyle w:val="StyleUnderline"/>
        </w:rPr>
        <w:t>Promotion to both health care practitioners and consumers</w:t>
      </w:r>
      <w:r w:rsidRPr="009278EB">
        <w:rPr>
          <w:sz w:val="16"/>
        </w:rPr>
        <w:t xml:space="preserve">, even in countries like New Zealand, </w:t>
      </w:r>
      <w:r w:rsidRPr="00DD2D90">
        <w:rPr>
          <w:rStyle w:val="StyleUnderline"/>
        </w:rPr>
        <w:t xml:space="preserve">is </w:t>
      </w:r>
      <w:r w:rsidRPr="00DD2D90">
        <w:rPr>
          <w:rStyle w:val="Emphasis"/>
        </w:rPr>
        <w:t>poorly regulated</w:t>
      </w:r>
      <w:r w:rsidRPr="009278EB">
        <w:rPr>
          <w:sz w:val="16"/>
        </w:rPr>
        <w:t xml:space="preserve">, </w:t>
      </w:r>
      <w:r w:rsidRPr="00DD2D90">
        <w:rPr>
          <w:rStyle w:val="StyleUnderline"/>
        </w:rPr>
        <w:t>meaning</w:t>
      </w:r>
      <w:r w:rsidRPr="009278EB">
        <w:rPr>
          <w:sz w:val="16"/>
        </w:rPr>
        <w:t xml:space="preserve"> that both </w:t>
      </w:r>
      <w:r w:rsidRPr="00DD2D90">
        <w:rPr>
          <w:rStyle w:val="StyleUnderline"/>
        </w:rPr>
        <w:t>prescribers’ and patients’ knowledge about medications remains limited</w:t>
      </w:r>
      <w:r w:rsidRPr="009278EB">
        <w:rPr>
          <w:sz w:val="16"/>
        </w:rPr>
        <w:t xml:space="preserve">. </w:t>
      </w:r>
      <w:r w:rsidRPr="00DD2D90">
        <w:rPr>
          <w:rStyle w:val="StyleUnderline"/>
        </w:rPr>
        <w:t>Pharmaceutical corporations</w:t>
      </w:r>
      <w:r w:rsidRPr="009278EB">
        <w:rPr>
          <w:sz w:val="16"/>
        </w:rPr>
        <w:t xml:space="preserve"> are extremely powerful due to their wealth. They achieve this power with the </w:t>
      </w:r>
      <w:r w:rsidRPr="00DD2D90">
        <w:rPr>
          <w:rStyle w:val="StyleUnderline"/>
        </w:rPr>
        <w:t>active collusion of regulatory authorities and the governments that oversee these authorities</w:t>
      </w:r>
      <w:r w:rsidRPr="009278EB">
        <w:rPr>
          <w:sz w:val="16"/>
        </w:rPr>
        <w:t xml:space="preserve">. The introduction of </w:t>
      </w:r>
      <w:r w:rsidRPr="00DD2D90">
        <w:rPr>
          <w:rStyle w:val="StyleUnderline"/>
        </w:rPr>
        <w:t>user fees has meant that commercial values are replacing public health as a priority for organizations such as the FDA</w:t>
      </w:r>
      <w:r w:rsidRPr="009278EB">
        <w:rPr>
          <w:sz w:val="16"/>
        </w:rPr>
        <w:t xml:space="preserve">. In the process, </w:t>
      </w:r>
      <w:r w:rsidRPr="00DD2D90">
        <w:rPr>
          <w:rStyle w:val="StyleUnderline"/>
        </w:rPr>
        <w:t xml:space="preserve">drugs are approved with </w:t>
      </w:r>
      <w:r w:rsidRPr="00DD2D90">
        <w:rPr>
          <w:rStyle w:val="Emphasis"/>
        </w:rPr>
        <w:t>increasingly weaker</w:t>
      </w:r>
      <w:r w:rsidRPr="00DD2D90">
        <w:rPr>
          <w:rStyle w:val="StyleUnderline"/>
        </w:rPr>
        <w:t xml:space="preserve"> evidence, and the result is </w:t>
      </w:r>
      <w:r w:rsidRPr="00DD2D90">
        <w:rPr>
          <w:rStyle w:val="Emphasis"/>
        </w:rPr>
        <w:t>poor-quality</w:t>
      </w:r>
      <w:r w:rsidRPr="009278EB">
        <w:rPr>
          <w:sz w:val="16"/>
        </w:rPr>
        <w:t xml:space="preserve"> </w:t>
      </w:r>
      <w:r w:rsidRPr="00DD2D90">
        <w:rPr>
          <w:rStyle w:val="StyleUnderline"/>
        </w:rPr>
        <w:t>therapy and more safety problems</w:t>
      </w:r>
      <w:r w:rsidRPr="009278EB">
        <w:rPr>
          <w:sz w:val="16"/>
        </w:rPr>
        <w:t xml:space="preserve"> associated with the drugs that are marketed. Ratcheting up the strength of IPRs through international and bilateral trade deals helps protect the profits of the corporations but means that, globally, access to essential medicines is restricted, especially in developing countries. Finally, </w:t>
      </w:r>
      <w:r w:rsidRPr="00DD2D90">
        <w:rPr>
          <w:rStyle w:val="StyleUnderline"/>
        </w:rPr>
        <w:t xml:space="preserve">the industry is able to </w:t>
      </w:r>
      <w:r w:rsidRPr="00DD2D90">
        <w:rPr>
          <w:rStyle w:val="Emphasis"/>
        </w:rPr>
        <w:t>manipulate knowledge</w:t>
      </w:r>
      <w:r w:rsidRPr="009278EB">
        <w:rPr>
          <w:sz w:val="16"/>
        </w:rPr>
        <w:t xml:space="preserve"> about the value of pharmaceuticals not only to the detriment of what doctors know, but more important, </w:t>
      </w:r>
      <w:r w:rsidRPr="00DD2D90">
        <w:rPr>
          <w:rStyle w:val="StyleUnderline"/>
        </w:rPr>
        <w:t>to the detriment of people’s health</w:t>
      </w:r>
      <w:r w:rsidRPr="009278EB">
        <w:rPr>
          <w:sz w:val="16"/>
        </w:rPr>
        <w:t xml:space="preserve">. At the same time as the industry is developing ways of coping with its internal crisis, a crisis that is inherent in the capitalist organization of pharmaceutical production, there are also serious proposals to curb its power and to ensure that drugs are developed and priced to meet real health needs and not the need for ever larger profits.67 </w:t>
      </w:r>
    </w:p>
    <w:p w14:paraId="78230E02" w14:textId="77777777" w:rsidR="00EA6776" w:rsidRPr="009278EB" w:rsidRDefault="00EA6776">
      <w:pPr>
        <w:rPr>
          <w:rFonts w:eastAsiaTheme="majorEastAsia" w:cstheme="majorBidi"/>
          <w:b/>
          <w:iCs/>
          <w:sz w:val="16"/>
        </w:rPr>
      </w:pPr>
      <w:r w:rsidRPr="009278EB">
        <w:rPr>
          <w:sz w:val="16"/>
        </w:rPr>
        <w:br w:type="page"/>
      </w:r>
    </w:p>
    <w:p w14:paraId="2E0B5C5A" w14:textId="6B13F822" w:rsidR="002B1D3F" w:rsidRPr="009278EB" w:rsidRDefault="002B1D3F" w:rsidP="002B1D3F">
      <w:pPr>
        <w:pStyle w:val="Heading4"/>
        <w:rPr>
          <w:szCs w:val="26"/>
        </w:rPr>
      </w:pPr>
      <w:r w:rsidRPr="009278EB">
        <w:rPr>
          <w:szCs w:val="26"/>
        </w:rPr>
        <w:t>Financialization hollows out public health infrastructure</w:t>
      </w:r>
    </w:p>
    <w:p w14:paraId="04E2B0B5" w14:textId="77777777" w:rsidR="002B1D3F" w:rsidRPr="00DD2D90" w:rsidRDefault="002B1D3F" w:rsidP="002B1D3F">
      <w:r w:rsidRPr="009278EB">
        <w:rPr>
          <w:b/>
          <w:bCs/>
          <w:sz w:val="26"/>
          <w:szCs w:val="26"/>
        </w:rPr>
        <w:t>Batifoulier et al. 25</w:t>
      </w:r>
      <w:r w:rsidRPr="00DD2D90">
        <w:t xml:space="preserve"> [Philippe Batifoulier, researcher at Université Sorbonne Paris Nord, Eve Chiapello, researcher at the School for Advanced Studies in the Social Sciences, Nicolas Da Silva, researcher at Université Sorbonne Paris Nord, and Robert McMaster, researcher at the University of Glasgow, 08-07-2025, “Health capitalism and financialization of healthcare. Introduction,” Review of Evolutionary Political Economy, https://link.springer.com/article/10.1007/s43253-025-00157-1]/Kankee</w:t>
      </w:r>
    </w:p>
    <w:p w14:paraId="07A1B23A" w14:textId="77777777" w:rsidR="002B1D3F" w:rsidRPr="009278EB" w:rsidRDefault="002B1D3F" w:rsidP="002B1D3F">
      <w:pPr>
        <w:rPr>
          <w:sz w:val="16"/>
        </w:rPr>
      </w:pPr>
      <w:r w:rsidRPr="009278EB">
        <w:rPr>
          <w:sz w:val="16"/>
        </w:rPr>
        <w:t xml:space="preserve">3. Healthcare Financialization Financialization is a polysemous concept that encompasses both micro and macro phenomena. Its interpretation varies across disciplines and fields of study, sometimes leading to conflicting understandings (Mader et al. 2020, Stockhammer et al. 2021). Fuller (2021, p. 553) thus argues that a “broad definition would be impossible to operationalize in a single way because it encompasses a multitude of interrelated processes. The key task for a scholar writing on financialization is therefore to indicate which of these processes they are investigating and how they link it to the broader whole.” In this study, we define financialization in healthcare as the entry of powerful financial actors—whether through capital investments or debt financing— into healthcare organizations. These financial players not only influence funding structures but also shape legal frameworks and promote various financial instruments and strategies to maximize returns. Beyond the US, research on healthcare financialization is in its infancy. Academic interest is now growing in other countries. The process is both relatively new and highly significant, even though it is not always easy to trace. Many healthcare investments are made by private equity funds, whose operations often remain undisclosed. Unlike publicly traded companies, private equity firms are not required to issue public reports. </w:t>
      </w:r>
      <w:r w:rsidRPr="00DD2D90">
        <w:rPr>
          <w:rStyle w:val="StyleUnderline"/>
        </w:rPr>
        <w:t xml:space="preserve">Virtually </w:t>
      </w:r>
      <w:r w:rsidRPr="00DD2D90">
        <w:rPr>
          <w:rStyle w:val="Emphasis"/>
          <w:highlight w:val="green"/>
        </w:rPr>
        <w:t>all</w:t>
      </w:r>
      <w:r w:rsidRPr="00DD2D90">
        <w:rPr>
          <w:rStyle w:val="StyleUnderline"/>
          <w:highlight w:val="green"/>
        </w:rPr>
        <w:t xml:space="preserve"> segments of healthcare</w:t>
      </w:r>
      <w:r w:rsidRPr="00DD2D90">
        <w:rPr>
          <w:rStyle w:val="StyleUnderline"/>
        </w:rPr>
        <w:t xml:space="preserve"> </w:t>
      </w:r>
      <w:r w:rsidRPr="00DD2D90">
        <w:rPr>
          <w:rStyle w:val="StyleUnderline"/>
          <w:highlight w:val="green"/>
        </w:rPr>
        <w:t>are</w:t>
      </w:r>
      <w:r w:rsidRPr="00DD2D90">
        <w:rPr>
          <w:rStyle w:val="StyleUnderline"/>
        </w:rPr>
        <w:t xml:space="preserve"> affected</w:t>
      </w:r>
      <w:r w:rsidRPr="009278EB">
        <w:rPr>
          <w:sz w:val="16"/>
        </w:rPr>
        <w:t xml:space="preserve">: </w:t>
      </w:r>
      <w:r w:rsidRPr="00DD2D90">
        <w:rPr>
          <w:rStyle w:val="StyleUnderline"/>
        </w:rPr>
        <w:t>pharmaceuticals, health insurance, primary care, diagnostic laboratories, radiology, dental and ophthalmology practices, hospitals, mental health clinics, telemedicine, medical transport, nursing homes, and more</w:t>
      </w:r>
      <w:r w:rsidRPr="009278EB">
        <w:rPr>
          <w:sz w:val="16"/>
        </w:rPr>
        <w:t xml:space="preserve">. Financialization impacts both the private and public sectors, notably through increasing debt burdens. These </w:t>
      </w:r>
      <w:r w:rsidRPr="00DD2D90">
        <w:rPr>
          <w:rStyle w:val="StyleUnderline"/>
        </w:rPr>
        <w:t>healthcare entities are</w:t>
      </w:r>
      <w:r w:rsidRPr="009278EB">
        <w:rPr>
          <w:sz w:val="16"/>
        </w:rPr>
        <w:t xml:space="preserve"> increasingly </w:t>
      </w:r>
      <w:r w:rsidRPr="00DD2D90">
        <w:rPr>
          <w:rStyle w:val="StyleUnderline"/>
        </w:rPr>
        <w:t xml:space="preserve">being </w:t>
      </w:r>
      <w:r w:rsidRPr="00DD2D90">
        <w:rPr>
          <w:rStyle w:val="StyleUnderline"/>
          <w:highlight w:val="green"/>
        </w:rPr>
        <w:t>acquired by non-medical</w:t>
      </w:r>
      <w:r w:rsidRPr="009278EB">
        <w:rPr>
          <w:sz w:val="16"/>
          <w:highlight w:val="green"/>
        </w:rPr>
        <w:t xml:space="preserve"> </w:t>
      </w:r>
      <w:r w:rsidRPr="00DD2D90">
        <w:rPr>
          <w:rStyle w:val="StyleUnderline"/>
          <w:highlight w:val="green"/>
        </w:rPr>
        <w:t>financial actors</w:t>
      </w:r>
      <w:r w:rsidRPr="009278EB">
        <w:rPr>
          <w:sz w:val="16"/>
          <w:highlight w:val="green"/>
        </w:rPr>
        <w:t xml:space="preserve"> </w:t>
      </w:r>
      <w:r w:rsidRPr="00DD2D90">
        <w:rPr>
          <w:rStyle w:val="StyleUnderline"/>
          <w:highlight w:val="green"/>
        </w:rPr>
        <w:t>who seek</w:t>
      </w:r>
      <w:r w:rsidRPr="00DD2D90">
        <w:rPr>
          <w:rStyle w:val="StyleUnderline"/>
        </w:rPr>
        <w:t xml:space="preserve"> </w:t>
      </w:r>
      <w:r w:rsidRPr="00DD2D90">
        <w:rPr>
          <w:rStyle w:val="StyleUnderline"/>
          <w:highlight w:val="green"/>
        </w:rPr>
        <w:t>r</w:t>
      </w:r>
      <w:r w:rsidRPr="00DD2D90">
        <w:rPr>
          <w:rStyle w:val="StyleUnderline"/>
        </w:rPr>
        <w:t xml:space="preserve">eturns </w:t>
      </w:r>
      <w:r w:rsidRPr="00DD2D90">
        <w:rPr>
          <w:rStyle w:val="StyleUnderline"/>
          <w:highlight w:val="green"/>
        </w:rPr>
        <w:t>o</w:t>
      </w:r>
      <w:r w:rsidRPr="00DD2D90">
        <w:rPr>
          <w:rStyle w:val="StyleUnderline"/>
        </w:rPr>
        <w:t xml:space="preserve">n </w:t>
      </w:r>
      <w:r w:rsidRPr="00DD2D90">
        <w:rPr>
          <w:rStyle w:val="StyleUnderline"/>
          <w:highlight w:val="green"/>
        </w:rPr>
        <w:t>i</w:t>
      </w:r>
      <w:r w:rsidRPr="00DD2D90">
        <w:rPr>
          <w:rStyle w:val="StyleUnderline"/>
        </w:rPr>
        <w:t>nvestment</w:t>
      </w:r>
      <w:r w:rsidRPr="009278EB">
        <w:rPr>
          <w:sz w:val="16"/>
        </w:rPr>
        <w:t xml:space="preserve"> rather than prioritizing patient care. Importantly, financialization is not a uniform process—it varies across different healthcare sectors. Healthcare Financialization Across Sectors In the </w:t>
      </w:r>
      <w:r w:rsidRPr="00DD2D90">
        <w:rPr>
          <w:rStyle w:val="StyleUnderline"/>
        </w:rPr>
        <w:t>pharmaceutical</w:t>
      </w:r>
      <w:r w:rsidRPr="009278EB">
        <w:rPr>
          <w:sz w:val="16"/>
        </w:rPr>
        <w:t xml:space="preserve"> sector, </w:t>
      </w:r>
      <w:r w:rsidRPr="00DD2D90">
        <w:rPr>
          <w:rStyle w:val="StyleUnderline"/>
          <w:highlight w:val="green"/>
        </w:rPr>
        <w:t>financialization has driven a shift</w:t>
      </w:r>
      <w:r w:rsidRPr="009278EB">
        <w:rPr>
          <w:sz w:val="16"/>
        </w:rPr>
        <w:t xml:space="preserve"> in business models, transitioning </w:t>
      </w:r>
      <w:r w:rsidRPr="00DD2D90">
        <w:rPr>
          <w:rStyle w:val="StyleUnderline"/>
          <w:highlight w:val="green"/>
        </w:rPr>
        <w:t>from</w:t>
      </w:r>
      <w:r w:rsidRPr="009278EB">
        <w:rPr>
          <w:sz w:val="16"/>
        </w:rPr>
        <w:t xml:space="preserve"> the traditional "</w:t>
      </w:r>
      <w:r w:rsidRPr="00DD2D90">
        <w:rPr>
          <w:rStyle w:val="StyleUnderline"/>
          <w:highlight w:val="green"/>
        </w:rPr>
        <w:t>blockbuster</w:t>
      </w:r>
      <w:r w:rsidRPr="009278EB">
        <w:rPr>
          <w:sz w:val="16"/>
        </w:rPr>
        <w:t xml:space="preserve">" model </w:t>
      </w:r>
      <w:r w:rsidRPr="00DD2D90">
        <w:rPr>
          <w:rStyle w:val="StyleUnderline"/>
          <w:highlight w:val="green"/>
        </w:rPr>
        <w:t>to</w:t>
      </w:r>
      <w:r w:rsidRPr="009278EB">
        <w:rPr>
          <w:sz w:val="16"/>
        </w:rPr>
        <w:t xml:space="preserve"> the "</w:t>
      </w:r>
      <w:r w:rsidRPr="00DD2D90">
        <w:rPr>
          <w:rStyle w:val="StyleUnderline"/>
          <w:highlight w:val="green"/>
        </w:rPr>
        <w:t>nichebuster</w:t>
      </w:r>
      <w:r w:rsidRPr="009278EB">
        <w:rPr>
          <w:sz w:val="16"/>
        </w:rPr>
        <w:t xml:space="preserve">" approach. The nichebuster model targets </w:t>
      </w:r>
      <w:r w:rsidRPr="00DD2D90">
        <w:rPr>
          <w:rStyle w:val="StyleUnderline"/>
        </w:rPr>
        <w:t>smaller patient</w:t>
      </w:r>
      <w:r w:rsidRPr="009278EB">
        <w:rPr>
          <w:sz w:val="16"/>
        </w:rPr>
        <w:t xml:space="preserve"> </w:t>
      </w:r>
      <w:r w:rsidRPr="00DD2D90">
        <w:rPr>
          <w:rStyle w:val="StyleUnderline"/>
        </w:rPr>
        <w:t>populations</w:t>
      </w:r>
      <w:r w:rsidRPr="009278EB">
        <w:rPr>
          <w:sz w:val="16"/>
        </w:rPr>
        <w:t>—often those with chronic diseases—</w:t>
      </w:r>
      <w:r w:rsidRPr="00DD2D90">
        <w:rPr>
          <w:rStyle w:val="StyleUnderline"/>
        </w:rPr>
        <w:t xml:space="preserve">while selling drugs at </w:t>
      </w:r>
      <w:r w:rsidRPr="00DD2D90">
        <w:rPr>
          <w:rStyle w:val="Emphasis"/>
        </w:rPr>
        <w:t>exorbitant</w:t>
      </w:r>
      <w:r w:rsidRPr="00DD2D90">
        <w:rPr>
          <w:rStyle w:val="StyleUnderline"/>
        </w:rPr>
        <w:t xml:space="preserve"> prices</w:t>
      </w:r>
      <w:r w:rsidRPr="009278EB">
        <w:rPr>
          <w:sz w:val="16"/>
        </w:rPr>
        <w:t xml:space="preserve"> (Guennif 2025). </w:t>
      </w:r>
      <w:r w:rsidRPr="00DD2D90">
        <w:rPr>
          <w:rStyle w:val="StyleUnderline"/>
        </w:rPr>
        <w:t>This</w:t>
      </w:r>
      <w:r w:rsidRPr="009278EB">
        <w:rPr>
          <w:sz w:val="16"/>
        </w:rPr>
        <w:t xml:space="preserve"> transition </w:t>
      </w:r>
      <w:r w:rsidRPr="00DD2D90">
        <w:rPr>
          <w:rStyle w:val="StyleUnderline"/>
        </w:rPr>
        <w:t>aligns wit</w:t>
      </w:r>
      <w:r w:rsidRPr="009278EB">
        <w:rPr>
          <w:sz w:val="16"/>
        </w:rPr>
        <w:t>h the "</w:t>
      </w:r>
      <w:r w:rsidRPr="00DD2D90">
        <w:rPr>
          <w:rStyle w:val="Emphasis"/>
          <w:highlight w:val="green"/>
        </w:rPr>
        <w:t>profit without investment</w:t>
      </w:r>
      <w:r w:rsidRPr="009278EB">
        <w:rPr>
          <w:sz w:val="16"/>
        </w:rPr>
        <w:t xml:space="preserve">" </w:t>
      </w:r>
      <w:r w:rsidRPr="00DD2D90">
        <w:rPr>
          <w:rStyle w:val="StyleUnderline"/>
          <w:highlight w:val="green"/>
        </w:rPr>
        <w:t>model</w:t>
      </w:r>
      <w:r w:rsidRPr="009278EB">
        <w:rPr>
          <w:sz w:val="16"/>
        </w:rPr>
        <w:t xml:space="preserve"> (or rather, profit beyond investment, se Cordonnier and Van de Velde ( 2015), wherein </w:t>
      </w:r>
      <w:r w:rsidRPr="00DD2D90">
        <w:rPr>
          <w:rStyle w:val="StyleUnderline"/>
        </w:rPr>
        <w:t xml:space="preserve">pharmaceutical companies </w:t>
      </w:r>
      <w:r w:rsidRPr="00DD2D90">
        <w:rPr>
          <w:rStyle w:val="StyleUnderline"/>
          <w:highlight w:val="green"/>
        </w:rPr>
        <w:t>prioritize</w:t>
      </w:r>
      <w:r w:rsidRPr="00DD2D90">
        <w:rPr>
          <w:rStyle w:val="StyleUnderline"/>
        </w:rPr>
        <w:t xml:space="preserve"> </w:t>
      </w:r>
      <w:r w:rsidRPr="00DD2D90">
        <w:rPr>
          <w:rStyle w:val="StyleUnderline"/>
          <w:highlight w:val="green"/>
        </w:rPr>
        <w:t>shareholder payouts</w:t>
      </w:r>
      <w:r w:rsidRPr="009278EB">
        <w:rPr>
          <w:sz w:val="16"/>
        </w:rPr>
        <w:t xml:space="preserve"> (via dividends and stock buybacks) </w:t>
      </w:r>
      <w:r w:rsidRPr="00DD2D90">
        <w:rPr>
          <w:rStyle w:val="StyleUnderline"/>
        </w:rPr>
        <w:t>over reinvestment</w:t>
      </w:r>
      <w:r w:rsidRPr="009278EB">
        <w:rPr>
          <w:sz w:val="16"/>
        </w:rPr>
        <w:t xml:space="preserve">, even if it requires taking on debt (Busfield 2020). The emphasis on shortterm profitability means that </w:t>
      </w:r>
      <w:r w:rsidRPr="00DD2D90">
        <w:rPr>
          <w:rStyle w:val="StyleUnderline"/>
        </w:rPr>
        <w:t>investments are concentrated only on the most lucrative drugs, while patents</w:t>
      </w:r>
      <w:r w:rsidRPr="009278EB">
        <w:rPr>
          <w:sz w:val="16"/>
        </w:rPr>
        <w:t xml:space="preserve"> on new drugs </w:t>
      </w:r>
      <w:r w:rsidRPr="00DD2D90">
        <w:rPr>
          <w:rStyle w:val="StyleUnderline"/>
        </w:rPr>
        <w:t>are</w:t>
      </w:r>
      <w:r w:rsidRPr="009278EB">
        <w:rPr>
          <w:sz w:val="16"/>
        </w:rPr>
        <w:t xml:space="preserve"> increasingly </w:t>
      </w:r>
      <w:r w:rsidRPr="00DD2D90">
        <w:rPr>
          <w:rStyle w:val="StyleUnderline"/>
        </w:rPr>
        <w:t xml:space="preserve">treated as </w:t>
      </w:r>
      <w:r w:rsidRPr="00DD2D90">
        <w:rPr>
          <w:rStyle w:val="Emphasis"/>
        </w:rPr>
        <w:t>speculative</w:t>
      </w:r>
      <w:r w:rsidRPr="00DD2D90">
        <w:rPr>
          <w:rStyle w:val="StyleUnderline"/>
        </w:rPr>
        <w:t xml:space="preserve"> financial assets</w:t>
      </w:r>
      <w:r w:rsidRPr="009278EB">
        <w:rPr>
          <w:sz w:val="16"/>
        </w:rPr>
        <w:t xml:space="preserve"> (Tulum et al. 2022). Financialization is also reshaping primary care, where </w:t>
      </w:r>
      <w:r w:rsidRPr="00DD2D90">
        <w:rPr>
          <w:rStyle w:val="StyleUnderline"/>
        </w:rPr>
        <w:t>private equity firms have begun acquiring medical practices</w:t>
      </w:r>
      <w:r w:rsidRPr="009278EB">
        <w:rPr>
          <w:sz w:val="16"/>
        </w:rPr>
        <w:t xml:space="preserve"> (private laboratories and clinics) previously owned by healthcare professionals (see Bernd et al. (2023), for Germany, Ireland, UK, Sweden, Leymarie (2025) for France, Soleil et al. (2023) for acquisitions by Amazon and CVS). A similar trend is occurring in hospitals. Historically run by independent professionals, many </w:t>
      </w:r>
      <w:r w:rsidRPr="00DD2D90">
        <w:rPr>
          <w:rStyle w:val="StyleUnderline"/>
        </w:rPr>
        <w:t>hospitals are</w:t>
      </w:r>
      <w:r w:rsidRPr="009278EB">
        <w:rPr>
          <w:sz w:val="16"/>
        </w:rPr>
        <w:t xml:space="preserve"> now </w:t>
      </w:r>
      <w:r w:rsidRPr="00DD2D90">
        <w:rPr>
          <w:rStyle w:val="StyleUnderline"/>
        </w:rPr>
        <w:t>controlled by financial market</w:t>
      </w:r>
      <w:r w:rsidRPr="009278EB">
        <w:rPr>
          <w:sz w:val="16"/>
        </w:rPr>
        <w:t xml:space="preserve"> </w:t>
      </w:r>
      <w:r w:rsidRPr="00DD2D90">
        <w:rPr>
          <w:rStyle w:val="StyleUnderline"/>
        </w:rPr>
        <w:t>actors</w:t>
      </w:r>
      <w:r w:rsidRPr="009278EB">
        <w:rPr>
          <w:sz w:val="16"/>
        </w:rPr>
        <w:t xml:space="preserve"> employing “buy-and-build” strategies. This approach involves acquiring by </w:t>
      </w:r>
      <w:r w:rsidRPr="00DD2D90">
        <w:rPr>
          <w:rStyle w:val="StyleUnderline"/>
        </w:rPr>
        <w:t>a private equity firm</w:t>
      </w:r>
      <w:r w:rsidRPr="009278EB">
        <w:rPr>
          <w:sz w:val="16"/>
        </w:rPr>
        <w:t xml:space="preserve">, often through leveraged buyouts (LBOs), “platform” company, that is a company with substantial size to serve as a foundation for future growth. Then, this company— can </w:t>
      </w:r>
      <w:r w:rsidRPr="00DD2D90">
        <w:rPr>
          <w:rStyle w:val="StyleUnderline"/>
        </w:rPr>
        <w:t>acquire smaller entities</w:t>
      </w:r>
      <w:r w:rsidRPr="009278EB">
        <w:rPr>
          <w:sz w:val="16"/>
        </w:rPr>
        <w:t xml:space="preserve"> called "add-ons" in order to create regional or national hospital chains, </w:t>
      </w:r>
      <w:r w:rsidRPr="00DD2D90">
        <w:rPr>
          <w:rStyle w:val="StyleUnderline"/>
        </w:rPr>
        <w:t>consolidating market power and achieving economies of scale</w:t>
      </w:r>
      <w:r w:rsidRPr="009278EB">
        <w:rPr>
          <w:sz w:val="16"/>
        </w:rPr>
        <w:t xml:space="preserve"> (see Alles and Klebaner (2025) for France). Other financial strategies include dividend recapitalization, in which </w:t>
      </w:r>
      <w:r w:rsidRPr="00DD2D90">
        <w:rPr>
          <w:rStyle w:val="StyleUnderline"/>
          <w:highlight w:val="green"/>
        </w:rPr>
        <w:t>private equity</w:t>
      </w:r>
      <w:r w:rsidRPr="00DD2D90">
        <w:rPr>
          <w:rStyle w:val="StyleUnderline"/>
        </w:rPr>
        <w:t xml:space="preserve"> firms </w:t>
      </w:r>
      <w:r w:rsidRPr="00DD2D90">
        <w:rPr>
          <w:rStyle w:val="StyleUnderline"/>
          <w:highlight w:val="green"/>
        </w:rPr>
        <w:t>burden hospitals with debt to extract</w:t>
      </w:r>
      <w:r w:rsidRPr="00DD2D90">
        <w:rPr>
          <w:rStyle w:val="StyleUnderline"/>
        </w:rPr>
        <w:t xml:space="preserve"> large </w:t>
      </w:r>
      <w:r w:rsidRPr="00DD2D90">
        <w:rPr>
          <w:rStyle w:val="StyleUnderline"/>
          <w:highlight w:val="green"/>
        </w:rPr>
        <w:t>dividends</w:t>
      </w:r>
      <w:r w:rsidRPr="00DD2D90">
        <w:rPr>
          <w:rStyle w:val="StyleUnderline"/>
        </w:rPr>
        <w:t xml:space="preserve"> for themselves</w:t>
      </w:r>
      <w:r w:rsidRPr="009278EB">
        <w:rPr>
          <w:sz w:val="16"/>
        </w:rPr>
        <w:t xml:space="preserve">. Additionally, as it has been shown in the US, </w:t>
      </w:r>
      <w:r w:rsidRPr="00DD2D90">
        <w:rPr>
          <w:rStyle w:val="StyleUnderline"/>
        </w:rPr>
        <w:t xml:space="preserve">some </w:t>
      </w:r>
      <w:r w:rsidRPr="00DD2D90">
        <w:rPr>
          <w:rStyle w:val="StyleUnderline"/>
          <w:highlight w:val="green"/>
        </w:rPr>
        <w:t xml:space="preserve">firms engage in </w:t>
      </w:r>
      <w:r w:rsidRPr="00DD2D90">
        <w:rPr>
          <w:rStyle w:val="Emphasis"/>
          <w:highlight w:val="green"/>
        </w:rPr>
        <w:t>sale-leaseback</w:t>
      </w:r>
      <w:r w:rsidRPr="00DD2D90">
        <w:rPr>
          <w:rStyle w:val="StyleUnderline"/>
        </w:rPr>
        <w:t xml:space="preserve"> </w:t>
      </w:r>
      <w:r w:rsidRPr="00DD2D90">
        <w:rPr>
          <w:rStyle w:val="StyleUnderline"/>
          <w:highlight w:val="green"/>
        </w:rPr>
        <w:t>transactions</w:t>
      </w:r>
      <w:r w:rsidRPr="00DD2D90">
        <w:rPr>
          <w:rStyle w:val="StyleUnderline"/>
        </w:rPr>
        <w:t>, where hospital real estate is spun off into separate entities that charge excessive rents to the hospitals themselves</w:t>
      </w:r>
      <w:r w:rsidRPr="009278EB">
        <w:rPr>
          <w:sz w:val="16"/>
        </w:rPr>
        <w:t xml:space="preserve"> (Appelbaum and Batt 2021) </w:t>
      </w:r>
      <w:r w:rsidRPr="00DD2D90">
        <w:rPr>
          <w:rStyle w:val="StyleUnderline"/>
          <w:highlight w:val="green"/>
        </w:rPr>
        <w:t>These</w:t>
      </w:r>
      <w:r w:rsidRPr="009278EB">
        <w:rPr>
          <w:sz w:val="16"/>
        </w:rPr>
        <w:t xml:space="preserve"> financial maneuvers </w:t>
      </w:r>
      <w:r w:rsidRPr="00DD2D90">
        <w:rPr>
          <w:rStyle w:val="StyleUnderline"/>
          <w:highlight w:val="green"/>
        </w:rPr>
        <w:t>alter</w:t>
      </w:r>
      <w:r w:rsidRPr="00DD2D90">
        <w:rPr>
          <w:rStyle w:val="StyleUnderline"/>
        </w:rPr>
        <w:t xml:space="preserve"> hospital </w:t>
      </w:r>
      <w:r w:rsidRPr="00DD2D90">
        <w:rPr>
          <w:rStyle w:val="StyleUnderline"/>
          <w:highlight w:val="green"/>
        </w:rPr>
        <w:t>priorities</w:t>
      </w:r>
      <w:r w:rsidRPr="00DD2D90">
        <w:rPr>
          <w:rStyle w:val="StyleUnderline"/>
        </w:rPr>
        <w:t xml:space="preserve">, </w:t>
      </w:r>
      <w:r w:rsidRPr="00DD2D90">
        <w:rPr>
          <w:rStyle w:val="StyleUnderline"/>
          <w:highlight w:val="green"/>
        </w:rPr>
        <w:t xml:space="preserve">leading to a focus on </w:t>
      </w:r>
      <w:r w:rsidRPr="00DD2D90">
        <w:rPr>
          <w:rStyle w:val="Emphasis"/>
          <w:highlight w:val="green"/>
        </w:rPr>
        <w:t>high-margin</w:t>
      </w:r>
      <w:r w:rsidRPr="00DD2D90">
        <w:rPr>
          <w:rStyle w:val="StyleUnderline"/>
          <w:highlight w:val="green"/>
        </w:rPr>
        <w:t xml:space="preserve"> services</w:t>
      </w:r>
      <w:r w:rsidRPr="00DD2D90">
        <w:rPr>
          <w:rStyle w:val="StyleUnderline"/>
        </w:rPr>
        <w:t xml:space="preserve"> </w:t>
      </w:r>
      <w:r w:rsidRPr="009278EB">
        <w:rPr>
          <w:sz w:val="16"/>
        </w:rPr>
        <w:t xml:space="preserve">(e.g., outpatient surgery, dialysis) </w:t>
      </w:r>
      <w:r w:rsidRPr="00DD2D90">
        <w:rPr>
          <w:rStyle w:val="StyleUnderline"/>
        </w:rPr>
        <w:t xml:space="preserve">while </w:t>
      </w:r>
      <w:r w:rsidRPr="00DD2D90">
        <w:rPr>
          <w:rStyle w:val="StyleUnderline"/>
          <w:highlight w:val="green"/>
        </w:rPr>
        <w:t>eliminating less</w:t>
      </w:r>
      <w:r w:rsidRPr="009278EB">
        <w:rPr>
          <w:sz w:val="16"/>
          <w:highlight w:val="green"/>
        </w:rPr>
        <w:t xml:space="preserve"> </w:t>
      </w:r>
      <w:r w:rsidRPr="00DD2D90">
        <w:rPr>
          <w:rStyle w:val="StyleUnderline"/>
          <w:highlight w:val="green"/>
        </w:rPr>
        <w:t>profitable services</w:t>
      </w:r>
      <w:r w:rsidRPr="00DD2D90">
        <w:rPr>
          <w:rStyle w:val="StyleUnderline"/>
        </w:rPr>
        <w:t xml:space="preserve">; strategic </w:t>
      </w:r>
      <w:r w:rsidRPr="00DD2D90">
        <w:rPr>
          <w:rStyle w:val="StyleUnderline"/>
          <w:highlight w:val="green"/>
        </w:rPr>
        <w:t>staff restructuring</w:t>
      </w:r>
      <w:r w:rsidRPr="00DD2D90">
        <w:rPr>
          <w:rStyle w:val="StyleUnderline"/>
        </w:rPr>
        <w:t xml:space="preserve">, potentially </w:t>
      </w:r>
      <w:r w:rsidRPr="00DD2D90">
        <w:rPr>
          <w:rStyle w:val="StyleUnderline"/>
          <w:highlight w:val="green"/>
        </w:rPr>
        <w:t>compromising team cohesion</w:t>
      </w:r>
      <w:r w:rsidRPr="00DD2D90">
        <w:rPr>
          <w:rStyle w:val="StyleUnderline"/>
        </w:rPr>
        <w:t xml:space="preserve"> and care quality</w:t>
      </w:r>
      <w:r w:rsidRPr="009278EB">
        <w:rPr>
          <w:sz w:val="16"/>
        </w:rPr>
        <w:t xml:space="preserve"> (Offodile et al. 2021; Umney et al. 2018); </w:t>
      </w:r>
      <w:r w:rsidRPr="00DD2D90">
        <w:rPr>
          <w:rStyle w:val="StyleUnderline"/>
          <w:highlight w:val="green"/>
        </w:rPr>
        <w:t>shorter hospital stays and higher medical costs</w:t>
      </w:r>
      <w:r w:rsidRPr="00DD2D90">
        <w:rPr>
          <w:rStyle w:val="StyleUnderline"/>
        </w:rPr>
        <w:t>, contributing to</w:t>
      </w:r>
      <w:r w:rsidRPr="009278EB">
        <w:rPr>
          <w:sz w:val="16"/>
        </w:rPr>
        <w:t xml:space="preserve"> the phenomenon of </w:t>
      </w:r>
      <w:r w:rsidRPr="00DD2D90">
        <w:rPr>
          <w:rStyle w:val="StyleUnderline"/>
          <w:highlight w:val="green"/>
        </w:rPr>
        <w:t>surprise medical billing</w:t>
      </w:r>
      <w:r w:rsidRPr="009278EB">
        <w:rPr>
          <w:sz w:val="16"/>
        </w:rPr>
        <w:t xml:space="preserve"> (Appelbaum and Batt 2020; Cooper et al. 2020). From a labor perspective, </w:t>
      </w:r>
      <w:r w:rsidRPr="00DD2D90">
        <w:rPr>
          <w:rStyle w:val="StyleUnderline"/>
        </w:rPr>
        <w:t xml:space="preserve">financialization often results in </w:t>
      </w:r>
      <w:r w:rsidRPr="00DD2D90">
        <w:rPr>
          <w:rStyle w:val="StyleUnderline"/>
          <w:highlight w:val="green"/>
        </w:rPr>
        <w:t>deteriorating working</w:t>
      </w:r>
      <w:r w:rsidRPr="009278EB">
        <w:rPr>
          <w:sz w:val="16"/>
          <w:highlight w:val="green"/>
        </w:rPr>
        <w:t xml:space="preserve"> </w:t>
      </w:r>
      <w:r w:rsidRPr="00DD2D90">
        <w:rPr>
          <w:rStyle w:val="StyleUnderline"/>
          <w:highlight w:val="green"/>
        </w:rPr>
        <w:t>conditions</w:t>
      </w:r>
      <w:r w:rsidRPr="009278EB">
        <w:rPr>
          <w:sz w:val="16"/>
        </w:rPr>
        <w:t xml:space="preserve">. A striking example is the $33 billion acquisition of Hospital Corporation of America (HCA) by Bain Capital, Kohlberg Kravis Roberts (KKR), and Merrill Lynch Global. After the takeover, </w:t>
      </w:r>
      <w:r w:rsidRPr="00DD2D90">
        <w:rPr>
          <w:rStyle w:val="StyleUnderline"/>
          <w:highlight w:val="green"/>
        </w:rPr>
        <w:t>patient</w:t>
      </w:r>
      <w:r w:rsidRPr="009278EB">
        <w:rPr>
          <w:sz w:val="16"/>
          <w:highlight w:val="green"/>
        </w:rPr>
        <w:t xml:space="preserve"> </w:t>
      </w:r>
      <w:r w:rsidRPr="00DD2D90">
        <w:rPr>
          <w:rStyle w:val="StyleUnderline"/>
          <w:highlight w:val="green"/>
        </w:rPr>
        <w:t>volumes increased</w:t>
      </w:r>
      <w:r w:rsidRPr="009278EB">
        <w:rPr>
          <w:sz w:val="16"/>
        </w:rPr>
        <w:t xml:space="preserve"> (except in maternity care), </w:t>
      </w:r>
      <w:r w:rsidRPr="00DD2D90">
        <w:rPr>
          <w:rStyle w:val="StyleUnderline"/>
        </w:rPr>
        <w:t>hospital stays shortened, and surgical procedures were restructured</w:t>
      </w:r>
      <w:r w:rsidRPr="009278EB">
        <w:rPr>
          <w:sz w:val="16"/>
        </w:rPr>
        <w:t>—</w:t>
      </w:r>
      <w:r w:rsidRPr="00DD2D90">
        <w:rPr>
          <w:rStyle w:val="StyleUnderline"/>
        </w:rPr>
        <w:t>favoring complex, high-margin cases while outsourcing simpler ones</w:t>
      </w:r>
      <w:r w:rsidRPr="009278EB">
        <w:rPr>
          <w:sz w:val="16"/>
        </w:rPr>
        <w:t xml:space="preserve">. The long-term impact on patient outcomes remains uncertain, but the financial gains for investors are clear (Richard and Whaley 2024). The impact of financialization on private health insurance varies depending on the structure of public health systems. In the U.S, the health insurance industry operates under highly capitalist dynamics, in a market exceeding $1 trillion. </w:t>
      </w:r>
      <w:r w:rsidRPr="00DD2D90">
        <w:rPr>
          <w:rStyle w:val="StyleUnderline"/>
          <w:highlight w:val="green"/>
        </w:rPr>
        <w:t>Profitability is ensured</w:t>
      </w:r>
      <w:r w:rsidRPr="00DD2D90">
        <w:rPr>
          <w:rStyle w:val="StyleUnderline"/>
        </w:rPr>
        <w:t xml:space="preserve"> either </w:t>
      </w:r>
      <w:r w:rsidRPr="00DD2D90">
        <w:rPr>
          <w:rStyle w:val="StyleUnderline"/>
          <w:highlight w:val="green"/>
        </w:rPr>
        <w:t>through high premiums</w:t>
      </w:r>
      <w:r w:rsidRPr="009278EB">
        <w:rPr>
          <w:sz w:val="16"/>
        </w:rPr>
        <w:t xml:space="preserve"> (which exclude lower-income populations) </w:t>
      </w:r>
      <w:r w:rsidRPr="00DD2D90">
        <w:rPr>
          <w:rStyle w:val="StyleUnderline"/>
          <w:highlight w:val="green"/>
        </w:rPr>
        <w:t>or high-deductible plans</w:t>
      </w:r>
      <w:r w:rsidRPr="00DD2D90">
        <w:rPr>
          <w:rStyle w:val="StyleUnderline"/>
        </w:rPr>
        <w:t>, which leave insured patients financially vulnerable</w:t>
      </w:r>
      <w:r w:rsidRPr="009278EB">
        <w:rPr>
          <w:sz w:val="16"/>
        </w:rPr>
        <w:t xml:space="preserve">. In Europe, private health insurance is playing an increasingly significant role in national healthcare systems. Some countries, such as Germany, have made public insurance optional for high-income earners (Martin and Benoit 2024), while others, like France, have made private insurance mandatory for employer-sponsored plans (Franc and Pierre 2015). Although regulatory frameworks vary, private insurers consistently capitalize on healthcare spending growth and public policies that shift low-risk (frequent) care to private insurers. </w:t>
      </w:r>
      <w:r w:rsidRPr="00DD2D90">
        <w:rPr>
          <w:rStyle w:val="StyleUnderline"/>
        </w:rPr>
        <w:t xml:space="preserve">This allows </w:t>
      </w:r>
      <w:r w:rsidRPr="00DD2D90">
        <w:rPr>
          <w:rStyle w:val="StyleUnderline"/>
          <w:highlight w:val="green"/>
        </w:rPr>
        <w:t>insurers</w:t>
      </w:r>
      <w:r w:rsidRPr="00DD2D90">
        <w:rPr>
          <w:rStyle w:val="StyleUnderline"/>
        </w:rPr>
        <w:t xml:space="preserve"> to </w:t>
      </w:r>
      <w:r w:rsidRPr="00DD2D90">
        <w:rPr>
          <w:rStyle w:val="StyleUnderline"/>
          <w:highlight w:val="green"/>
        </w:rPr>
        <w:t>cherry-pick profitable</w:t>
      </w:r>
      <w:r w:rsidRPr="00DD2D90">
        <w:rPr>
          <w:rStyle w:val="StyleUnderline"/>
        </w:rPr>
        <w:t xml:space="preserve"> </w:t>
      </w:r>
      <w:r w:rsidRPr="00DD2D90">
        <w:rPr>
          <w:rStyle w:val="StyleUnderline"/>
          <w:highlight w:val="green"/>
        </w:rPr>
        <w:t>care segments, leaving expensive and high-risk cases to public systems</w:t>
      </w:r>
      <w:r w:rsidRPr="009278EB">
        <w:rPr>
          <w:sz w:val="16"/>
        </w:rPr>
        <w:t xml:space="preserve">. As a result, </w:t>
      </w:r>
      <w:r w:rsidRPr="00DD2D90">
        <w:rPr>
          <w:rStyle w:val="StyleUnderline"/>
        </w:rPr>
        <w:t>access to healthcare increasingly depends on ability to pay rather than medical need</w:t>
      </w:r>
      <w:r w:rsidRPr="009278EB">
        <w:rPr>
          <w:sz w:val="16"/>
        </w:rPr>
        <w:t xml:space="preserve">. As exemplified, the financialization of healthcare manifests differently across healthcare subsector and national contexts. However, several key characteristics emerge Characteristics of financialization in the health care sector Financialization in healthcare is not just about the presence of financial players but about the growing imperative of financial return on investment. While in other sectors </w:t>
      </w:r>
      <w:r w:rsidRPr="00DD2D90">
        <w:rPr>
          <w:rStyle w:val="StyleUnderline"/>
        </w:rPr>
        <w:t>financialization marks a shift</w:t>
      </w:r>
      <w:r w:rsidRPr="009278EB">
        <w:rPr>
          <w:sz w:val="16"/>
        </w:rPr>
        <w:t xml:space="preserve"> from industrial </w:t>
      </w:r>
      <w:r w:rsidRPr="00DD2D90">
        <w:rPr>
          <w:rStyle w:val="StyleUnderline"/>
        </w:rPr>
        <w:t>to</w:t>
      </w:r>
      <w:r w:rsidRPr="009278EB">
        <w:rPr>
          <w:sz w:val="16"/>
        </w:rPr>
        <w:t xml:space="preserve"> financial capitalism (</w:t>
      </w:r>
      <w:r w:rsidRPr="00DD2D90">
        <w:rPr>
          <w:rStyle w:val="StyleUnderline"/>
        </w:rPr>
        <w:t>rentierism</w:t>
      </w:r>
      <w:r w:rsidRPr="009278EB">
        <w:rPr>
          <w:sz w:val="16"/>
        </w:rPr>
        <w:t xml:space="preserve">), in healthcare, capitalism emerges directly in a financialized form. According to Marx, capital is a specific social relation of production, which links and opposes the owners of the means of production on one hand, and the workers on the other. Using Marx's metaphor, capital as a social relation of production presupposes the separation of the snail from its shell, i.e., the separation of the worker from their means of production (Marx 1982 [1867], p. 480). In healthcare, professionals—mostly doctors—still own their means of production, making the system more corporatist than capitalist. As a regulated profession, doctors are often the only ones allowed to own practice companies. While doctors have been able to build very rich and powerful businesses, they are more aligned with professional production (Savage and Robertson 1999) than with capital in the strict sense. Anonymous capital cannot be easily invested or valued in the healthcare sector. However, financialization has succeeded in introducing capitalist relations of production, some segments of the healthcare sector experiencing this drift earlier than others. For instance, in the pharmaceutical industry, </w:t>
      </w:r>
      <w:r w:rsidRPr="00DD2D90">
        <w:rPr>
          <w:rStyle w:val="StyleUnderline"/>
        </w:rPr>
        <w:t>pharmacists lost control of their tools of production</w:t>
      </w:r>
      <w:r w:rsidRPr="009278EB">
        <w:rPr>
          <w:sz w:val="16"/>
        </w:rPr>
        <w:t xml:space="preserve"> relatively quickly, </w:t>
      </w:r>
      <w:r w:rsidRPr="00DD2D90">
        <w:rPr>
          <w:rStyle w:val="StyleUnderline"/>
        </w:rPr>
        <w:t>facilitating the dominance of financialized firms</w:t>
      </w:r>
      <w:r w:rsidRPr="009278EB">
        <w:rPr>
          <w:sz w:val="16"/>
        </w:rPr>
        <w:t xml:space="preserve"> (Savage1994). While the forms of financialization differ across the healthcare sector (primary care, biological laboratories, for-profit hospitals, the pharmaceutical industry, or health insurance), the trajectory of financialization remains similar. </w:t>
      </w:r>
      <w:r w:rsidRPr="00DD2D90">
        <w:rPr>
          <w:rStyle w:val="StyleUnderline"/>
          <w:highlight w:val="green"/>
        </w:rPr>
        <w:t>Financial firms</w:t>
      </w:r>
      <w:r w:rsidRPr="00DD2D90">
        <w:rPr>
          <w:rStyle w:val="StyleUnderline"/>
        </w:rPr>
        <w:t xml:space="preserve"> take over healthcare organizations and demand profit extraction through dividends, stock buybacks, and executive incentives</w:t>
      </w:r>
      <w:r w:rsidRPr="009278EB">
        <w:rPr>
          <w:sz w:val="16"/>
        </w:rPr>
        <w:t xml:space="preserve"> tied to market value. </w:t>
      </w:r>
      <w:r w:rsidRPr="00DD2D90">
        <w:rPr>
          <w:rStyle w:val="StyleUnderline"/>
        </w:rPr>
        <w:t xml:space="preserve">This </w:t>
      </w:r>
      <w:r w:rsidRPr="00DD2D90">
        <w:rPr>
          <w:rStyle w:val="StyleUnderline"/>
          <w:highlight w:val="green"/>
        </w:rPr>
        <w:t>leads to</w:t>
      </w:r>
      <w:r w:rsidRPr="00DD2D90">
        <w:rPr>
          <w:rStyle w:val="StyleUnderline"/>
        </w:rPr>
        <w:t xml:space="preserve"> “</w:t>
      </w:r>
      <w:r w:rsidRPr="00DD2D90">
        <w:rPr>
          <w:rStyle w:val="Emphasis"/>
          <w:highlight w:val="green"/>
        </w:rPr>
        <w:t>predatory value extraction</w:t>
      </w:r>
      <w:r w:rsidRPr="00DD2D90">
        <w:rPr>
          <w:rStyle w:val="StyleUnderline"/>
        </w:rPr>
        <w:t xml:space="preserve">” strategies </w:t>
      </w:r>
      <w:r w:rsidRPr="009278EB">
        <w:rPr>
          <w:sz w:val="16"/>
        </w:rPr>
        <w:t xml:space="preserve">(Lazonick and Tulum 2024) such as </w:t>
      </w:r>
      <w:r w:rsidRPr="00DD2D90">
        <w:rPr>
          <w:rStyle w:val="StyleUnderline"/>
        </w:rPr>
        <w:t>selecting only profitable treatments, engaging in surprise billing, pressuring payers</w:t>
      </w:r>
      <w:r w:rsidRPr="009278EB">
        <w:rPr>
          <w:sz w:val="16"/>
        </w:rPr>
        <w:t xml:space="preserve"> (patients or public insurers), </w:t>
      </w:r>
      <w:r w:rsidRPr="00DD2D90">
        <w:rPr>
          <w:rStyle w:val="StyleUnderline"/>
        </w:rPr>
        <w:t xml:space="preserve">imposing prohibitive management costs </w:t>
      </w:r>
      <w:r w:rsidRPr="009278EB">
        <w:rPr>
          <w:sz w:val="16"/>
        </w:rPr>
        <w:t xml:space="preserve">(administrative and marketing costs) </w:t>
      </w:r>
      <w:r w:rsidRPr="00DD2D90">
        <w:rPr>
          <w:rStyle w:val="StyleUnderline"/>
        </w:rPr>
        <w:t>borne by patients or the welfare state, reframing quality in the language of profit, raising prices, and so on</w:t>
      </w:r>
      <w:r w:rsidRPr="009278EB">
        <w:rPr>
          <w:sz w:val="16"/>
        </w:rPr>
        <w:t xml:space="preserve">. </w:t>
      </w:r>
      <w:r w:rsidRPr="00DD2D90">
        <w:rPr>
          <w:rStyle w:val="StyleUnderline"/>
          <w:highlight w:val="green"/>
        </w:rPr>
        <w:t>Financialization</w:t>
      </w:r>
      <w:r w:rsidRPr="009278EB">
        <w:rPr>
          <w:sz w:val="16"/>
        </w:rPr>
        <w:t xml:space="preserve"> also </w:t>
      </w:r>
      <w:r w:rsidRPr="00DD2D90">
        <w:rPr>
          <w:rStyle w:val="StyleUnderline"/>
          <w:highlight w:val="green"/>
        </w:rPr>
        <w:t xml:space="preserve">drives </w:t>
      </w:r>
      <w:r w:rsidRPr="00DD2D90">
        <w:rPr>
          <w:rStyle w:val="StyleUnderline"/>
        </w:rPr>
        <w:t>market consolidation</w:t>
      </w:r>
      <w:r w:rsidRPr="009278EB">
        <w:rPr>
          <w:sz w:val="16"/>
        </w:rPr>
        <w:t xml:space="preserve">. Once fragmented, sectors such as </w:t>
      </w:r>
      <w:r w:rsidRPr="00DD2D90">
        <w:rPr>
          <w:rStyle w:val="StyleUnderline"/>
        </w:rPr>
        <w:t>health insurance</w:t>
      </w:r>
      <w:r w:rsidRPr="009278EB">
        <w:rPr>
          <w:sz w:val="16"/>
        </w:rPr>
        <w:t xml:space="preserve">, private </w:t>
      </w:r>
      <w:r w:rsidRPr="00DD2D90">
        <w:rPr>
          <w:rStyle w:val="StyleUnderline"/>
        </w:rPr>
        <w:t>hospitals</w:t>
      </w:r>
      <w:r w:rsidRPr="009278EB">
        <w:rPr>
          <w:sz w:val="16"/>
        </w:rPr>
        <w:t xml:space="preserve">, </w:t>
      </w:r>
      <w:r w:rsidRPr="00DD2D90">
        <w:rPr>
          <w:rStyle w:val="StyleUnderline"/>
        </w:rPr>
        <w:t>and</w:t>
      </w:r>
      <w:r w:rsidRPr="009278EB">
        <w:rPr>
          <w:sz w:val="16"/>
        </w:rPr>
        <w:t xml:space="preserve"> biological </w:t>
      </w:r>
      <w:r w:rsidRPr="00DD2D90">
        <w:rPr>
          <w:rStyle w:val="StyleUnderline"/>
        </w:rPr>
        <w:t xml:space="preserve">laboratories are </w:t>
      </w:r>
      <w:r w:rsidRPr="009278EB">
        <w:rPr>
          <w:sz w:val="16"/>
        </w:rPr>
        <w:t xml:space="preserve">now </w:t>
      </w:r>
      <w:r w:rsidRPr="00DD2D90">
        <w:rPr>
          <w:rStyle w:val="StyleUnderline"/>
        </w:rPr>
        <w:t>controlled by a few dominant financial groups</w:t>
      </w:r>
      <w:r w:rsidRPr="009278EB">
        <w:rPr>
          <w:sz w:val="16"/>
        </w:rPr>
        <w:t xml:space="preserve"> (Alles 2024, Alles and Klebaner 2025, Leymarie 2024, 2025). In just a few years, </w:t>
      </w:r>
      <w:r w:rsidRPr="00DD2D90">
        <w:rPr>
          <w:rStyle w:val="StyleUnderline"/>
        </w:rPr>
        <w:t>a diverse market</w:t>
      </w:r>
      <w:r w:rsidRPr="009278EB">
        <w:rPr>
          <w:sz w:val="16"/>
        </w:rPr>
        <w:t xml:space="preserve"> with multiple providers has </w:t>
      </w:r>
      <w:r w:rsidRPr="00DD2D90">
        <w:rPr>
          <w:rStyle w:val="StyleUnderline"/>
        </w:rPr>
        <w:t>turned into</w:t>
      </w:r>
      <w:r w:rsidRPr="009278EB">
        <w:rPr>
          <w:sz w:val="16"/>
        </w:rPr>
        <w:t xml:space="preserve"> a concentrated </w:t>
      </w:r>
      <w:r w:rsidRPr="00DD2D90">
        <w:rPr>
          <w:rStyle w:val="Emphasis"/>
          <w:highlight w:val="green"/>
        </w:rPr>
        <w:t>oligopoly</w:t>
      </w:r>
      <w:r w:rsidRPr="009278EB">
        <w:rPr>
          <w:sz w:val="16"/>
        </w:rPr>
        <w:t xml:space="preserve">, </w:t>
      </w:r>
      <w:r w:rsidRPr="00DD2D90">
        <w:rPr>
          <w:rStyle w:val="StyleUnderline"/>
          <w:highlight w:val="green"/>
        </w:rPr>
        <w:t>reducing competition and driving up prices</w:t>
      </w:r>
      <w:r w:rsidRPr="009278EB">
        <w:rPr>
          <w:sz w:val="16"/>
        </w:rPr>
        <w:t xml:space="preserve"> (Stelzner and Nam 2020). Unlike other industries, where financialization followed the rise of large corporations, in healthcare, financialization has actively created them. For example, </w:t>
      </w:r>
      <w:r w:rsidRPr="00DD2D90">
        <w:rPr>
          <w:rStyle w:val="StyleUnderline"/>
        </w:rPr>
        <w:t>hospital chains and laboratory networks have grown through mergers and acquisitions</w:t>
      </w:r>
      <w:r w:rsidRPr="009278EB">
        <w:rPr>
          <w:sz w:val="16"/>
        </w:rPr>
        <w:t xml:space="preserve">, seeking economies of scale and cost reductions, particularly for technological and infrastructure investments. </w:t>
      </w:r>
      <w:r w:rsidRPr="00DD2D90">
        <w:rPr>
          <w:rStyle w:val="StyleUnderline"/>
        </w:rPr>
        <w:t>These</w:t>
      </w:r>
      <w:r w:rsidRPr="009278EB">
        <w:rPr>
          <w:sz w:val="16"/>
        </w:rPr>
        <w:t xml:space="preserve"> consolidations primarily </w:t>
      </w:r>
      <w:r w:rsidRPr="00DD2D90">
        <w:rPr>
          <w:rStyle w:val="StyleUnderline"/>
        </w:rPr>
        <w:t>serve shareholders</w:t>
      </w:r>
      <w:r w:rsidRPr="009278EB">
        <w:rPr>
          <w:sz w:val="16"/>
        </w:rPr>
        <w:t xml:space="preserve">, as financial groups merge with others to form massive investment funds. Governments have played a decisive role in enabling financialization. While healthcare is highly regulated, legislation has facilitated or even encouraged the entry of investment funds. In France, the structure of private practice3 allows doctors to sell their clinics or laboratories (biology, radiology, etc.) to investors to modernize equipment. In contrast, in the UK, NHSemployed doctors cannot sell their practices. Legislative frameworks such as the Murcef Act (2001) in France have allowed non-physicians to own and control medical offices, paving the way for financial investors. In the UK the Private Finance Initiative (PFI) has played a pioneering role in the financialization of the public sector in the 1990s. Introduced by the Major government, it was entrenched and extended by the Blair government in 1997 (Lapsley 2008, Pollock et al 2011). The basic principle underpinning PFI is that a state body, such as a healthcare authority is compelled to contract with private sector firms, on occasion a consortium, to undertake new capital investments. Buildings are owned and operated by the private firms and effectively leased to the NHS typically for periods of around three decades. Studies have found that this initiative raised costs and reduced capacity and quality of service (Lapsley 2008, Pollock et al 2011). PFI was gradually abandoned as a source of new investment, but its cost-raising legacy remains. Other manifestations of financialization include the introduction of Diagnosis-Related Groups (DRGs) in hospital billing—first in the USA for Medicaid, then in Germany (2003) and France (2004). This system links hospital revenue to coded diagnoses, pushing hospitals to focus on the most profitable procedures and to discharge patients earlier. This practice is particularly harmful to vulnerable groups, such as elderly patients transferred prematurely to nursing homes. Health insurance has also undergone financialization, driven by European solvency rules, such as Solvency I (2002) and Solvency II (2009) (Benoît 2023). These regulations, aimed at strengthening financial reserves, have led private insurers to seek external funding, often turning to financial groups. As a result, the European private health insurance market has undergone a massive wave of mergers and acquisitions, with smaller entities being overtaken as insurers form alliances, sometimes with banks. The financialization of the insurance industry has shifted power from policyholders to shareholders (François 2021). One consequence of this is the decline of mutual funds in France and Belgium (Batifoulier and Del Sol 2024). Governments frequent endorsement and promotion of financialization is largely due to a misplaced attempt to address cost pressures, such as the UK’s PFI, which raised costs. Financialization is also subject to a ratchet effect, where the positions held by investment funds become so entrenched that reversing them becomes difficult. </w:t>
      </w:r>
      <w:r w:rsidRPr="00DD2D90">
        <w:rPr>
          <w:rStyle w:val="StyleUnderline"/>
        </w:rPr>
        <w:t>Governments</w:t>
      </w:r>
      <w:r w:rsidRPr="009278EB">
        <w:rPr>
          <w:sz w:val="16"/>
        </w:rPr>
        <w:t xml:space="preserve"> </w:t>
      </w:r>
      <w:r w:rsidRPr="00DD2D90">
        <w:rPr>
          <w:rStyle w:val="StyleUnderline"/>
        </w:rPr>
        <w:t>are</w:t>
      </w:r>
      <w:r w:rsidRPr="009278EB">
        <w:rPr>
          <w:sz w:val="16"/>
        </w:rPr>
        <w:t xml:space="preserve"> increasingly </w:t>
      </w:r>
      <w:r w:rsidRPr="00DD2D90">
        <w:rPr>
          <w:rStyle w:val="StyleUnderline"/>
        </w:rPr>
        <w:t>aware of the damage caused by financialization in</w:t>
      </w:r>
      <w:r w:rsidRPr="009278EB">
        <w:rPr>
          <w:sz w:val="16"/>
        </w:rPr>
        <w:t xml:space="preserve"> </w:t>
      </w:r>
      <w:r w:rsidRPr="00DD2D90">
        <w:rPr>
          <w:rStyle w:val="StyleUnderline"/>
        </w:rPr>
        <w:t>healthcare</w:t>
      </w:r>
      <w:r w:rsidRPr="009278EB">
        <w:rPr>
          <w:sz w:val="16"/>
        </w:rPr>
        <w:t xml:space="preserve"> (see for example, the launch of a fact-finding mission on financialization by the French Senate (Sénat 2024)) but reactions are still timid and they face off against expert legal players. Indeed, the legal expertise of investment funds enable them to implement highly complex arrangements. Consulting firms also contribute to the ineffectiveness of governments by advising clients on how to circumvent antifinancialization laws. On one hand, they recommend relaxing legislation to attract investors, and on the other, they help investment funds devise strategies to maximize shareholder value within the existing legal framework. The </w:t>
      </w:r>
      <w:r w:rsidRPr="00DD2D90">
        <w:rPr>
          <w:rStyle w:val="StyleUnderline"/>
        </w:rPr>
        <w:t xml:space="preserve">power gained by </w:t>
      </w:r>
      <w:r w:rsidRPr="00DD2D90">
        <w:rPr>
          <w:rStyle w:val="StyleUnderline"/>
          <w:highlight w:val="green"/>
        </w:rPr>
        <w:t>private equity</w:t>
      </w:r>
      <w:r w:rsidRPr="009278EB">
        <w:rPr>
          <w:sz w:val="16"/>
        </w:rPr>
        <w:t xml:space="preserve"> firms due to industry concentration </w:t>
      </w:r>
      <w:r w:rsidRPr="00DD2D90">
        <w:rPr>
          <w:rStyle w:val="StyleUnderline"/>
          <w:highlight w:val="green"/>
        </w:rPr>
        <w:t xml:space="preserve">gives them </w:t>
      </w:r>
      <w:r w:rsidRPr="00DD2D90">
        <w:rPr>
          <w:rStyle w:val="Emphasis"/>
          <w:highlight w:val="green"/>
        </w:rPr>
        <w:t>unprecedented</w:t>
      </w:r>
      <w:r w:rsidRPr="00DD2D90">
        <w:rPr>
          <w:rStyle w:val="StyleUnderline"/>
          <w:highlight w:val="green"/>
        </w:rPr>
        <w:t xml:space="preserve"> negotiating power</w:t>
      </w:r>
      <w:r w:rsidRPr="00DD2D90">
        <w:rPr>
          <w:rStyle w:val="StyleUnderline"/>
        </w:rPr>
        <w:t xml:space="preserve"> with public authorities</w:t>
      </w:r>
      <w:r w:rsidRPr="009278EB">
        <w:rPr>
          <w:sz w:val="16"/>
        </w:rPr>
        <w:t xml:space="preserve">. </w:t>
      </w:r>
      <w:r w:rsidRPr="00DD2D90">
        <w:rPr>
          <w:rStyle w:val="StyleUnderline"/>
          <w:highlight w:val="green"/>
        </w:rPr>
        <w:t>They</w:t>
      </w:r>
      <w:r w:rsidRPr="009278EB">
        <w:rPr>
          <w:sz w:val="16"/>
        </w:rPr>
        <w:t xml:space="preserve"> can force governments to meet their demands by </w:t>
      </w:r>
      <w:r w:rsidRPr="00DD2D90">
        <w:rPr>
          <w:rStyle w:val="StyleUnderline"/>
          <w:highlight w:val="green"/>
        </w:rPr>
        <w:t>threaten</w:t>
      </w:r>
      <w:r w:rsidRPr="009278EB">
        <w:rPr>
          <w:sz w:val="16"/>
        </w:rPr>
        <w:t xml:space="preserve">ing </w:t>
      </w:r>
      <w:r w:rsidRPr="00DD2D90">
        <w:rPr>
          <w:rStyle w:val="StyleUnderline"/>
          <w:highlight w:val="green"/>
        </w:rPr>
        <w:t>drug shortages</w:t>
      </w:r>
      <w:r w:rsidRPr="00DD2D90">
        <w:rPr>
          <w:rStyle w:val="StyleUnderline"/>
        </w:rPr>
        <w:t xml:space="preserve"> or pushing for the rapid marketization of essential medicines, </w:t>
      </w:r>
      <w:r w:rsidRPr="00DD2D90">
        <w:rPr>
          <w:rStyle w:val="StyleUnderline"/>
          <w:highlight w:val="green"/>
        </w:rPr>
        <w:t>bypass</w:t>
      </w:r>
      <w:r w:rsidRPr="00DD2D90">
        <w:rPr>
          <w:rStyle w:val="StyleUnderline"/>
        </w:rPr>
        <w:t xml:space="preserve">ing </w:t>
      </w:r>
      <w:r w:rsidRPr="00DD2D90">
        <w:rPr>
          <w:rStyle w:val="StyleUnderline"/>
          <w:highlight w:val="green"/>
        </w:rPr>
        <w:t>administrative processes</w:t>
      </w:r>
      <w:r w:rsidRPr="009278EB">
        <w:rPr>
          <w:sz w:val="16"/>
        </w:rPr>
        <w:t xml:space="preserve"> (Hernandez et al.2024, Guennif 2025). </w:t>
      </w:r>
      <w:r w:rsidRPr="00DD2D90">
        <w:rPr>
          <w:rStyle w:val="StyleUnderline"/>
        </w:rPr>
        <w:t>They</w:t>
      </w:r>
      <w:r w:rsidRPr="009278EB">
        <w:rPr>
          <w:sz w:val="16"/>
        </w:rPr>
        <w:t xml:space="preserve"> can </w:t>
      </w:r>
      <w:r w:rsidRPr="00DD2D90">
        <w:rPr>
          <w:rStyle w:val="StyleUnderline"/>
          <w:highlight w:val="green"/>
        </w:rPr>
        <w:t>shut down</w:t>
      </w:r>
      <w:r w:rsidRPr="00DD2D90">
        <w:rPr>
          <w:rStyle w:val="StyleUnderline"/>
        </w:rPr>
        <w:t xml:space="preserve"> medical </w:t>
      </w:r>
      <w:r w:rsidRPr="00DD2D90">
        <w:rPr>
          <w:rStyle w:val="StyleUnderline"/>
          <w:highlight w:val="green"/>
        </w:rPr>
        <w:t>laboratories and</w:t>
      </w:r>
      <w:r w:rsidRPr="00DD2D90">
        <w:rPr>
          <w:rStyle w:val="StyleUnderline"/>
        </w:rPr>
        <w:t xml:space="preserve"> </w:t>
      </w:r>
      <w:r w:rsidRPr="00DD2D90">
        <w:rPr>
          <w:rStyle w:val="StyleUnderline"/>
          <w:highlight w:val="green"/>
        </w:rPr>
        <w:t>threaten</w:t>
      </w:r>
      <w:r w:rsidRPr="00DD2D90">
        <w:rPr>
          <w:rStyle w:val="StyleUnderline"/>
        </w:rPr>
        <w:t xml:space="preserve"> strikes </w:t>
      </w:r>
      <w:r w:rsidRPr="00DD2D90">
        <w:rPr>
          <w:rStyle w:val="StyleUnderline"/>
          <w:highlight w:val="green"/>
        </w:rPr>
        <w:t>to increase fees</w:t>
      </w:r>
      <w:r w:rsidRPr="009278EB">
        <w:rPr>
          <w:sz w:val="16"/>
        </w:rPr>
        <w:t xml:space="preserve">, as occurred in France in September and December 2024. Healthcare capitalism exemplifies how public policy supports and subsidizes private players while being unable to regulate them effectively. 4.One Ring to Rule Them All: Health Capitalism </w:t>
      </w:r>
    </w:p>
    <w:p w14:paraId="0F799297" w14:textId="77777777" w:rsidR="00EA6776" w:rsidRPr="009278EB" w:rsidRDefault="00EA6776">
      <w:pPr>
        <w:rPr>
          <w:rFonts w:eastAsiaTheme="majorEastAsia" w:cstheme="majorBidi"/>
          <w:b/>
          <w:iCs/>
          <w:sz w:val="16"/>
        </w:rPr>
      </w:pPr>
      <w:r w:rsidRPr="009278EB">
        <w:rPr>
          <w:sz w:val="16"/>
        </w:rPr>
        <w:br w:type="page"/>
      </w:r>
    </w:p>
    <w:p w14:paraId="340A2E8F" w14:textId="73DD6506" w:rsidR="00EB171F" w:rsidRPr="009278EB" w:rsidRDefault="002B1D3F" w:rsidP="00EB171F">
      <w:pPr>
        <w:pStyle w:val="Heading4"/>
        <w:rPr>
          <w:szCs w:val="26"/>
        </w:rPr>
      </w:pPr>
      <w:r w:rsidRPr="009278EB">
        <w:rPr>
          <w:szCs w:val="26"/>
        </w:rPr>
        <w:t>Commodity focus undermines the public good of healthcare pandemic preparedness</w:t>
      </w:r>
    </w:p>
    <w:p w14:paraId="05A8FACC" w14:textId="7399F940" w:rsidR="00EB171F" w:rsidRPr="00DD2D90" w:rsidRDefault="00EC046E" w:rsidP="00EB171F">
      <w:r w:rsidRPr="009278EB">
        <w:rPr>
          <w:b/>
          <w:bCs/>
          <w:sz w:val="26"/>
          <w:szCs w:val="26"/>
        </w:rPr>
        <w:t>Uretsky 21</w:t>
      </w:r>
      <w:r w:rsidRPr="00DD2D90">
        <w:t xml:space="preserve"> [</w:t>
      </w:r>
      <w:r w:rsidR="00EB171F" w:rsidRPr="00DD2D90">
        <w:t xml:space="preserve">Elanah Uretsky, </w:t>
      </w:r>
      <w:r w:rsidRPr="00DD2D90">
        <w:t xml:space="preserve">Assistant Professor at Brandeis University, </w:t>
      </w:r>
      <w:r w:rsidR="00EB171F" w:rsidRPr="00DD2D90">
        <w:t>11-5-2021, "The US was not prepared for a pandemic – free market capitalism and government deregulation may be to blame", Conversation, https://theconversation.com/the-us-was-not-prepared-for-a-pandemic-free-market-capitalism-and-government-deregulation-may-be-to-blame-165295]/Kankee</w:t>
      </w:r>
    </w:p>
    <w:p w14:paraId="3EAA053A" w14:textId="77777777" w:rsidR="00EB171F" w:rsidRPr="009278EB" w:rsidRDefault="00EB171F" w:rsidP="00EB171F">
      <w:pPr>
        <w:rPr>
          <w:sz w:val="16"/>
        </w:rPr>
      </w:pPr>
      <w:r w:rsidRPr="009278EB">
        <w:rPr>
          <w:sz w:val="16"/>
        </w:rPr>
        <w:t xml:space="preserve">It’s unclear when the pandemic will come to an end. What may be an even more important question is whether the U.S. will be prepared for the next one. The past year and a half suggests that the answer may be no. As a medical anthropologist who has spent the past 20 years studying how the Chinese government reacts to infectious disease, my research can provide insight into how countries, including the U.S., can better prepare for disease outbreaks. Researchers agree that </w:t>
      </w:r>
      <w:r w:rsidRPr="00DD2D90">
        <w:rPr>
          <w:rStyle w:val="StyleUnderline"/>
        </w:rPr>
        <w:t xml:space="preserve">a good response starts with a strong </w:t>
      </w:r>
      <w:r w:rsidRPr="00DD2D90">
        <w:rPr>
          <w:rStyle w:val="StyleUnderline"/>
          <w:highlight w:val="green"/>
        </w:rPr>
        <w:t>public health</w:t>
      </w:r>
      <w:r w:rsidRPr="00DD2D90">
        <w:rPr>
          <w:rStyle w:val="StyleUnderline"/>
        </w:rPr>
        <w:t xml:space="preserve"> system</w:t>
      </w:r>
      <w:r w:rsidRPr="009278EB">
        <w:rPr>
          <w:sz w:val="16"/>
        </w:rPr>
        <w:t xml:space="preserve">. But </w:t>
      </w:r>
      <w:r w:rsidRPr="00DD2D90">
        <w:rPr>
          <w:rStyle w:val="StyleUnderline"/>
        </w:rPr>
        <w:t xml:space="preserve">this </w:t>
      </w:r>
      <w:r w:rsidRPr="009278EB">
        <w:rPr>
          <w:sz w:val="16"/>
        </w:rPr>
        <w:t xml:space="preserve">is something that </w:t>
      </w:r>
      <w:r w:rsidRPr="00DD2D90">
        <w:rPr>
          <w:rStyle w:val="StyleUnderline"/>
          <w:highlight w:val="green"/>
        </w:rPr>
        <w:t>has been</w:t>
      </w:r>
      <w:r w:rsidRPr="009278EB">
        <w:rPr>
          <w:sz w:val="16"/>
          <w:highlight w:val="green"/>
        </w:rPr>
        <w:t xml:space="preserve"> </w:t>
      </w:r>
      <w:r w:rsidRPr="00DD2D90">
        <w:rPr>
          <w:rStyle w:val="StyleUnderline"/>
          <w:highlight w:val="green"/>
        </w:rPr>
        <w:t>sidelined by</w:t>
      </w:r>
      <w:r w:rsidRPr="00DD2D90">
        <w:rPr>
          <w:rStyle w:val="StyleUnderline"/>
        </w:rPr>
        <w:t xml:space="preserve"> the United States’</w:t>
      </w:r>
      <w:r w:rsidRPr="009278EB">
        <w:rPr>
          <w:sz w:val="16"/>
        </w:rPr>
        <w:t xml:space="preserve"> </w:t>
      </w:r>
      <w:r w:rsidRPr="00DD2D90">
        <w:rPr>
          <w:rStyle w:val="StyleUnderline"/>
        </w:rPr>
        <w:t>neoliberal system</w:t>
      </w:r>
      <w:r w:rsidRPr="009278EB">
        <w:rPr>
          <w:sz w:val="16"/>
        </w:rPr>
        <w:t xml:space="preserve">, which places more value on free markets and deregulation than public welfare. </w:t>
      </w:r>
      <w:r w:rsidRPr="00DD2D90">
        <w:rPr>
          <w:rStyle w:val="StyleUnderline"/>
        </w:rPr>
        <w:t xml:space="preserve">As US </w:t>
      </w:r>
      <w:r w:rsidRPr="00DD2D90">
        <w:rPr>
          <w:rStyle w:val="StyleUnderline"/>
          <w:highlight w:val="green"/>
        </w:rPr>
        <w:t>neoliberalism</w:t>
      </w:r>
      <w:r w:rsidRPr="00DD2D90">
        <w:rPr>
          <w:rStyle w:val="StyleUnderline"/>
        </w:rPr>
        <w:t xml:space="preserve"> evolved, public health </w:t>
      </w:r>
      <w:r w:rsidRPr="00DD2D90">
        <w:rPr>
          <w:rStyle w:val="Emphasis"/>
        </w:rPr>
        <w:t>devolved</w:t>
      </w:r>
      <w:r w:rsidRPr="009278EB">
        <w:rPr>
          <w:sz w:val="16"/>
        </w:rPr>
        <w:t xml:space="preserve"> Neoliberal economic policies became popular in the 1980s during the Reagan and Thatcher eras. This new approach aimed to make government leaner and more efficient through measures like market deregulation, privatization and reduction of government provision of public services like health and education – resources that do not necessarily lend themselves to market production. While neoliberal governments still work to promote the health, welfare and security of their citizens, they place the responsibility of providing those services in the hands of private entities like health insurance companies and nongovernmental organizations. This gives the government space to focus on economic performance. But </w:t>
      </w:r>
      <w:r w:rsidRPr="00DD2D90">
        <w:rPr>
          <w:rStyle w:val="StyleUnderline"/>
          <w:highlight w:val="green"/>
        </w:rPr>
        <w:t xml:space="preserve">placing responsibility for a </w:t>
      </w:r>
      <w:r w:rsidRPr="00DD2D90">
        <w:rPr>
          <w:rStyle w:val="Emphasis"/>
          <w:highlight w:val="green"/>
        </w:rPr>
        <w:t>public</w:t>
      </w:r>
      <w:r w:rsidRPr="00DD2D90">
        <w:rPr>
          <w:rStyle w:val="StyleUnderline"/>
        </w:rPr>
        <w:t xml:space="preserve"> </w:t>
      </w:r>
      <w:r w:rsidRPr="00DD2D90">
        <w:rPr>
          <w:rStyle w:val="Emphasis"/>
          <w:highlight w:val="green"/>
        </w:rPr>
        <w:t>good</w:t>
      </w:r>
      <w:r w:rsidRPr="00DD2D90">
        <w:rPr>
          <w:rStyle w:val="StyleUnderline"/>
        </w:rPr>
        <w:t xml:space="preserve"> </w:t>
      </w:r>
      <w:r w:rsidRPr="00DD2D90">
        <w:rPr>
          <w:rStyle w:val="StyleUnderline"/>
          <w:highlight w:val="green"/>
        </w:rPr>
        <w:t>in</w:t>
      </w:r>
      <w:r w:rsidRPr="00DD2D90">
        <w:rPr>
          <w:rStyle w:val="StyleUnderline"/>
        </w:rPr>
        <w:t xml:space="preserve">to </w:t>
      </w:r>
      <w:r w:rsidRPr="00DD2D90">
        <w:rPr>
          <w:rStyle w:val="StyleUnderline"/>
          <w:highlight w:val="green"/>
        </w:rPr>
        <w:t>the hands of a</w:t>
      </w:r>
      <w:r w:rsidRPr="00DD2D90">
        <w:rPr>
          <w:rStyle w:val="StyleUnderline"/>
        </w:rPr>
        <w:t xml:space="preserve"> private </w:t>
      </w:r>
      <w:r w:rsidRPr="00DD2D90">
        <w:rPr>
          <w:rStyle w:val="StyleUnderline"/>
          <w:highlight w:val="green"/>
        </w:rPr>
        <w:t>corporation turns that good into a</w:t>
      </w:r>
      <w:r w:rsidRPr="00DD2D90">
        <w:rPr>
          <w:rStyle w:val="StyleUnderline"/>
        </w:rPr>
        <w:t xml:space="preserve"> </w:t>
      </w:r>
      <w:r w:rsidRPr="00DD2D90">
        <w:rPr>
          <w:rStyle w:val="Emphasis"/>
          <w:highlight w:val="green"/>
        </w:rPr>
        <w:t>commodity</w:t>
      </w:r>
      <w:r w:rsidRPr="009278EB">
        <w:rPr>
          <w:sz w:val="16"/>
        </w:rPr>
        <w:t xml:space="preserve"> that people need to buy, rather than a service publicly available to all. </w:t>
      </w:r>
      <w:r w:rsidRPr="00DD2D90">
        <w:rPr>
          <w:rStyle w:val="StyleUnderline"/>
        </w:rPr>
        <w:t>Spending on health</w:t>
      </w:r>
      <w:r w:rsidRPr="009278EB">
        <w:rPr>
          <w:sz w:val="16"/>
        </w:rPr>
        <w:t xml:space="preserve"> </w:t>
      </w:r>
      <w:r w:rsidRPr="00DD2D90">
        <w:rPr>
          <w:rStyle w:val="StyleUnderline"/>
        </w:rPr>
        <w:t>care</w:t>
      </w:r>
      <w:r w:rsidRPr="009278EB">
        <w:rPr>
          <w:sz w:val="16"/>
        </w:rPr>
        <w:t xml:space="preserve"> in the U.S., including on hospitals, medications and private insurance, has </w:t>
      </w:r>
      <w:r w:rsidRPr="00DD2D90">
        <w:rPr>
          <w:rStyle w:val="Emphasis"/>
        </w:rPr>
        <w:t>more than tripled</w:t>
      </w:r>
      <w:r w:rsidRPr="009278EB">
        <w:rPr>
          <w:sz w:val="16"/>
        </w:rPr>
        <w:t xml:space="preserve"> in the past 60 years. </w:t>
      </w:r>
      <w:r w:rsidRPr="00DD2D90">
        <w:rPr>
          <w:rStyle w:val="StyleUnderline"/>
        </w:rPr>
        <w:t>But</w:t>
      </w:r>
      <w:r w:rsidRPr="009278EB">
        <w:rPr>
          <w:sz w:val="16"/>
        </w:rPr>
        <w:t xml:space="preserve"> the </w:t>
      </w:r>
      <w:r w:rsidRPr="00DD2D90">
        <w:rPr>
          <w:rStyle w:val="StyleUnderline"/>
        </w:rPr>
        <w:t xml:space="preserve">public health </w:t>
      </w:r>
      <w:r w:rsidRPr="009278EB">
        <w:rPr>
          <w:sz w:val="16"/>
        </w:rPr>
        <w:t xml:space="preserve">system </w:t>
      </w:r>
      <w:r w:rsidRPr="00DD2D90">
        <w:rPr>
          <w:rStyle w:val="StyleUnderline"/>
        </w:rPr>
        <w:t>that helps the nation prepare for the unexpected has been neglected</w:t>
      </w:r>
      <w:r w:rsidRPr="009278EB">
        <w:rPr>
          <w:sz w:val="16"/>
        </w:rPr>
        <w:t xml:space="preserve">. </w:t>
      </w:r>
      <w:r w:rsidRPr="00DD2D90">
        <w:rPr>
          <w:rStyle w:val="StyleUnderline"/>
        </w:rPr>
        <w:t>U.S. spending on the local health departments that help to avert epidemic outbreaks and protect the health of populations fell by 18%</w:t>
      </w:r>
      <w:r w:rsidRPr="009278EB">
        <w:rPr>
          <w:sz w:val="16"/>
        </w:rPr>
        <w:t xml:space="preserve"> between 2010 and 2021. Two and a half cents of every medical dollar goes toward public health, a figure that has fallen from 1930 levels of 3.3 cents of every dollar. This has allowed the U.S. to manage health risks like chronic diseases that threaten individual’s health. But </w:t>
      </w:r>
      <w:r w:rsidRPr="00DD2D90">
        <w:rPr>
          <w:rStyle w:val="StyleUnderline"/>
          <w:highlight w:val="green"/>
        </w:rPr>
        <w:t>it leaves the nation</w:t>
      </w:r>
      <w:r w:rsidRPr="009278EB">
        <w:rPr>
          <w:sz w:val="16"/>
          <w:highlight w:val="green"/>
        </w:rPr>
        <w:t xml:space="preserve"> </w:t>
      </w:r>
      <w:r w:rsidRPr="00DD2D90">
        <w:rPr>
          <w:rStyle w:val="Emphasis"/>
          <w:highlight w:val="green"/>
        </w:rPr>
        <w:t>inadequately</w:t>
      </w:r>
      <w:r w:rsidRPr="009278EB">
        <w:rPr>
          <w:sz w:val="16"/>
          <w:highlight w:val="green"/>
        </w:rPr>
        <w:t xml:space="preserve"> </w:t>
      </w:r>
      <w:r w:rsidRPr="00DD2D90">
        <w:rPr>
          <w:rStyle w:val="StyleUnderline"/>
          <w:highlight w:val="green"/>
        </w:rPr>
        <w:t>prepared for</w:t>
      </w:r>
      <w:r w:rsidRPr="00DD2D90">
        <w:rPr>
          <w:rStyle w:val="StyleUnderline"/>
        </w:rPr>
        <w:t xml:space="preserve"> </w:t>
      </w:r>
      <w:r w:rsidRPr="00DD2D90">
        <w:rPr>
          <w:rStyle w:val="StyleUnderline"/>
          <w:highlight w:val="green"/>
        </w:rPr>
        <w:t>population-level</w:t>
      </w:r>
      <w:r w:rsidRPr="00DD2D90">
        <w:rPr>
          <w:rStyle w:val="StyleUnderline"/>
        </w:rPr>
        <w:t xml:space="preserve"> major health </w:t>
      </w:r>
      <w:r w:rsidRPr="00DD2D90">
        <w:rPr>
          <w:rStyle w:val="StyleUnderline"/>
          <w:highlight w:val="green"/>
        </w:rPr>
        <w:t>threats</w:t>
      </w:r>
      <w:r w:rsidRPr="009278EB">
        <w:rPr>
          <w:sz w:val="16"/>
        </w:rPr>
        <w:t xml:space="preserve"> that have a much bigger effect on the economy and society. </w:t>
      </w:r>
      <w:r w:rsidRPr="00DD2D90">
        <w:rPr>
          <w:rStyle w:val="StyleUnderline"/>
          <w:highlight w:val="green"/>
        </w:rPr>
        <w:t xml:space="preserve">Public health cuts left the U.S with a </w:t>
      </w:r>
      <w:r w:rsidRPr="00DD2D90">
        <w:rPr>
          <w:rStyle w:val="Emphasis"/>
          <w:highlight w:val="green"/>
        </w:rPr>
        <w:t>skeletal workforce</w:t>
      </w:r>
      <w:r w:rsidRPr="009278EB">
        <w:rPr>
          <w:sz w:val="16"/>
          <w:highlight w:val="green"/>
        </w:rPr>
        <w:t xml:space="preserve"> </w:t>
      </w:r>
      <w:r w:rsidRPr="00DD2D90">
        <w:rPr>
          <w:rStyle w:val="StyleUnderline"/>
          <w:highlight w:val="green"/>
        </w:rPr>
        <w:t>to manage the pandemic</w:t>
      </w:r>
      <w:r w:rsidRPr="009278EB">
        <w:rPr>
          <w:sz w:val="16"/>
        </w:rPr>
        <w:t xml:space="preserve">. Because of this, </w:t>
      </w:r>
      <w:r w:rsidRPr="00DD2D90">
        <w:rPr>
          <w:rStyle w:val="StyleUnderline"/>
        </w:rPr>
        <w:t>responsibility fell to individuals</w:t>
      </w:r>
      <w:r w:rsidRPr="009278EB">
        <w:rPr>
          <w:sz w:val="16"/>
        </w:rPr>
        <w:t xml:space="preserve">. For example, without mandatory workplace COVID-19 safety guidelines, </w:t>
      </w:r>
      <w:r w:rsidRPr="00DD2D90">
        <w:rPr>
          <w:rStyle w:val="StyleUnderline"/>
        </w:rPr>
        <w:t>essential workers</w:t>
      </w:r>
      <w:r w:rsidRPr="009278EB">
        <w:rPr>
          <w:sz w:val="16"/>
        </w:rPr>
        <w:t xml:space="preserve"> </w:t>
      </w:r>
      <w:r w:rsidRPr="00DD2D90">
        <w:rPr>
          <w:rStyle w:val="StyleUnderline"/>
        </w:rPr>
        <w:t xml:space="preserve">faced </w:t>
      </w:r>
      <w:r w:rsidRPr="00DD2D90">
        <w:rPr>
          <w:rStyle w:val="Emphasis"/>
        </w:rPr>
        <w:t>daily exposure</w:t>
      </w:r>
      <w:r w:rsidRPr="009278EB">
        <w:rPr>
          <w:sz w:val="16"/>
        </w:rPr>
        <w:t xml:space="preserve"> to the coronavirus </w:t>
      </w:r>
      <w:r w:rsidRPr="00DD2D90">
        <w:rPr>
          <w:rStyle w:val="StyleUnderline"/>
        </w:rPr>
        <w:t>with insufficient</w:t>
      </w:r>
      <w:r w:rsidRPr="009278EB">
        <w:rPr>
          <w:sz w:val="16"/>
        </w:rPr>
        <w:t xml:space="preserve"> to no </w:t>
      </w:r>
      <w:r w:rsidRPr="00DD2D90">
        <w:rPr>
          <w:rStyle w:val="StyleUnderline"/>
        </w:rPr>
        <w:t>protective gear and sanitizing supplies</w:t>
      </w:r>
      <w:r w:rsidRPr="009278EB">
        <w:rPr>
          <w:sz w:val="16"/>
        </w:rPr>
        <w:t xml:space="preserve">. </w:t>
      </w:r>
      <w:r w:rsidRPr="00DD2D90">
        <w:rPr>
          <w:rStyle w:val="StyleUnderline"/>
        </w:rPr>
        <w:t>They had to protect both their own health</w:t>
      </w:r>
      <w:r w:rsidRPr="009278EB">
        <w:rPr>
          <w:sz w:val="16"/>
        </w:rPr>
        <w:t xml:space="preserve"> and the health of their families when they returned home, a difficult task </w:t>
      </w:r>
      <w:r w:rsidRPr="00DD2D90">
        <w:rPr>
          <w:rStyle w:val="StyleUnderline"/>
        </w:rPr>
        <w:t>without proper resources and support</w:t>
      </w:r>
      <w:r w:rsidRPr="009278EB">
        <w:rPr>
          <w:sz w:val="16"/>
        </w:rPr>
        <w:t xml:space="preserve">. And this was not unique to the U.S. There were similar COVID-19 outcomes in other neoliberal countries like the U.K. and India that had shifted priorities away from public health. How Asian nations learned their lessons The story was different in many Asian nations where people enjoy the same types of individual liberties as those who live in neoliberal societies. The difference is a collectivist type of mindset that guides these societies and encourages people and government to take responsibility for one another. In her book Flexible Citizenship, anthropologist Aihwa Ong argues that this leads to a societal model where citizens can be independent and self-reliant while also able to rely on a state that supports the collective. </w:t>
      </w:r>
      <w:r w:rsidRPr="00DD2D90">
        <w:rPr>
          <w:rStyle w:val="StyleUnderline"/>
        </w:rPr>
        <w:t>Countries like Taiwan and South Korea</w:t>
      </w:r>
      <w:r w:rsidRPr="009278EB">
        <w:rPr>
          <w:sz w:val="16"/>
        </w:rPr>
        <w:t xml:space="preserve"> may have been </w:t>
      </w:r>
      <w:r w:rsidRPr="00DD2D90">
        <w:rPr>
          <w:rStyle w:val="StyleUnderline"/>
        </w:rPr>
        <w:t>better</w:t>
      </w:r>
      <w:r w:rsidRPr="009278EB">
        <w:rPr>
          <w:sz w:val="16"/>
        </w:rPr>
        <w:t xml:space="preserve"> </w:t>
      </w:r>
      <w:r w:rsidRPr="00DD2D90">
        <w:rPr>
          <w:rStyle w:val="StyleUnderline"/>
        </w:rPr>
        <w:t>prepared to respond to the pandemic</w:t>
      </w:r>
      <w:r w:rsidRPr="009278EB">
        <w:rPr>
          <w:sz w:val="16"/>
        </w:rPr>
        <w:t xml:space="preserve"> because most people are accustomed to protecting themselves and their communities. Like China, these countries also learned from their recent experience with a pandemic. In 2003, China and much of Asia were caught off guard with the emergence of SARS. Like the U.S., China’s public health system had taken a backseat to investment in market reforms for over 20 years. As a result, it couldn’t accurately track individual cases of infections. Following the end of the SARS outbreak, however, the Chinese government improved training for public health professionals and developed one of the most sophisticated disease surveillance systems in the world. This allowed China to respond more quickly to the 2009 H1N1 pandemic and late 2019 COVID-19 outbreaks, once it was able to get past the initial bureaucratic and political hurdles that prevented local doctors and government officials from sounding the alarm. Some have attributed this swift action to China’s authoritarian form of government that allows for greater control over individual lives. But prioritizing public health is not new to China. This became official practice as early as 1910 when it adopted the methods of quarantine, surveillance and masking to respond to an outbreak of pneumonic plague. Could this work in the US? Much like SARS did with China, COVID-19 has exposed huge holes in the American public health infrastructure. Take for example contact tracing. SARS taught China and other affected countries the importance of a robust system to identify and track people who may have been exposed to the COVID-19 virus. The Chinese government sent more than 1,800 teams of scientific investigators to Wuhan to trace the virus, which helped their efforts to quickly bring the virus under control. In the </w:t>
      </w:r>
      <w:r w:rsidRPr="00DD2D90">
        <w:rPr>
          <w:rStyle w:val="StyleUnderline"/>
          <w:highlight w:val="green"/>
        </w:rPr>
        <w:t>U</w:t>
      </w:r>
      <w:r w:rsidRPr="00DD2D90">
        <w:rPr>
          <w:rStyle w:val="StyleUnderline"/>
        </w:rPr>
        <w:t>.</w:t>
      </w:r>
      <w:r w:rsidRPr="00DD2D90">
        <w:rPr>
          <w:rStyle w:val="StyleUnderline"/>
          <w:highlight w:val="green"/>
        </w:rPr>
        <w:t>S</w:t>
      </w:r>
      <w:r w:rsidRPr="009278EB">
        <w:rPr>
          <w:sz w:val="16"/>
        </w:rPr>
        <w:t>., on the other hand,</w:t>
      </w:r>
      <w:r w:rsidRPr="00DD2D90">
        <w:rPr>
          <w:rStyle w:val="StyleUnderline"/>
        </w:rPr>
        <w:t xml:space="preserve"> </w:t>
      </w:r>
      <w:r w:rsidRPr="00DD2D90">
        <w:rPr>
          <w:rStyle w:val="StyleUnderline"/>
          <w:highlight w:val="green"/>
        </w:rPr>
        <w:t>poorly funded</w:t>
      </w:r>
      <w:r w:rsidRPr="00DD2D90">
        <w:rPr>
          <w:rStyle w:val="StyleUnderline"/>
        </w:rPr>
        <w:t xml:space="preserve"> </w:t>
      </w:r>
      <w:r w:rsidRPr="00DD2D90">
        <w:rPr>
          <w:rStyle w:val="StyleUnderline"/>
          <w:highlight w:val="green"/>
        </w:rPr>
        <w:t>and</w:t>
      </w:r>
      <w:r w:rsidRPr="00DD2D90">
        <w:rPr>
          <w:rStyle w:val="StyleUnderline"/>
        </w:rPr>
        <w:t xml:space="preserve"> thinly </w:t>
      </w:r>
      <w:r w:rsidRPr="00DD2D90">
        <w:rPr>
          <w:rStyle w:val="StyleUnderline"/>
          <w:highlight w:val="green"/>
        </w:rPr>
        <w:t>staffed</w:t>
      </w:r>
      <w:r w:rsidRPr="00DD2D90">
        <w:rPr>
          <w:rStyle w:val="StyleUnderline"/>
        </w:rPr>
        <w:t xml:space="preserve"> public </w:t>
      </w:r>
      <w:r w:rsidRPr="00DD2D90">
        <w:rPr>
          <w:rStyle w:val="StyleUnderline"/>
          <w:highlight w:val="green"/>
        </w:rPr>
        <w:t>health departments</w:t>
      </w:r>
      <w:r w:rsidRPr="00DD2D90">
        <w:rPr>
          <w:rStyle w:val="StyleUnderline"/>
        </w:rPr>
        <w:t xml:space="preserve"> </w:t>
      </w:r>
      <w:r w:rsidRPr="00DD2D90">
        <w:rPr>
          <w:rStyle w:val="Emphasis"/>
          <w:highlight w:val="green"/>
        </w:rPr>
        <w:t>struggled</w:t>
      </w:r>
      <w:r w:rsidRPr="00DD2D90">
        <w:rPr>
          <w:rStyle w:val="StyleUnderline"/>
          <w:highlight w:val="green"/>
        </w:rPr>
        <w:t xml:space="preserve"> to test and notify</w:t>
      </w:r>
      <w:r w:rsidRPr="00DD2D90">
        <w:rPr>
          <w:rStyle w:val="StyleUnderline"/>
        </w:rPr>
        <w:t xml:space="preserve"> people who</w:t>
      </w:r>
      <w:r w:rsidRPr="009278EB">
        <w:rPr>
          <w:sz w:val="16"/>
        </w:rPr>
        <w:t xml:space="preserve"> had been in direct </w:t>
      </w:r>
      <w:r w:rsidRPr="00DD2D90">
        <w:rPr>
          <w:rStyle w:val="StyleUnderline"/>
        </w:rPr>
        <w:t>contact</w:t>
      </w:r>
      <w:r w:rsidRPr="009278EB">
        <w:rPr>
          <w:sz w:val="16"/>
        </w:rPr>
        <w:t xml:space="preserve"> with </w:t>
      </w:r>
      <w:r w:rsidRPr="00DD2D90">
        <w:rPr>
          <w:rStyle w:val="StyleUnderline"/>
          <w:highlight w:val="green"/>
        </w:rPr>
        <w:t>infected individuals</w:t>
      </w:r>
      <w:r w:rsidRPr="009278EB">
        <w:rPr>
          <w:sz w:val="16"/>
        </w:rPr>
        <w:t xml:space="preserve">. </w:t>
      </w:r>
      <w:r w:rsidRPr="00DD2D90">
        <w:rPr>
          <w:rStyle w:val="StyleUnderline"/>
          <w:highlight w:val="green"/>
        </w:rPr>
        <w:t xml:space="preserve">This </w:t>
      </w:r>
      <w:r w:rsidRPr="00DD2D90">
        <w:rPr>
          <w:rStyle w:val="Emphasis"/>
          <w:highlight w:val="green"/>
        </w:rPr>
        <w:t>crippled</w:t>
      </w:r>
      <w:r w:rsidRPr="00DD2D90">
        <w:rPr>
          <w:rStyle w:val="StyleUnderline"/>
        </w:rPr>
        <w:t xml:space="preserve"> the </w:t>
      </w:r>
      <w:r w:rsidRPr="00DD2D90">
        <w:rPr>
          <w:rStyle w:val="StyleUnderline"/>
          <w:highlight w:val="green"/>
        </w:rPr>
        <w:t>U</w:t>
      </w:r>
      <w:r w:rsidRPr="00DD2D90">
        <w:rPr>
          <w:rStyle w:val="StyleUnderline"/>
        </w:rPr>
        <w:t>.</w:t>
      </w:r>
      <w:r w:rsidRPr="00DD2D90">
        <w:rPr>
          <w:rStyle w:val="StyleUnderline"/>
          <w:highlight w:val="green"/>
        </w:rPr>
        <w:t>S</w:t>
      </w:r>
      <w:r w:rsidRPr="00DD2D90">
        <w:rPr>
          <w:rStyle w:val="StyleUnderline"/>
        </w:rPr>
        <w:t xml:space="preserve">.’s ability to prevent the </w:t>
      </w:r>
      <w:r w:rsidRPr="00DD2D90">
        <w:rPr>
          <w:rStyle w:val="StyleUnderline"/>
          <w:highlight w:val="green"/>
        </w:rPr>
        <w:t>spread of COVID</w:t>
      </w:r>
      <w:r w:rsidRPr="00DD2D90">
        <w:rPr>
          <w:rStyle w:val="StyleUnderline"/>
        </w:rPr>
        <w:t>-19</w:t>
      </w:r>
      <w:r w:rsidRPr="009278EB">
        <w:rPr>
          <w:sz w:val="16"/>
        </w:rPr>
        <w:t xml:space="preserve">. In my home state of Massachusetts, the local government teamed up with the global health organization Partners in Health to start a contact tracing operation. But even then, people were left to fend for themselves. This became all the more evident as people scrambled for vaccines after their initial approval, through Facebook groups and informal volunteer networks that worked to help people secure appointments. Those who had resources learned how to take advantage of the system while others were overlooked. This is typical of a U.S. health care system that is consumer-oriented and market-based. Americans are often convinced that the solution to a health problem must be technical and costly. The focus was placed on developing vaccines and therapeutics, which are essential for ending the pandemic, while ignoring lower-cost solutions. But masking and social distancing – non-pharmaceutical interventions that have long been known to save lives during disease outbreaks – fell by the wayside. Uptake of these simple interventions is dependent on strong and coordinated public health messaging. As seen in several Asian nations like Taiwan and South Korea, a well-thought-out plan for public health communication is key to a unified response. </w:t>
      </w:r>
      <w:r w:rsidRPr="00DD2D90">
        <w:rPr>
          <w:rStyle w:val="StyleUnderline"/>
        </w:rPr>
        <w:t>Without clear, coordinated directions from a public health system, it becomes difficult to prevent the</w:t>
      </w:r>
      <w:r w:rsidRPr="009278EB">
        <w:rPr>
          <w:sz w:val="16"/>
        </w:rPr>
        <w:t xml:space="preserve"> spread of an </w:t>
      </w:r>
      <w:r w:rsidRPr="00DD2D90">
        <w:rPr>
          <w:rStyle w:val="StyleUnderline"/>
          <w:highlight w:val="green"/>
        </w:rPr>
        <w:t>outbreak</w:t>
      </w:r>
      <w:r w:rsidRPr="009278EB">
        <w:rPr>
          <w:sz w:val="16"/>
        </w:rPr>
        <w:t xml:space="preserve">. What it takes to be prepared Anthropologist Andrew Lakoff describes preparedness as more than just having the tools. It’s also about knowing how and when to use them, and keeping the public properly informed. Such </w:t>
      </w:r>
      <w:r w:rsidRPr="00DD2D90">
        <w:rPr>
          <w:rStyle w:val="StyleUnderline"/>
          <w:highlight w:val="green"/>
        </w:rPr>
        <w:t xml:space="preserve">preparedness can only happen in a </w:t>
      </w:r>
      <w:r w:rsidRPr="00DD2D90">
        <w:rPr>
          <w:rStyle w:val="Emphasis"/>
          <w:highlight w:val="green"/>
        </w:rPr>
        <w:t>coordinated</w:t>
      </w:r>
      <w:r w:rsidRPr="00DD2D90">
        <w:rPr>
          <w:rStyle w:val="StyleUnderline"/>
          <w:highlight w:val="green"/>
        </w:rPr>
        <w:t xml:space="preserve"> fashion organized by national leadership</w:t>
      </w:r>
      <w:r w:rsidRPr="009278EB">
        <w:rPr>
          <w:sz w:val="16"/>
        </w:rPr>
        <w:t xml:space="preserve">. But </w:t>
      </w:r>
      <w:r w:rsidRPr="00DD2D90">
        <w:rPr>
          <w:rStyle w:val="StyleUnderline"/>
        </w:rPr>
        <w:t>the U.S. has seen little of this</w:t>
      </w:r>
      <w:r w:rsidRPr="009278EB">
        <w:rPr>
          <w:sz w:val="16"/>
        </w:rPr>
        <w:t xml:space="preserve"> over the past year and a half, </w:t>
      </w:r>
      <w:r w:rsidRPr="00DD2D90">
        <w:rPr>
          <w:rStyle w:val="StyleUnderline"/>
        </w:rPr>
        <w:t>leaving pandemic response up to individuals</w:t>
      </w:r>
      <w:r w:rsidRPr="009278EB">
        <w:rPr>
          <w:sz w:val="16"/>
        </w:rPr>
        <w:t>. In an era where emergent viruses are an increasing threat to health and welfare, the individualism of neoliberal policies is not enough. While neoliberalism can be good for an economy, it’s not so good for health.</w:t>
      </w:r>
    </w:p>
    <w:p w14:paraId="0B9629B1" w14:textId="77777777" w:rsidR="00EA6776" w:rsidRPr="009278EB" w:rsidRDefault="00EA6776">
      <w:pPr>
        <w:rPr>
          <w:rFonts w:eastAsiaTheme="majorEastAsia" w:cstheme="majorBidi"/>
          <w:b/>
          <w:iCs/>
          <w:sz w:val="16"/>
        </w:rPr>
      </w:pPr>
      <w:r w:rsidRPr="009278EB">
        <w:rPr>
          <w:sz w:val="16"/>
        </w:rPr>
        <w:br w:type="page"/>
      </w:r>
    </w:p>
    <w:p w14:paraId="5981F7CE" w14:textId="45F964A0" w:rsidR="0082453E" w:rsidRPr="009278EB" w:rsidRDefault="004E671C" w:rsidP="0082453E">
      <w:pPr>
        <w:pStyle w:val="Heading4"/>
        <w:rPr>
          <w:szCs w:val="26"/>
        </w:rPr>
      </w:pPr>
      <w:r w:rsidRPr="009278EB">
        <w:rPr>
          <w:szCs w:val="26"/>
        </w:rPr>
        <w:t xml:space="preserve">Profit-motives </w:t>
      </w:r>
      <w:proofErr w:type="gramStart"/>
      <w:r w:rsidRPr="009278EB">
        <w:rPr>
          <w:szCs w:val="26"/>
        </w:rPr>
        <w:t>u</w:t>
      </w:r>
      <w:r w:rsidR="0082453E" w:rsidRPr="009278EB">
        <w:rPr>
          <w:szCs w:val="26"/>
        </w:rPr>
        <w:t>ndermines</w:t>
      </w:r>
      <w:proofErr w:type="gramEnd"/>
      <w:r w:rsidR="0082453E" w:rsidRPr="009278EB">
        <w:rPr>
          <w:szCs w:val="26"/>
        </w:rPr>
        <w:t xml:space="preserve"> primary care </w:t>
      </w:r>
      <w:r w:rsidR="008E2609" w:rsidRPr="009278EB">
        <w:rPr>
          <w:szCs w:val="26"/>
        </w:rPr>
        <w:t xml:space="preserve">with </w:t>
      </w:r>
      <w:r w:rsidR="0082453E" w:rsidRPr="009278EB">
        <w:rPr>
          <w:szCs w:val="26"/>
        </w:rPr>
        <w:t>too many specialists,</w:t>
      </w:r>
      <w:r w:rsidRPr="009278EB">
        <w:rPr>
          <w:szCs w:val="26"/>
        </w:rPr>
        <w:t xml:space="preserve"> decreasing low-cost preventive care</w:t>
      </w:r>
    </w:p>
    <w:p w14:paraId="6A0C8E92" w14:textId="785FE147" w:rsidR="0082453E" w:rsidRPr="00DD2D90" w:rsidRDefault="0082453E" w:rsidP="0082453E">
      <w:r w:rsidRPr="009278EB">
        <w:rPr>
          <w:b/>
          <w:bCs/>
          <w:sz w:val="26"/>
          <w:szCs w:val="26"/>
        </w:rPr>
        <w:t>Anderson 18</w:t>
      </w:r>
      <w:r w:rsidRPr="00DD2D90">
        <w:t xml:space="preserve"> [Matthew Anderson, faculty of the Montefiore Residency Program in Social Medicine, 2018, “HEALTH CARE under the KNIFE Moving Beyond Capitalism for Our Health,” NYU Press, https://www.jstor.org/stable/j.ctt1pwt8bd]/Kankee</w:t>
      </w:r>
    </w:p>
    <w:p w14:paraId="7EC67717" w14:textId="77777777" w:rsidR="0082453E" w:rsidRPr="00DD2D90" w:rsidRDefault="0082453E" w:rsidP="0082453E">
      <w:pPr>
        <w:rPr>
          <w:rStyle w:val="Emphasis"/>
        </w:rPr>
      </w:pPr>
      <w:r w:rsidRPr="009278EB">
        <w:rPr>
          <w:sz w:val="16"/>
        </w:rPr>
        <w:t xml:space="preserve">During the early twenty-first century, control over the conditions of medical work and the means of production in medicine has become a key focus of contention, in both the United States and other countries.1 The struggle for control involves the daily activities of the physicians and other licensed health care professionals who are legally sanctioned to make clinical decisions about patient care. </w:t>
      </w:r>
      <w:r w:rsidRPr="00DD2D90">
        <w:rPr>
          <w:rStyle w:val="StyleUnderline"/>
        </w:rPr>
        <w:t>Executives</w:t>
      </w:r>
      <w:r w:rsidRPr="009278EB">
        <w:rPr>
          <w:sz w:val="16"/>
        </w:rPr>
        <w:t xml:space="preserve"> usually frame their attempts to achieve </w:t>
      </w:r>
      <w:r w:rsidRPr="00DD2D90">
        <w:rPr>
          <w:rStyle w:val="StyleUnderline"/>
        </w:rPr>
        <w:t>control</w:t>
      </w:r>
      <w:r w:rsidRPr="009278EB">
        <w:rPr>
          <w:sz w:val="16"/>
        </w:rPr>
        <w:t xml:space="preserve"> over the work practices of </w:t>
      </w:r>
      <w:r w:rsidRPr="00DD2D90">
        <w:rPr>
          <w:rStyle w:val="StyleUnderline"/>
        </w:rPr>
        <w:t>clinicians</w:t>
      </w:r>
      <w:r w:rsidRPr="009278EB">
        <w:rPr>
          <w:sz w:val="16"/>
        </w:rPr>
        <w:t xml:space="preserve"> as efforts to produce greater value (to improve efficiency and quality of care), while bringing “market discipline” to an overly expensive, irrational, and inefficient system. I propose that such concepts—value, efficiency, quality, and market discipline—are part of an ideology designed to justify corporate control over the work of physicians and other workers providing health services. In describing the “deprofessionalization” of health care workers, I </w:t>
      </w:r>
      <w:r w:rsidRPr="00DD2D90">
        <w:rPr>
          <w:rStyle w:val="StyleUnderline"/>
        </w:rPr>
        <w:t xml:space="preserve">keep in mind </w:t>
      </w:r>
      <w:r w:rsidRPr="009278EB">
        <w:rPr>
          <w:sz w:val="16"/>
        </w:rPr>
        <w:t xml:space="preserve">Marx’s concept of </w:t>
      </w:r>
      <w:r w:rsidRPr="00DD2D90">
        <w:rPr>
          <w:rStyle w:val="Emphasis"/>
        </w:rPr>
        <w:t>alienation</w:t>
      </w:r>
      <w:r w:rsidRPr="009278EB">
        <w:rPr>
          <w:sz w:val="16"/>
        </w:rPr>
        <w:t xml:space="preserve">, the separation of the worker from the control and the product of his or her labor, as a useful way of thinking about the clinician of the future, who must learn what it means to become an employee. In the words of Marx: “The object which labor produces—labor’s product— confronts it as something alien, as a power independent of the producer. . . . Realization of labor appears as loss of realization for the workers; objectification as loss of the object and bondage to it; appropriation as estrangement, as alienation.”2 In this chapter, I clarify how the </w:t>
      </w:r>
      <w:r w:rsidRPr="00DD2D90">
        <w:rPr>
          <w:rStyle w:val="StyleUnderline"/>
        </w:rPr>
        <w:t>corporate</w:t>
      </w:r>
      <w:r w:rsidRPr="009278EB">
        <w:rPr>
          <w:sz w:val="16"/>
        </w:rPr>
        <w:t xml:space="preserve"> model of </w:t>
      </w:r>
      <w:r w:rsidRPr="00DD2D90">
        <w:rPr>
          <w:rStyle w:val="StyleUnderline"/>
        </w:rPr>
        <w:t>medicine</w:t>
      </w:r>
      <w:r w:rsidRPr="009278EB">
        <w:rPr>
          <w:sz w:val="16"/>
        </w:rPr>
        <w:t xml:space="preserve"> </w:t>
      </w:r>
      <w:r w:rsidRPr="00DD2D90">
        <w:rPr>
          <w:rStyle w:val="StyleUnderline"/>
        </w:rPr>
        <w:t xml:space="preserve">is </w:t>
      </w:r>
      <w:r w:rsidRPr="00DD2D90">
        <w:rPr>
          <w:rStyle w:val="Emphasis"/>
        </w:rPr>
        <w:t>degrading</w:t>
      </w:r>
      <w:r w:rsidRPr="00DD2D90">
        <w:rPr>
          <w:rStyle w:val="StyleUnderline"/>
        </w:rPr>
        <w:t xml:space="preserve"> the culture of clinical care</w:t>
      </w:r>
      <w:r w:rsidRPr="009278EB">
        <w:rPr>
          <w:sz w:val="16"/>
        </w:rPr>
        <w:t xml:space="preserve"> and the work of clinicians. We will see what happens </w:t>
      </w:r>
      <w:r w:rsidRPr="00DD2D90">
        <w:rPr>
          <w:rStyle w:val="StyleUnderline"/>
        </w:rPr>
        <w:t>when the corporate model</w:t>
      </w:r>
      <w:r w:rsidRPr="009278EB">
        <w:rPr>
          <w:sz w:val="16"/>
        </w:rPr>
        <w:t xml:space="preserve"> </w:t>
      </w:r>
      <w:r w:rsidRPr="00DD2D90">
        <w:rPr>
          <w:rStyle w:val="StyleUnderline"/>
        </w:rPr>
        <w:t>enshrines</w:t>
      </w:r>
      <w:r w:rsidRPr="009278EB">
        <w:rPr>
          <w:sz w:val="16"/>
        </w:rPr>
        <w:t xml:space="preserve"> the centrality of </w:t>
      </w:r>
      <w:r w:rsidRPr="00DD2D90">
        <w:rPr>
          <w:rStyle w:val="StyleUnderline"/>
        </w:rPr>
        <w:t xml:space="preserve">health care as a </w:t>
      </w:r>
      <w:r w:rsidRPr="00DD2D90">
        <w:rPr>
          <w:rStyle w:val="Emphasis"/>
        </w:rPr>
        <w:t>commodity</w:t>
      </w:r>
      <w:r w:rsidRPr="00DD2D90">
        <w:rPr>
          <w:rStyle w:val="StyleUnderline"/>
        </w:rPr>
        <w:t xml:space="preserve"> and self-interest as a motivator</w:t>
      </w:r>
      <w:r w:rsidRPr="009278EB">
        <w:rPr>
          <w:sz w:val="16"/>
        </w:rPr>
        <w:t xml:space="preserve">: the mission of the profit margin overtakes the mission of healing. THE SORRY STATE OF PRIMARY CARE IN THE UNITED STATES </w:t>
      </w:r>
      <w:r w:rsidRPr="00DD2D90">
        <w:rPr>
          <w:rStyle w:val="StyleUnderline"/>
          <w:highlight w:val="green"/>
        </w:rPr>
        <w:t xml:space="preserve">There is </w:t>
      </w:r>
      <w:r w:rsidRPr="00DD2D90">
        <w:rPr>
          <w:rStyle w:val="Emphasis"/>
          <w:highlight w:val="green"/>
        </w:rPr>
        <w:t>strong evidence</w:t>
      </w:r>
      <w:r w:rsidRPr="009278EB">
        <w:rPr>
          <w:sz w:val="16"/>
        </w:rPr>
        <w:t xml:space="preserve"> to suggest that </w:t>
      </w:r>
      <w:r w:rsidRPr="00DD2D90">
        <w:rPr>
          <w:rStyle w:val="StyleUnderline"/>
          <w:highlight w:val="green"/>
        </w:rPr>
        <w:t>primary care</w:t>
      </w:r>
      <w:r w:rsidRPr="00DD2D90">
        <w:rPr>
          <w:rStyle w:val="StyleUnderline"/>
        </w:rPr>
        <w:t xml:space="preserve"> </w:t>
      </w:r>
      <w:r w:rsidRPr="00DD2D90">
        <w:rPr>
          <w:rStyle w:val="StyleUnderline"/>
          <w:highlight w:val="green"/>
        </w:rPr>
        <w:t>improves</w:t>
      </w:r>
      <w:r w:rsidRPr="00DD2D90">
        <w:rPr>
          <w:rStyle w:val="StyleUnderline"/>
        </w:rPr>
        <w:t xml:space="preserve"> the </w:t>
      </w:r>
      <w:r w:rsidRPr="00DD2D90">
        <w:rPr>
          <w:rStyle w:val="StyleUnderline"/>
          <w:highlight w:val="green"/>
        </w:rPr>
        <w:t>health</w:t>
      </w:r>
      <w:r w:rsidRPr="00DD2D90">
        <w:rPr>
          <w:rStyle w:val="StyleUnderline"/>
        </w:rPr>
        <w:t xml:space="preserve"> of populations and, </w:t>
      </w:r>
      <w:r w:rsidRPr="00DD2D90">
        <w:rPr>
          <w:rStyle w:val="StyleUnderline"/>
          <w:highlight w:val="green"/>
        </w:rPr>
        <w:t>unlike specialty care</w:t>
      </w:r>
      <w:r w:rsidRPr="009278EB">
        <w:rPr>
          <w:sz w:val="16"/>
        </w:rPr>
        <w:t xml:space="preserve">, it helps </w:t>
      </w:r>
      <w:r w:rsidRPr="00DD2D90">
        <w:rPr>
          <w:rStyle w:val="StyleUnderline"/>
        </w:rPr>
        <w:t>reduce inequalities in health outcomes</w:t>
      </w:r>
      <w:r w:rsidRPr="009278EB">
        <w:rPr>
          <w:sz w:val="16"/>
        </w:rPr>
        <w:t xml:space="preserve">.3 </w:t>
      </w:r>
      <w:r w:rsidRPr="00DD2D90">
        <w:rPr>
          <w:rStyle w:val="StyleUnderline"/>
          <w:highlight w:val="green"/>
        </w:rPr>
        <w:t>Primary care is</w:t>
      </w:r>
      <w:r w:rsidRPr="00DD2D90">
        <w:rPr>
          <w:rStyle w:val="StyleUnderline"/>
        </w:rPr>
        <w:t xml:space="preserve"> also </w:t>
      </w:r>
      <w:r w:rsidRPr="00DD2D90">
        <w:rPr>
          <w:rStyle w:val="StyleUnderline"/>
          <w:highlight w:val="green"/>
        </w:rPr>
        <w:t>cheaper than specialty care</w:t>
      </w:r>
      <w:r w:rsidRPr="009278EB">
        <w:rPr>
          <w:sz w:val="16"/>
        </w:rPr>
        <w:t xml:space="preserve">. There is even some evidence from the United States suggesting that </w:t>
      </w:r>
      <w:r w:rsidRPr="00DD2D90">
        <w:rPr>
          <w:rStyle w:val="StyleUnderline"/>
        </w:rPr>
        <w:t>an overabundance of specialists can be bad for community health</w:t>
      </w:r>
      <w:r w:rsidRPr="009278EB">
        <w:rPr>
          <w:sz w:val="16"/>
        </w:rPr>
        <w:t xml:space="preserve">.4 </w:t>
      </w:r>
      <w:r w:rsidRPr="00DD2D90">
        <w:rPr>
          <w:rStyle w:val="StyleUnderline"/>
        </w:rPr>
        <w:t>Yet</w:t>
      </w:r>
      <w:r w:rsidRPr="009278EB">
        <w:rPr>
          <w:sz w:val="16"/>
        </w:rPr>
        <w:t xml:space="preserve">, despite the demonstrated benefits of primary care, only 12 percent of U.S. doctors work in it. </w:t>
      </w:r>
      <w:r w:rsidRPr="00DD2D90">
        <w:rPr>
          <w:rStyle w:val="StyleUnderline"/>
        </w:rPr>
        <w:t xml:space="preserve">The majority of </w:t>
      </w:r>
      <w:r w:rsidRPr="00DD2D90">
        <w:rPr>
          <w:rStyle w:val="StyleUnderline"/>
          <w:highlight w:val="green"/>
        </w:rPr>
        <w:t>our doctors</w:t>
      </w:r>
      <w:r w:rsidRPr="00DD2D90">
        <w:rPr>
          <w:rStyle w:val="StyleUnderline"/>
        </w:rPr>
        <w:t xml:space="preserve"> (over </w:t>
      </w:r>
      <w:r w:rsidRPr="00DD2D90">
        <w:rPr>
          <w:rStyle w:val="Emphasis"/>
          <w:highlight w:val="green"/>
        </w:rPr>
        <w:t>85 percent</w:t>
      </w:r>
      <w:r w:rsidRPr="00DD2D90">
        <w:rPr>
          <w:rStyle w:val="StyleUnderline"/>
        </w:rPr>
        <w:t xml:space="preserve">) </w:t>
      </w:r>
      <w:r w:rsidRPr="00DD2D90">
        <w:rPr>
          <w:rStyle w:val="StyleUnderline"/>
          <w:highlight w:val="green"/>
        </w:rPr>
        <w:t>are specialists</w:t>
      </w:r>
      <w:r w:rsidRPr="009278EB">
        <w:rPr>
          <w:sz w:val="16"/>
        </w:rPr>
        <w:t xml:space="preserve">.5 </w:t>
      </w:r>
      <w:r w:rsidRPr="00DD2D90">
        <w:rPr>
          <w:rStyle w:val="StyleUnderline"/>
          <w:highlight w:val="green"/>
        </w:rPr>
        <w:t>In Europe</w:t>
      </w:r>
      <w:r w:rsidRPr="009278EB">
        <w:rPr>
          <w:sz w:val="16"/>
        </w:rPr>
        <w:t xml:space="preserve">, by contrast, </w:t>
      </w:r>
      <w:r w:rsidRPr="00DD2D90">
        <w:rPr>
          <w:rStyle w:val="StyleUnderline"/>
          <w:highlight w:val="green"/>
        </w:rPr>
        <w:t>primary care</w:t>
      </w:r>
      <w:r w:rsidRPr="00DD2D90">
        <w:rPr>
          <w:rStyle w:val="StyleUnderline"/>
        </w:rPr>
        <w:t xml:space="preserve"> doctors</w:t>
      </w:r>
      <w:r w:rsidRPr="009278EB">
        <w:rPr>
          <w:sz w:val="16"/>
        </w:rPr>
        <w:t xml:space="preserve"> more typically </w:t>
      </w:r>
      <w:r w:rsidRPr="00DD2D90">
        <w:rPr>
          <w:rStyle w:val="StyleUnderline"/>
          <w:highlight w:val="green"/>
        </w:rPr>
        <w:t>make up</w:t>
      </w:r>
      <w:r w:rsidRPr="009278EB">
        <w:rPr>
          <w:sz w:val="16"/>
        </w:rPr>
        <w:t xml:space="preserve"> about </w:t>
      </w:r>
      <w:r w:rsidRPr="00DD2D90">
        <w:rPr>
          <w:rStyle w:val="Emphasis"/>
          <w:highlight w:val="green"/>
        </w:rPr>
        <w:t>70 percent</w:t>
      </w:r>
      <w:r w:rsidRPr="009278EB">
        <w:rPr>
          <w:sz w:val="16"/>
        </w:rPr>
        <w:t xml:space="preserve"> of the physician workforce. </w:t>
      </w:r>
      <w:r w:rsidRPr="00DD2D90">
        <w:rPr>
          <w:rStyle w:val="StyleUnderline"/>
        </w:rPr>
        <w:t xml:space="preserve">The reasons for </w:t>
      </w:r>
      <w:r w:rsidRPr="00DD2D90">
        <w:rPr>
          <w:rStyle w:val="StyleUnderline"/>
          <w:highlight w:val="green"/>
        </w:rPr>
        <w:t>the specialist-heavy U.S. system</w:t>
      </w:r>
      <w:r w:rsidRPr="009278EB">
        <w:rPr>
          <w:sz w:val="16"/>
          <w:highlight w:val="green"/>
        </w:rPr>
        <w:t xml:space="preserve"> </w:t>
      </w:r>
      <w:r w:rsidRPr="00DD2D90">
        <w:rPr>
          <w:rStyle w:val="StyleUnderline"/>
          <w:highlight w:val="green"/>
        </w:rPr>
        <w:t>are</w:t>
      </w:r>
      <w:r w:rsidRPr="009278EB">
        <w:rPr>
          <w:sz w:val="16"/>
        </w:rPr>
        <w:t xml:space="preserve"> complex, but they bring us back to the technology- and </w:t>
      </w:r>
      <w:r w:rsidRPr="00DD2D90">
        <w:rPr>
          <w:rStyle w:val="StyleUnderline"/>
          <w:highlight w:val="green"/>
        </w:rPr>
        <w:t>profit-driven</w:t>
      </w:r>
      <w:r w:rsidRPr="00DD2D90">
        <w:rPr>
          <w:rStyle w:val="StyleUnderline"/>
        </w:rPr>
        <w:t xml:space="preserve"> character</w:t>
      </w:r>
      <w:r w:rsidRPr="009278EB">
        <w:rPr>
          <w:sz w:val="16"/>
        </w:rPr>
        <w:t xml:space="preserve"> of the U.S. health care system.6 </w:t>
      </w:r>
      <w:r w:rsidRPr="00DD2D90">
        <w:rPr>
          <w:rStyle w:val="StyleUnderline"/>
          <w:highlight w:val="green"/>
        </w:rPr>
        <w:t xml:space="preserve">It rewards new physicians for choosing </w:t>
      </w:r>
      <w:r w:rsidRPr="00DD2D90">
        <w:rPr>
          <w:rStyle w:val="StyleUnderline"/>
        </w:rPr>
        <w:t xml:space="preserve">high-tech, </w:t>
      </w:r>
      <w:r w:rsidRPr="00DD2D90">
        <w:rPr>
          <w:rStyle w:val="StyleUnderline"/>
          <w:highlight w:val="green"/>
        </w:rPr>
        <w:t xml:space="preserve">expensive </w:t>
      </w:r>
      <w:r w:rsidRPr="00DD2D90">
        <w:rPr>
          <w:rStyle w:val="StyleUnderline"/>
        </w:rPr>
        <w:t xml:space="preserve">procedural-based </w:t>
      </w:r>
      <w:r w:rsidRPr="00DD2D90">
        <w:rPr>
          <w:rStyle w:val="StyleUnderline"/>
          <w:highlight w:val="green"/>
        </w:rPr>
        <w:t>specialties</w:t>
      </w:r>
      <w:r w:rsidRPr="00DD2D90">
        <w:rPr>
          <w:rStyle w:val="StyleUnderline"/>
        </w:rPr>
        <w:t xml:space="preserve"> </w:t>
      </w:r>
      <w:r w:rsidRPr="009278EB">
        <w:rPr>
          <w:sz w:val="16"/>
        </w:rPr>
        <w:t xml:space="preserve">(such as orthopedics and cardiology) </w:t>
      </w:r>
      <w:r w:rsidRPr="00DD2D90">
        <w:rPr>
          <w:rStyle w:val="StyleUnderline"/>
        </w:rPr>
        <w:t>rather than</w:t>
      </w:r>
      <w:r w:rsidRPr="009278EB">
        <w:rPr>
          <w:sz w:val="16"/>
        </w:rPr>
        <w:t xml:space="preserve"> the more cognitive and relationship-based specialties of internal medicine, </w:t>
      </w:r>
      <w:r w:rsidRPr="00DD2D90">
        <w:rPr>
          <w:rStyle w:val="StyleUnderline"/>
        </w:rPr>
        <w:t>family medicine</w:t>
      </w:r>
      <w:r w:rsidRPr="009278EB">
        <w:rPr>
          <w:sz w:val="16"/>
        </w:rPr>
        <w:t xml:space="preserve">, and pediatrics. </w:t>
      </w:r>
      <w:r w:rsidRPr="00DD2D90">
        <w:rPr>
          <w:rStyle w:val="StyleUnderline"/>
          <w:highlight w:val="green"/>
        </w:rPr>
        <w:t>Medical students</w:t>
      </w:r>
      <w:r w:rsidRPr="009278EB">
        <w:rPr>
          <w:sz w:val="16"/>
        </w:rPr>
        <w:t xml:space="preserve"> quickly learn to </w:t>
      </w:r>
      <w:r w:rsidRPr="00DD2D90">
        <w:rPr>
          <w:rStyle w:val="StyleUnderline"/>
          <w:highlight w:val="green"/>
        </w:rPr>
        <w:t>see primary care</w:t>
      </w:r>
      <w:r w:rsidRPr="00DD2D90">
        <w:rPr>
          <w:rStyle w:val="StyleUnderline"/>
        </w:rPr>
        <w:t xml:space="preserve"> </w:t>
      </w:r>
      <w:r w:rsidRPr="00DD2D90">
        <w:rPr>
          <w:rStyle w:val="StyleUnderline"/>
          <w:highlight w:val="green"/>
        </w:rPr>
        <w:t>as</w:t>
      </w:r>
      <w:r w:rsidRPr="00DD2D90">
        <w:rPr>
          <w:rStyle w:val="StyleUnderline"/>
        </w:rPr>
        <w:t xml:space="preserve"> bringing </w:t>
      </w:r>
      <w:r w:rsidRPr="00DD2D90">
        <w:rPr>
          <w:rStyle w:val="StyleUnderline"/>
          <w:highlight w:val="green"/>
        </w:rPr>
        <w:t>low prestige and low pay</w:t>
      </w:r>
      <w:r w:rsidRPr="009278EB">
        <w:rPr>
          <w:sz w:val="16"/>
        </w:rPr>
        <w:t xml:space="preserve">. There is no particularly good reason why primary care work should be undervalued. The essence of this problem is a political one: </w:t>
      </w:r>
      <w:r w:rsidRPr="00DD2D90">
        <w:rPr>
          <w:rStyle w:val="StyleUnderline"/>
        </w:rPr>
        <w:t>specialists run our academic medical centers, have close financial ties to industry, and have been able to define medicine and healing as the use of expensive wonder drugs and high technology</w:t>
      </w:r>
      <w:r w:rsidRPr="009278EB">
        <w:rPr>
          <w:sz w:val="16"/>
        </w:rPr>
        <w:t xml:space="preserve">. THE PATIENT-CENTERED MEDICAL HOME: NEITHER PATIENT-CENTERED NOR A HOME In the past decade a new model of primary care, the “patient-centered medical home” (PCMH), has been promoted to solve the problems of primary care. The term “medical home” appeared initially in 1967 in the pediatric literature. It was designed to describe a place, a “single source,” where a child’s medical records would be kept.7 In the 1990s the idea of the medical home was elaborated within the primary care community —by the American Academy of Pediatrics in 1992 and 2004, the American Academy of Family Physicians in 2004, and the American College of Physicians (internal medicine) in 2006. These efforts culminated in a joint statement issued by five primary care organizations in 2007. By 2008 a National Committee for Quality Assurance had promulgated standards for a PCMH, adherence to which guaranteed extra reimbursement for providers. It is difficult to define exactly what a PCMH is because various organizations have promoted different conceptualizations.8 But some of the components include better integration of health care, usually accomplished through electronic medical records (EMRs); the creation of health teams, as opposed to solo practices; improved access to care; a personal physician for each patient; and efforts to improve the quality of care as measured by standardized targets. To address pay disparities, primary care physicians are promised increased income when they meet certain quality standards, which is known as “Pay-for-Performance” (P4P). While these initiatives are not necessarily detrimental, they address symptoms of the problem, not the problem itself. The flow of resources into (expensive) specialty care continues, as does the underfunding of primary care. If population health is the goal of the system, this approach makes little sense. However, if we understand the imperatives of profit, such initiatives appear both logical and inevitable. The PCMH is a vehicle for the delivery of health services organized through a competitive, private insurance market. Purchasers of health insurance, whether individuals or organizations, are expected to make a yearly decision regarding which plan is most advantageous in terms of price and benefits. Adopting the “home” metaphor, it’s a bit like getting the opportunity to move once a year and find new family members. Even if patients want to stay “home” with their current doctor, there is no guarantee that their doctor will be on the company-offered plan next year. Let us be clear: this is a business model, not a home. For that matter, the development of the PCMH was not really “patient-centered.” Professional societies and large corporations developed and promoted the model. Patients have not been centrally involved in its conceptualization or in its elaboration. </w:t>
      </w:r>
      <w:r w:rsidRPr="00DD2D90">
        <w:rPr>
          <w:rStyle w:val="StyleUnderline"/>
        </w:rPr>
        <w:t>The PCMH is “patient-centered” only in the sense that McDonald’s is “customer-centered</w:t>
      </w:r>
      <w:r w:rsidRPr="009278EB">
        <w:rPr>
          <w:sz w:val="16"/>
        </w:rPr>
        <w:t xml:space="preserve">.” Ironically, the hype and fanfare surrounding the development of the PCMH model seem to arise from the demise of personalized health care rather than the dawn of a new era in primary care. It is important to remember what the PCMH cannot address and what options it does not explore. There will continue to be tremendous class and racial biases in the system; these impact quality and access to care as well as access to careers in medicine. In addition, a system that is highly incentivized to hit quality targets may want to avoid poorer (or sicker) patients, whose outcomes are likely to be worse than those of patients with more social and financial resources. Many models of clinical care have sought to make the health center an integral part of the local community, leveraging the ability of the clinic to participate in community development. There are clinical benefits gained by understanding local context. This is the basis for the very successful community health center program started by Dr. Jack Geiger in the 1960s.9 But there is no room in the PCMH for the local community voice. Although the PCMH retains the paternalistic ethos of medicine, now the “father” of the medical home is the corporate bureaucracy. And how could the involvement of a clinic in health problems of the local community be incentivized, within a system of individually based private insurance? PAY FOR PERFORMANCE (P4P) One pillar of the PCMH is the </w:t>
      </w:r>
      <w:r w:rsidRPr="00DD2D90">
        <w:rPr>
          <w:rStyle w:val="StyleUnderline"/>
        </w:rPr>
        <w:t>P4P</w:t>
      </w:r>
      <w:r w:rsidRPr="009278EB">
        <w:rPr>
          <w:sz w:val="16"/>
        </w:rPr>
        <w:t xml:space="preserve"> program, in which </w:t>
      </w:r>
      <w:r w:rsidRPr="00DD2D90">
        <w:rPr>
          <w:rStyle w:val="StyleUnderline"/>
        </w:rPr>
        <w:t>doctors receive</w:t>
      </w:r>
      <w:r w:rsidRPr="009278EB">
        <w:rPr>
          <w:sz w:val="16"/>
        </w:rPr>
        <w:t xml:space="preserve"> </w:t>
      </w:r>
      <w:r w:rsidRPr="00DD2D90">
        <w:rPr>
          <w:rStyle w:val="StyleUnderline"/>
        </w:rPr>
        <w:t>monetary rewards for hitting specific</w:t>
      </w:r>
      <w:r w:rsidRPr="009278EB">
        <w:rPr>
          <w:sz w:val="16"/>
        </w:rPr>
        <w:t xml:space="preserve">, quantitative, </w:t>
      </w:r>
      <w:r w:rsidRPr="00DD2D90">
        <w:rPr>
          <w:rStyle w:val="StyleUnderline"/>
        </w:rPr>
        <w:t>clinical goals</w:t>
      </w:r>
      <w:r w:rsidRPr="009278EB">
        <w:rPr>
          <w:sz w:val="16"/>
        </w:rPr>
        <w:t xml:space="preserve">, for example, the percentage of patients who receive flu shots. Studies of P4P have shown widely differing effects of individual P4P programs on quality measurements.10 In simple English, we don’t really know if it works. If P4P were a pill, this lack of evidence would have prevented its approval or use. But </w:t>
      </w:r>
      <w:r w:rsidRPr="00DD2D90">
        <w:rPr>
          <w:rStyle w:val="StyleUnderline"/>
        </w:rPr>
        <w:t>the business world</w:t>
      </w:r>
      <w:r w:rsidRPr="009278EB">
        <w:rPr>
          <w:sz w:val="16"/>
        </w:rPr>
        <w:t xml:space="preserve"> is different; the </w:t>
      </w:r>
      <w:r w:rsidRPr="00DD2D90">
        <w:rPr>
          <w:rStyle w:val="Emphasis"/>
        </w:rPr>
        <w:t>ideological imperative</w:t>
      </w:r>
      <w:r w:rsidRPr="00DD2D90">
        <w:rPr>
          <w:rStyle w:val="StyleUnderline"/>
        </w:rPr>
        <w:t xml:space="preserve"> to turn health</w:t>
      </w:r>
      <w:r w:rsidRPr="009278EB">
        <w:rPr>
          <w:sz w:val="16"/>
        </w:rPr>
        <w:t xml:space="preserve"> </w:t>
      </w:r>
      <w:r w:rsidRPr="00DD2D90">
        <w:rPr>
          <w:rStyle w:val="StyleUnderline"/>
        </w:rPr>
        <w:t>care workers into employees is powerful</w:t>
      </w:r>
      <w:r w:rsidRPr="009278EB">
        <w:rPr>
          <w:sz w:val="16"/>
        </w:rPr>
        <w:t xml:space="preserve">. </w:t>
      </w:r>
      <w:r w:rsidRPr="00DD2D90">
        <w:rPr>
          <w:rStyle w:val="StyleUnderline"/>
        </w:rPr>
        <w:t>P4P</w:t>
      </w:r>
      <w:r w:rsidRPr="009278EB">
        <w:rPr>
          <w:sz w:val="16"/>
        </w:rPr>
        <w:t xml:space="preserve">’s lack of success </w:t>
      </w:r>
      <w:r w:rsidRPr="00DD2D90">
        <w:rPr>
          <w:rStyle w:val="StyleUnderline"/>
        </w:rPr>
        <w:t>may</w:t>
      </w:r>
      <w:r w:rsidRPr="009278EB">
        <w:rPr>
          <w:sz w:val="16"/>
        </w:rPr>
        <w:t xml:space="preserve"> result from the direct </w:t>
      </w:r>
      <w:r w:rsidRPr="00DD2D90">
        <w:rPr>
          <w:rStyle w:val="Emphasis"/>
        </w:rPr>
        <w:t>undermining</w:t>
      </w:r>
      <w:r w:rsidRPr="009278EB">
        <w:rPr>
          <w:sz w:val="16"/>
        </w:rPr>
        <w:t xml:space="preserve"> of what has always been considered </w:t>
      </w:r>
      <w:r w:rsidRPr="00DD2D90">
        <w:rPr>
          <w:rStyle w:val="StyleUnderline"/>
        </w:rPr>
        <w:t>the central concern of the physician: the welfare of the patient</w:t>
      </w:r>
      <w:r w:rsidRPr="009278EB">
        <w:rPr>
          <w:sz w:val="16"/>
        </w:rPr>
        <w:t xml:space="preserve">. </w:t>
      </w:r>
      <w:r w:rsidRPr="00DD2D90">
        <w:rPr>
          <w:rStyle w:val="StyleUnderline"/>
        </w:rPr>
        <w:t>When patients ask me whether they should have flu shots, they are asking me for a disinterested answer based on my professional</w:t>
      </w:r>
      <w:r w:rsidRPr="009278EB">
        <w:rPr>
          <w:sz w:val="16"/>
        </w:rPr>
        <w:t xml:space="preserve"> opinion and my </w:t>
      </w:r>
      <w:r w:rsidRPr="00DD2D90">
        <w:rPr>
          <w:rStyle w:val="StyleUnderline"/>
        </w:rPr>
        <w:t>knowledge</w:t>
      </w:r>
      <w:r w:rsidRPr="009278EB">
        <w:rPr>
          <w:sz w:val="16"/>
        </w:rPr>
        <w:t xml:space="preserve"> of them. </w:t>
      </w:r>
      <w:r w:rsidRPr="00DD2D90">
        <w:rPr>
          <w:rStyle w:val="StyleUnderline"/>
        </w:rPr>
        <w:t>How would they feel i</w:t>
      </w:r>
      <w:r w:rsidRPr="009278EB">
        <w:rPr>
          <w:sz w:val="16"/>
        </w:rPr>
        <w:t xml:space="preserve">f, as honesty demands, </w:t>
      </w:r>
      <w:r w:rsidRPr="00DD2D90">
        <w:rPr>
          <w:rStyle w:val="StyleUnderline"/>
        </w:rPr>
        <w:t>I told them I was receiving</w:t>
      </w:r>
      <w:r w:rsidRPr="009278EB">
        <w:rPr>
          <w:sz w:val="16"/>
        </w:rPr>
        <w:t xml:space="preserve"> some amount of </w:t>
      </w:r>
      <w:r w:rsidRPr="00DD2D90">
        <w:rPr>
          <w:rStyle w:val="StyleUnderline"/>
        </w:rPr>
        <w:t>money</w:t>
      </w:r>
      <w:r w:rsidRPr="009278EB">
        <w:rPr>
          <w:sz w:val="16"/>
        </w:rPr>
        <w:t xml:space="preserve"> (no matter how small) every time they got a flu shot? </w:t>
      </w:r>
      <w:r w:rsidRPr="00DD2D90">
        <w:rPr>
          <w:rStyle w:val="StyleUnderline"/>
        </w:rPr>
        <w:t>That admission would undermine</w:t>
      </w:r>
      <w:r w:rsidRPr="009278EB">
        <w:rPr>
          <w:sz w:val="16"/>
        </w:rPr>
        <w:t xml:space="preserve"> the very </w:t>
      </w:r>
      <w:r w:rsidRPr="00DD2D90">
        <w:rPr>
          <w:rStyle w:val="Emphasis"/>
        </w:rPr>
        <w:t>trust</w:t>
      </w:r>
      <w:r w:rsidRPr="009278EB">
        <w:rPr>
          <w:sz w:val="16"/>
        </w:rPr>
        <w:t xml:space="preserve"> that should be </w:t>
      </w:r>
      <w:r w:rsidRPr="00DD2D90">
        <w:rPr>
          <w:rStyle w:val="StyleUnderline"/>
        </w:rPr>
        <w:t xml:space="preserve">the </w:t>
      </w:r>
      <w:r w:rsidRPr="00DD2D90">
        <w:rPr>
          <w:rStyle w:val="Emphasis"/>
        </w:rPr>
        <w:t>foundation</w:t>
      </w:r>
      <w:r w:rsidRPr="00DD2D90">
        <w:rPr>
          <w:rStyle w:val="StyleUnderline"/>
        </w:rPr>
        <w:t xml:space="preserve"> of our relationship</w:t>
      </w:r>
      <w:r w:rsidRPr="009278EB">
        <w:rPr>
          <w:sz w:val="16"/>
        </w:rPr>
        <w:t xml:space="preserve">. Such measurement </w:t>
      </w:r>
      <w:r w:rsidRPr="00DD2D90">
        <w:rPr>
          <w:rStyle w:val="StyleUnderline"/>
        </w:rPr>
        <w:t>programs</w:t>
      </w:r>
      <w:r w:rsidRPr="009278EB">
        <w:rPr>
          <w:sz w:val="16"/>
        </w:rPr>
        <w:t xml:space="preserve"> can also be faulted on more practical grounds. Usually they </w:t>
      </w:r>
      <w:r w:rsidRPr="00DD2D90">
        <w:rPr>
          <w:rStyle w:val="StyleUnderline"/>
        </w:rPr>
        <w:t>rely on easily measured goals</w:t>
      </w:r>
      <w:r w:rsidRPr="009278EB">
        <w:rPr>
          <w:sz w:val="16"/>
        </w:rPr>
        <w:t xml:space="preserve">: number of shots given, blood pressure, cholesterol measurements, patient-satisfaction surveys, and so on. But many of us believe that </w:t>
      </w:r>
      <w:r w:rsidRPr="00DD2D90">
        <w:rPr>
          <w:rStyle w:val="StyleUnderline"/>
        </w:rPr>
        <w:t xml:space="preserve">the heart of primary care involves </w:t>
      </w:r>
      <w:r w:rsidRPr="00DD2D90">
        <w:rPr>
          <w:rStyle w:val="Emphasis"/>
        </w:rPr>
        <w:t>relationships</w:t>
      </w:r>
      <w:r w:rsidRPr="00DD2D90">
        <w:rPr>
          <w:rStyle w:val="StyleUnderline"/>
        </w:rPr>
        <w:t xml:space="preserve"> with families</w:t>
      </w:r>
      <w:r w:rsidRPr="009278EB">
        <w:rPr>
          <w:sz w:val="16"/>
        </w:rPr>
        <w:t xml:space="preserve"> </w:t>
      </w:r>
      <w:r w:rsidRPr="00DD2D90">
        <w:rPr>
          <w:rStyle w:val="StyleUnderline"/>
        </w:rPr>
        <w:t>that</w:t>
      </w:r>
      <w:r w:rsidRPr="009278EB">
        <w:rPr>
          <w:sz w:val="16"/>
        </w:rPr>
        <w:t xml:space="preserve"> are created over time; these relationships </w:t>
      </w:r>
      <w:r w:rsidRPr="00DD2D90">
        <w:rPr>
          <w:rStyle w:val="StyleUnderline"/>
        </w:rPr>
        <w:t>cannot be reduced to a number</w:t>
      </w:r>
      <w:r w:rsidRPr="009278EB">
        <w:rPr>
          <w:sz w:val="16"/>
        </w:rPr>
        <w:t xml:space="preserve"> on a scale. When I visit my patients in the hospital—</w:t>
      </w:r>
      <w:r w:rsidRPr="00DD2D90">
        <w:rPr>
          <w:rStyle w:val="StyleUnderline"/>
        </w:rPr>
        <w:t xml:space="preserve">a </w:t>
      </w:r>
      <w:r w:rsidRPr="00DD2D90">
        <w:rPr>
          <w:rStyle w:val="Emphasis"/>
        </w:rPr>
        <w:t>familiar face</w:t>
      </w:r>
      <w:r w:rsidRPr="009278EB">
        <w:rPr>
          <w:sz w:val="16"/>
        </w:rPr>
        <w:t xml:space="preserve"> in a frightening and strange environment—I </w:t>
      </w:r>
      <w:r w:rsidRPr="00DD2D90">
        <w:rPr>
          <w:rStyle w:val="StyleUnderline"/>
        </w:rPr>
        <w:t>provide a type of caring</w:t>
      </w:r>
      <w:r w:rsidRPr="009278EB">
        <w:rPr>
          <w:sz w:val="16"/>
        </w:rPr>
        <w:t xml:space="preserve"> that is </w:t>
      </w:r>
      <w:r w:rsidRPr="00DD2D90">
        <w:rPr>
          <w:rStyle w:val="StyleUnderline"/>
        </w:rPr>
        <w:t xml:space="preserve">central to the role of a healer but is </w:t>
      </w:r>
      <w:r w:rsidRPr="00DD2D90">
        <w:rPr>
          <w:rStyle w:val="Emphasis"/>
        </w:rPr>
        <w:t>invisible</w:t>
      </w:r>
      <w:r w:rsidRPr="00DD2D90">
        <w:rPr>
          <w:rStyle w:val="StyleUnderline"/>
        </w:rPr>
        <w:t xml:space="preserve"> to</w:t>
      </w:r>
      <w:r w:rsidRPr="009278EB">
        <w:rPr>
          <w:sz w:val="16"/>
        </w:rPr>
        <w:t xml:space="preserve"> the highly </w:t>
      </w:r>
      <w:r w:rsidRPr="00DD2D90">
        <w:rPr>
          <w:rStyle w:val="StyleUnderline"/>
        </w:rPr>
        <w:t>technical</w:t>
      </w:r>
      <w:r w:rsidRPr="009278EB">
        <w:rPr>
          <w:sz w:val="16"/>
        </w:rPr>
        <w:t xml:space="preserve"> world of “hard” </w:t>
      </w:r>
      <w:r w:rsidRPr="00DD2D90">
        <w:rPr>
          <w:rStyle w:val="StyleUnderline"/>
        </w:rPr>
        <w:t>targets</w:t>
      </w:r>
      <w:r w:rsidRPr="009278EB">
        <w:rPr>
          <w:sz w:val="16"/>
        </w:rPr>
        <w:t xml:space="preserve">. Patients remember these visits and thank me for them years later, when I perhaps have forgotten them. In addition, clinical targets are notoriously fickle. Clinical medicine evolves rapidly, and what is good today will be seen as substandard in a few years. Goals for blood pressure, cholesterol, and diabetic control have undergone major revision in the past several years in ways that P4P programs either can’t capture or don’t. And, as more and more clinicians work in larger institutions, the attribution of clinical outcomes to any individual clinician becomes increasingly problematic. Truly “patient-centered” medical care would require great flexibility in terms of clinical outcomes. Not all patients want all treatments. </w:t>
      </w:r>
      <w:r w:rsidRPr="00DD2D90">
        <w:rPr>
          <w:rStyle w:val="StyleUnderline"/>
        </w:rPr>
        <w:t>The externally generated quality targets may not reflect the real problems facing the patient, the clinic, or the community</w:t>
      </w:r>
      <w:r w:rsidRPr="009278EB">
        <w:rPr>
          <w:sz w:val="16"/>
        </w:rPr>
        <w:t xml:space="preserve">. ENTER THE ELECTRONIC MEDICAL RECORD The George W. Bush administration initiated a large federal initiative to promote the use of health technology and, specifically, electronic medical records (EMRs). This initiative received further impetus during the first year of the Obama administration, when medical practices were given incentives to purchase EMR systems under the American Recovery and Reinvestment Act, the 2009 stimulus package.11 EMRs became a new, federally subsidized profit center, and dozens of vendors came forth to sell their EMR software to clinicians. The result, ironically, is that health information has become even more fragmented. Now we have a bewildering variety of EMR systems, none of which talks to each other; within individual institutions there are often several different types of EMRs. Sorting out this chaos, created in the logic of a marketplace, may take decades. Who knows how many people will need to get extra vaccines or extra tests because their records are lost in some obsolete and inaccessible software? The “medical home” seems to have been colonized by various unruly families, none of whom speaks the same language. There are other troubling features of EMRs. Most were designed to capture billing and quality information, not to facilitate clinical care. As a result, clinicians, rather than looking at their patients, sit hunched over their computers clicking little boxes indicating they have advised their patients not to smoke or that they need a colonos-copy, a true example of alienated labor. As one frustrated patient told me: “I used to talk to my doctor; now I just see the back of his head.”12 There is no particular rhyme or reason behind the flow of the clinical interview, since it now follows computer-generated prompts. As one works one’s way through the required screens with the required answers, one might as well be standing behind a Burger King counter and noting if the customer wants fries or onion rings. Not only is the voice of the doctor gone in many EMRs but, more crucially, so is the voice of the patient. In a menu-driven EMR, clinical histories are reduced to a random collection of facts taken out of context: left abdominal pain / quality: crampy / duration: 2–4 days/relieved by: defecation. This is almost anti-medicine, because it perverts the essential task of understanding the patient’s experience, to assist in diagnosis and treatment. “WE STRIVE FOR FIVE”: MANUFACTURED SATISFACTION One of the most pernicious aspects of the PCMH is the focus on massaging data to meet targets, a corruption of the very knowledge that should be the lifeblood of improvement. This is seen in the approach to satisfaction surveys, such as Press Ganey’s Improving Healthcare “product.”13 Press Ganey, the leading for-profit corporation in the business of measuring patient satisfaction, sends surveys on quality of care to a sample of patients after visits. </w:t>
      </w:r>
      <w:r w:rsidRPr="00DD2D90">
        <w:rPr>
          <w:rStyle w:val="StyleUnderline"/>
        </w:rPr>
        <w:t xml:space="preserve">Mid-level managers are put under </w:t>
      </w:r>
      <w:r w:rsidRPr="00DD2D90">
        <w:rPr>
          <w:rStyle w:val="Emphasis"/>
        </w:rPr>
        <w:t>intense pressure</w:t>
      </w:r>
      <w:r w:rsidRPr="00DD2D90">
        <w:rPr>
          <w:rStyle w:val="StyleUnderline"/>
        </w:rPr>
        <w:t xml:space="preserve"> to get and maintain good survey scores</w:t>
      </w:r>
      <w:r w:rsidRPr="009278EB">
        <w:rPr>
          <w:sz w:val="16"/>
        </w:rPr>
        <w:t>. In order to boost their numbers, a message that “We Strive for Five” (5 being the highest possible score) is often presented to patients either on posters, on appointment cards, or verbally by staff. If this does not work, Press Ganey can be contracted to advise the institution on how to improve scores, an interesting side-business for an agency that is supposed to provide impartial ratings. Letting patients know that their doctor or clinic wants a “five” rating introduces a not-so-subtle bias into their answers. It is exactly the kind of condition we would scrupulously avoid in clinical research. A principal investigator who chewed out his or her research nurse because the blood pressure results were not as expected might be fired or at least censured for fraudulent research practices. A mid-level manager who does the same is rewarded. This situation illustrates a dictum coined by American sociologist Donald T. Campbell, which has come to be known as Campbell’s Law: “</w:t>
      </w:r>
      <w:r w:rsidRPr="00DD2D90">
        <w:rPr>
          <w:rStyle w:val="StyleUnderline"/>
        </w:rPr>
        <w:t>The more any quantitative social indicator</w:t>
      </w:r>
      <w:r w:rsidRPr="009278EB">
        <w:rPr>
          <w:sz w:val="16"/>
        </w:rPr>
        <w:t xml:space="preserve"> (sometimes even a qualitative indicator</w:t>
      </w:r>
      <w:r w:rsidRPr="00DD2D90">
        <w:rPr>
          <w:rStyle w:val="StyleUnderline"/>
        </w:rPr>
        <w:t xml:space="preserve">) is used for social decision-making, the more subject it will be to corruption </w:t>
      </w:r>
      <w:r w:rsidRPr="00DD2D90">
        <w:rPr>
          <w:rStyle w:val="Emphasis"/>
        </w:rPr>
        <w:t>pressures</w:t>
      </w:r>
      <w:r w:rsidRPr="00DD2D90">
        <w:rPr>
          <w:rStyle w:val="StyleUnderline"/>
        </w:rPr>
        <w:t xml:space="preserve"> and the more apt it will be to </w:t>
      </w:r>
      <w:r w:rsidRPr="00DD2D90">
        <w:rPr>
          <w:rStyle w:val="Emphasis"/>
        </w:rPr>
        <w:t>distort</w:t>
      </w:r>
      <w:r w:rsidRPr="00DD2D90">
        <w:rPr>
          <w:rStyle w:val="StyleUnderline"/>
        </w:rPr>
        <w:t xml:space="preserve"> and </w:t>
      </w:r>
      <w:r w:rsidRPr="00DD2D90">
        <w:rPr>
          <w:rStyle w:val="Emphasis"/>
        </w:rPr>
        <w:t>corrupt</w:t>
      </w:r>
      <w:r w:rsidRPr="00DD2D90">
        <w:rPr>
          <w:rStyle w:val="StyleUnderline"/>
        </w:rPr>
        <w:t xml:space="preserve"> the social processes it is intended to monitor</w:t>
      </w:r>
      <w:r w:rsidRPr="009278EB">
        <w:rPr>
          <w:sz w:val="16"/>
        </w:rPr>
        <w:t xml:space="preserve">.”14 The massaged results of the satisfaction survey impede real attempts to improve systems. Of course, system improvement may be irrelevant, as long as money is being made. SLEEPING WITH THE ENEMY, PART ONE: PROFESSIONAL ASSOCIATIONS The corporate conquest of primary care has occurred with the complicity of physicians who head the professional organizations of primary care and whose leadership has been compromised by commercial interests. Following are three examples among many. The American Academy of Family Physicians (AAFP) has chosen Coca-Cola as a corporate partner; a visitor to the AAFP page on sugar substitutes is advised: “This content was developed with general underwriting support from the Coca-Cola Company.”15 The American Academy of Pediatrics (AAP) endorses breastfeeding as the optimal form of infant nutrition, yet Nestlé, one of the leading makers of breast milk substitutes, is considered a valid corporate sponsor.16 For years the AAP logo was prominently displayed in periodicals advertising baby formula. Advertising of breast milk substitutes is illegal in most countries. Even the National Institutes of Health has corporate partners, which have included both Pepsi and Coca-Cola.17 Consider a patient who must make sense of the fact that her doctor and her government, both charged with protecting health, are proud partners of Coca-Cola. Coke can’t be all that bad, can it? SLEEPING WITH THE ENEMY, PART TWO: ACADEMIC MEDICAL CENTERS Academic medical centers train the physician workforce and mold its professional values. They conduct much of the research that fuels technical advances in medicine. And they promote specific social constructs (such as a genetic or racial basis for disease and social problems) that create social consensus. The academics who run this system are highly rewarded. In many large universities, the highest-paid officials are the basketball coach and the head of the teaching hospital. This problem is typically conceptualized in terms of “conflicts of interest,” which need to be disclosed and regulated. But industry is so interpenetrated with academia that their relationship is best described as symbiotic. For example, in 2007 Eric Campbell and his colleagues at Harvard Medical School published a survey of department chairs at U.S. medical schools. Of the 688 chairs surveyed, they received a response from 459 (67 percent). They found that two-thirds of the department chairs had a direct personal tie to industry. These ties came in a variety of forms, with the most common being consultancy (27 percent) but extended to direct roles in the corporation either as officer (7 percent), founder (9 percent), or director (11 percent). Over two- thirds reported that these relationships had “no effect on their professional activities.”18 This is a fascinating finding. What types of “non-professional” activities do department chairs undertake with corporations? On the other hand, medical students have often contributed as activists in promoting change. Harvard Medical School is an interesting case in point. In 2008 a variety of high-profile conflict-of-interest cases came to light at Harvard. Medical school students formed a group to protest the fact that so many of their professors had undisclosed industry ties.19 On a more national scale, the American Medical Students Association (AMSA) has played an important role as an advocate for change. AMSA was created by medical students in 1950 as a progressive alternative to the AMA-sponsored medical student organization. Former AMSA members were central to the creation in 2005 of the National Physicians Alliance, which was conceived as a progressive alternative to the AMA. AMSA regularly surveys medical schools regarding their involvement with pharmaceutical corporations and hands out grades ranging from A to F.20 IS “EVIDENCE” IRRELEVANT? Medicine has struggled over the past several decades to move away from care based on expert opinion toward “evidence-based” practice. But </w:t>
      </w:r>
      <w:r w:rsidRPr="00DD2D90">
        <w:rPr>
          <w:rStyle w:val="StyleUnderline"/>
        </w:rPr>
        <w:t>the</w:t>
      </w:r>
      <w:r w:rsidRPr="009278EB">
        <w:rPr>
          <w:sz w:val="16"/>
        </w:rPr>
        <w:t xml:space="preserve"> </w:t>
      </w:r>
      <w:r w:rsidRPr="00DD2D90">
        <w:rPr>
          <w:rStyle w:val="StyleUnderline"/>
        </w:rPr>
        <w:t xml:space="preserve">corporate model’s practices </w:t>
      </w:r>
      <w:r w:rsidRPr="00DD2D90">
        <w:rPr>
          <w:rStyle w:val="Emphasis"/>
        </w:rPr>
        <w:t>rarely</w:t>
      </w:r>
      <w:r w:rsidRPr="00DD2D90">
        <w:rPr>
          <w:rStyle w:val="StyleUnderline"/>
        </w:rPr>
        <w:t xml:space="preserve"> are evidence-based.</w:t>
      </w:r>
      <w:r w:rsidRPr="009278EB">
        <w:rPr>
          <w:sz w:val="16"/>
        </w:rPr>
        <w:t xml:space="preserve"> PCMH, P4P, and similar approaches have been introduced and implemented without thorough testing; usually they have provided further frontiers for corporate capital accumulation. It is striking that the for-profit corporation, whose scientific basis has been severely questioned,21 is now running the show. </w:t>
      </w:r>
      <w:r w:rsidRPr="00DD2D90">
        <w:rPr>
          <w:rStyle w:val="StyleUnderline"/>
        </w:rPr>
        <w:t>When individual clinicians object that they are being forced to do things that</w:t>
      </w:r>
      <w:r w:rsidRPr="009278EB">
        <w:rPr>
          <w:sz w:val="16"/>
        </w:rPr>
        <w:t xml:space="preserve"> make no clinical sense </w:t>
      </w:r>
      <w:r w:rsidRPr="00DD2D90">
        <w:rPr>
          <w:rStyle w:val="StyleUnderline"/>
        </w:rPr>
        <w:t>or are even bad for patients, they are told that these things are necessary for the purposes of their employers</w:t>
      </w:r>
      <w:r w:rsidRPr="009278EB">
        <w:rPr>
          <w:sz w:val="16"/>
        </w:rPr>
        <w:t xml:space="preserve">. When family doctors protested to the American Academy of Family Physicians about its partnership with Coca-Cola, we were told that this too was necessary. In short, we have arrived at the land described by Kafka, where </w:t>
      </w:r>
      <w:r w:rsidRPr="00DD2D90">
        <w:rPr>
          <w:rStyle w:val="StyleUnderline"/>
        </w:rPr>
        <w:t xml:space="preserve">lying has become a </w:t>
      </w:r>
      <w:r w:rsidRPr="00DD2D90">
        <w:rPr>
          <w:rStyle w:val="Emphasis"/>
        </w:rPr>
        <w:t xml:space="preserve">universal principle. </w:t>
      </w:r>
    </w:p>
    <w:p w14:paraId="56D7CC4B" w14:textId="77777777" w:rsidR="00EA6776" w:rsidRPr="009278EB" w:rsidRDefault="00EA6776">
      <w:pPr>
        <w:rPr>
          <w:rFonts w:eastAsiaTheme="majorEastAsia" w:cstheme="majorBidi"/>
          <w:b/>
          <w:iCs/>
          <w:sz w:val="16"/>
        </w:rPr>
      </w:pPr>
      <w:r w:rsidRPr="009278EB">
        <w:rPr>
          <w:sz w:val="16"/>
        </w:rPr>
        <w:br w:type="page"/>
      </w:r>
    </w:p>
    <w:p w14:paraId="2B742069" w14:textId="1ACA1D6E" w:rsidR="00AF053F" w:rsidRPr="009278EB" w:rsidRDefault="00AF053F" w:rsidP="00AF053F">
      <w:pPr>
        <w:pStyle w:val="Heading4"/>
        <w:rPr>
          <w:szCs w:val="26"/>
        </w:rPr>
      </w:pPr>
      <w:r w:rsidRPr="009278EB">
        <w:rPr>
          <w:szCs w:val="26"/>
        </w:rPr>
        <w:t xml:space="preserve">Trust in healthcare systems builds better patient-to-provider relationships and creates cycles of medical trust and adherence </w:t>
      </w:r>
    </w:p>
    <w:p w14:paraId="210C13F8" w14:textId="77777777" w:rsidR="00AF053F" w:rsidRPr="00DD2D90" w:rsidRDefault="00AF053F" w:rsidP="00AF053F">
      <w:pPr>
        <w:rPr>
          <w:rFonts w:eastAsia="Calibri"/>
        </w:rPr>
      </w:pPr>
      <w:r w:rsidRPr="009278EB">
        <w:rPr>
          <w:rFonts w:eastAsia="Calibri"/>
          <w:b/>
          <w:bCs/>
          <w:sz w:val="26"/>
          <w:szCs w:val="26"/>
        </w:rPr>
        <w:t>Mainous et. al 25</w:t>
      </w:r>
      <w:r w:rsidRPr="00DD2D90">
        <w:rPr>
          <w:rFonts w:eastAsia="Calibri"/>
          <w:b/>
          <w:bCs/>
        </w:rPr>
        <w:t xml:space="preserve"> </w:t>
      </w:r>
      <w:r w:rsidRPr="00DD2D90">
        <w:rPr>
          <w:rFonts w:eastAsia="Calibri"/>
        </w:rPr>
        <w:t xml:space="preserve">[Arch G. Mainous, Professor at University of Florida; Rachel Liu-Galvin, Doctorate Student at University of Florida; Barbara Durden, adjunct professor at University of Florida; Lu Yin, Researcher at University of Florida, Aaron A. Saguil, Researcher, 11-19-2025, “Patient trust in the health system, Internet information searching and the patient-provider relationship,” </w:t>
      </w:r>
      <w:hyperlink r:id="rId30">
        <w:r w:rsidRPr="00DD2D90">
          <w:rPr>
            <w:rFonts w:eastAsia="Calibri"/>
          </w:rPr>
          <w:t>https://www.frontiersin.org/journals/medicine/articles/10.3389/fmed.2025.1665927/full?</w:t>
        </w:r>
      </w:hyperlink>
      <w:r w:rsidRPr="00DD2D90">
        <w:rPr>
          <w:rFonts w:eastAsia="Calibri"/>
        </w:rPr>
        <w:t>]/Kankee</w:t>
      </w:r>
    </w:p>
    <w:p w14:paraId="6766D0EE" w14:textId="77777777" w:rsidR="00AF053F" w:rsidRPr="009278EB" w:rsidRDefault="00AF053F" w:rsidP="00AF053F">
      <w:pPr>
        <w:rPr>
          <w:rFonts w:eastAsia="Calibri"/>
          <w:sz w:val="16"/>
        </w:rPr>
      </w:pPr>
      <w:r w:rsidRPr="009278EB">
        <w:rPr>
          <w:rFonts w:eastAsia="Calibri"/>
          <w:sz w:val="16"/>
        </w:rPr>
        <w:t xml:space="preserve">Methods: Analysis of adult patients aged ≥ 18 in the US nationally representative Health Information National Trends Survey (HINTS 7-2024) (unweighted n = 2,510; weighted n is &gt; 87 million). The patient-provider relationship was assessed focusing on discussing health information found on the Internet with their provider: (1) whether the provider was open to the discussion, (2) whether the provider was respectful, and (3) whether the interaction worsened. Respondents were asked how much they trust the healthcare system.Results: The proportion of patients with high trust in the healthcare system was 31%. Patients with low trust (17%) were more likely than those with high trust (3%) to perceive that in visits with their healthcare provider, talking about information found on the Internet, the patient-provider interaction became worse (p &lt; 0.01). In logistic regressions controlling for multiple covariates, low trust in the healthcare system was associated with an increased likelihood that in visits with their healthcare provider, talking about information found on the Internet, the patient-provider interaction became worse (OR 6.76; 95% CI 2.35, 19.44).Conclusion: Patients with low trust in the healthcare system are at greater risk of having less than optimal relationships with their healthcare provider due to discussions over health information found on the Internet. Introduction </w:t>
      </w:r>
      <w:r w:rsidRPr="00DD2D90">
        <w:rPr>
          <w:rFonts w:eastAsia="Calibri"/>
          <w:highlight w:val="green"/>
          <w:u w:val="single"/>
        </w:rPr>
        <w:t xml:space="preserve">A positive patient-provider relationship is </w:t>
      </w:r>
      <w:r w:rsidRPr="00DD2D90">
        <w:rPr>
          <w:rStyle w:val="Emphasis"/>
          <w:highlight w:val="green"/>
        </w:rPr>
        <w:t>critical</w:t>
      </w:r>
      <w:r w:rsidRPr="00DD2D90">
        <w:rPr>
          <w:rFonts w:eastAsia="Calibri"/>
          <w:highlight w:val="green"/>
          <w:u w:val="single"/>
        </w:rPr>
        <w:t xml:space="preserve"> to delivery of healthcare. A positive relationship has been shown to yield greater treatment </w:t>
      </w:r>
      <w:r w:rsidRPr="00DD2D90">
        <w:rPr>
          <w:rStyle w:val="Emphasis"/>
          <w:highlight w:val="green"/>
        </w:rPr>
        <w:t>adherence</w:t>
      </w:r>
      <w:r w:rsidRPr="00DD2D90">
        <w:rPr>
          <w:rFonts w:eastAsia="Calibri"/>
          <w:highlight w:val="green"/>
          <w:u w:val="single"/>
        </w:rPr>
        <w:t xml:space="preserve"> in terms of medication use and receipt of preventive services</w:t>
      </w:r>
      <w:r w:rsidRPr="009278EB">
        <w:rPr>
          <w:sz w:val="16"/>
          <w:highlight w:val="green"/>
        </w:rPr>
        <w:t xml:space="preserve"> </w:t>
      </w:r>
      <w:r w:rsidRPr="009278EB">
        <w:rPr>
          <w:sz w:val="16"/>
        </w:rPr>
        <w:t>(1–4)</w:t>
      </w:r>
      <w:r w:rsidRPr="009278EB">
        <w:rPr>
          <w:sz w:val="16"/>
          <w:highlight w:val="green"/>
        </w:rPr>
        <w:t xml:space="preserve">. </w:t>
      </w:r>
      <w:r w:rsidRPr="00DD2D90">
        <w:rPr>
          <w:rFonts w:eastAsia="Calibri"/>
          <w:highlight w:val="green"/>
          <w:u w:val="single"/>
        </w:rPr>
        <w:t xml:space="preserve">Trust in the healthcare system and providers </w:t>
      </w:r>
      <w:r w:rsidRPr="00DD2D90">
        <w:rPr>
          <w:rFonts w:eastAsia="Calibri"/>
          <w:u w:val="single"/>
        </w:rPr>
        <w:t>in general</w:t>
      </w:r>
      <w:r w:rsidRPr="00DD2D90">
        <w:rPr>
          <w:rFonts w:eastAsia="Calibri"/>
          <w:highlight w:val="green"/>
          <w:u w:val="single"/>
        </w:rPr>
        <w:t xml:space="preserve"> play a role in </w:t>
      </w:r>
      <w:r w:rsidRPr="00DD2D90">
        <w:rPr>
          <w:rFonts w:eastAsia="Calibri"/>
          <w:u w:val="single"/>
        </w:rPr>
        <w:t>a positive relationship and</w:t>
      </w:r>
      <w:r w:rsidRPr="00DD2D90">
        <w:rPr>
          <w:rFonts w:eastAsia="Calibri"/>
          <w:highlight w:val="green"/>
          <w:u w:val="single"/>
        </w:rPr>
        <w:t xml:space="preserve"> </w:t>
      </w:r>
      <w:r w:rsidRPr="00DD2D90">
        <w:rPr>
          <w:rFonts w:eastAsia="Calibri"/>
          <w:b/>
          <w:bCs/>
          <w:highlight w:val="green"/>
          <w:u w:val="single"/>
        </w:rPr>
        <w:t>adherence</w:t>
      </w:r>
      <w:r w:rsidRPr="00DD2D90">
        <w:rPr>
          <w:rFonts w:eastAsia="Calibri"/>
          <w:highlight w:val="green"/>
          <w:u w:val="single"/>
        </w:rPr>
        <w:t xml:space="preserve"> to healthcare recommendations </w:t>
      </w:r>
      <w:r w:rsidRPr="009278EB">
        <w:rPr>
          <w:sz w:val="16"/>
        </w:rPr>
        <w:t>(1, 3, 5). There is decreasing trust in government health agencies and the information that they provide (6). Despite this, trust in physicians has remained high. It has been suggested that the trust that patients have in physicians may en</w:t>
      </w:r>
      <w:r w:rsidRPr="009278EB">
        <w:rPr>
          <w:rFonts w:eastAsia="Calibri"/>
          <w:sz w:val="16"/>
        </w:rPr>
        <w:t xml:space="preserve">courage patients to trust the information provided by generally acknowledged healthcare experts (7). People with low trust in an information source are likely to search for information from other sources. The Internet provides many opportunities for finding information that gives a different picture of reality (8, 9). However, as patient trust in the information provided by healthcare experts and the healthcare system drops, distrust of treatments recommended by healthcare experts and systems may ultimately contribute to searching the Internet for other information. </w:t>
      </w:r>
    </w:p>
    <w:p w14:paraId="538EE1AA" w14:textId="77777777" w:rsidR="00AF053F" w:rsidRPr="00DD2D90" w:rsidRDefault="00AF053F" w:rsidP="0082453E">
      <w:pPr>
        <w:rPr>
          <w:rStyle w:val="Emphasis"/>
        </w:rPr>
      </w:pPr>
    </w:p>
    <w:p w14:paraId="3AD2A9D6" w14:textId="77777777" w:rsidR="00EA6776" w:rsidRPr="009278EB" w:rsidRDefault="00EA6776">
      <w:pPr>
        <w:rPr>
          <w:rFonts w:eastAsiaTheme="majorEastAsia" w:cstheme="majorBidi"/>
          <w:b/>
          <w:iCs/>
          <w:sz w:val="16"/>
        </w:rPr>
      </w:pPr>
      <w:bookmarkStart w:id="39" w:name="_h143a04131hi" w:colFirst="0" w:colLast="0"/>
      <w:bookmarkEnd w:id="39"/>
      <w:r w:rsidRPr="009278EB">
        <w:rPr>
          <w:sz w:val="16"/>
        </w:rPr>
        <w:br w:type="page"/>
      </w:r>
    </w:p>
    <w:p w14:paraId="0C57ECE0" w14:textId="2FC53017" w:rsidR="008E2609" w:rsidRPr="009278EB" w:rsidRDefault="008E2609" w:rsidP="008E2609">
      <w:pPr>
        <w:pStyle w:val="Heading4"/>
        <w:rPr>
          <w:szCs w:val="26"/>
        </w:rPr>
      </w:pPr>
      <w:r w:rsidRPr="009278EB">
        <w:rPr>
          <w:szCs w:val="26"/>
        </w:rPr>
        <w:t xml:space="preserve">Better provider-patient relationships result in </w:t>
      </w:r>
      <w:r w:rsidR="000D2751" w:rsidRPr="009278EB">
        <w:rPr>
          <w:szCs w:val="26"/>
        </w:rPr>
        <w:t>better</w:t>
      </w:r>
      <w:r w:rsidRPr="009278EB">
        <w:rPr>
          <w:szCs w:val="26"/>
        </w:rPr>
        <w:t xml:space="preserve"> health outcomes and patient comfort </w:t>
      </w:r>
    </w:p>
    <w:p w14:paraId="2426FE74" w14:textId="77777777" w:rsidR="008E2609" w:rsidRPr="00DD2D90" w:rsidRDefault="008E2609" w:rsidP="008E2609">
      <w:pPr>
        <w:rPr>
          <w:rFonts w:eastAsia="Calibri"/>
        </w:rPr>
      </w:pPr>
      <w:r w:rsidRPr="009278EB">
        <w:rPr>
          <w:rFonts w:eastAsia="Calibri"/>
          <w:b/>
          <w:bCs/>
          <w:sz w:val="26"/>
          <w:szCs w:val="26"/>
        </w:rPr>
        <w:t>Krummenacher et. al 17</w:t>
      </w:r>
      <w:r w:rsidRPr="00DD2D90">
        <w:rPr>
          <w:rFonts w:eastAsia="Calibri"/>
        </w:rPr>
        <w:t xml:space="preserve"> [Peter Krummenacher, researcher at University of Zurich, and Johanna Birkhäuer, Jens Gaab, Joe Kossowsky, Sebastian Hasler, Christoph Werner, Heike Gerger, researchers at the University of Basel Department of Psychology Researchers, 2-07-2017, “Trust in the health care professional and health outcome: A meta-analysis,” PLOS One, </w:t>
      </w:r>
      <w:hyperlink r:id="rId31">
        <w:r w:rsidRPr="00DD2D90">
          <w:rPr>
            <w:rFonts w:eastAsia="Calibri"/>
          </w:rPr>
          <w:t>https://pmc.ncbi.nlm.nih.gov/articles/PMC5295692/</w:t>
        </w:r>
      </w:hyperlink>
      <w:r w:rsidRPr="00DD2D90">
        <w:rPr>
          <w:rFonts w:eastAsia="Calibri"/>
        </w:rPr>
        <w:t>]/Kankee</w:t>
      </w:r>
    </w:p>
    <w:p w14:paraId="06FC8102" w14:textId="77777777" w:rsidR="008E2609" w:rsidRPr="009278EB" w:rsidRDefault="008E2609" w:rsidP="008E2609">
      <w:pPr>
        <w:rPr>
          <w:rFonts w:eastAsia="Calibri"/>
          <w:sz w:val="16"/>
        </w:rPr>
      </w:pPr>
      <w:r w:rsidRPr="009278EB">
        <w:rPr>
          <w:rFonts w:eastAsia="Calibri"/>
          <w:sz w:val="16"/>
        </w:rPr>
        <w:t xml:space="preserve">Objective To examine whether patients’ trust in the health care professional is associated with health outcomes. Study selection We searched 4 major electronic databases for studies that reported quantitative data on the association between trust in the health care professional and health outcome. We screened the full-texts of 400 publications and included 47 studies in our meta-analysis. Data extraction and data synthesis We conducted random effects meta-analyses and meta-regressions and calculated correlation coefficients with corresponding 95% confidence intervals. Two interdependent researchers assessed the quality of the included studies using the Strengthening the Reporting of Observational Studies in Epidemiology guidelines. Results </w:t>
      </w:r>
      <w:r w:rsidRPr="00DD2D90">
        <w:rPr>
          <w:rFonts w:eastAsia="Calibri"/>
          <w:u w:val="single"/>
        </w:rPr>
        <w:t xml:space="preserve">Overall, </w:t>
      </w:r>
      <w:r w:rsidRPr="00DD2D90">
        <w:rPr>
          <w:rFonts w:eastAsia="Calibri"/>
          <w:highlight w:val="green"/>
          <w:u w:val="single"/>
        </w:rPr>
        <w:t xml:space="preserve">we found </w:t>
      </w:r>
      <w:r w:rsidRPr="00DD2D90">
        <w:rPr>
          <w:rFonts w:eastAsia="Calibri"/>
          <w:u w:val="single"/>
        </w:rPr>
        <w:t xml:space="preserve">a </w:t>
      </w:r>
      <w:r w:rsidRPr="009278EB">
        <w:rPr>
          <w:sz w:val="16"/>
        </w:rPr>
        <w:t>small to moderate</w:t>
      </w:r>
      <w:r w:rsidRPr="00DD2D90">
        <w:rPr>
          <w:rFonts w:eastAsia="Calibri"/>
          <w:u w:val="single"/>
        </w:rPr>
        <w:t xml:space="preserve"> </w:t>
      </w:r>
      <w:r w:rsidRPr="00DD2D90">
        <w:rPr>
          <w:rFonts w:eastAsia="Calibri"/>
          <w:highlight w:val="green"/>
          <w:u w:val="single"/>
        </w:rPr>
        <w:t xml:space="preserve">correlation between trust and health </w:t>
      </w:r>
      <w:r w:rsidRPr="009278EB">
        <w:rPr>
          <w:sz w:val="16"/>
        </w:rPr>
        <w:t>outcomes (r = 0.24, 95% CI: 0.19–0.29).</w:t>
      </w:r>
      <w:r w:rsidRPr="00DD2D90">
        <w:rPr>
          <w:rFonts w:eastAsia="Calibri"/>
          <w:u w:val="single"/>
        </w:rPr>
        <w:t xml:space="preserve"> </w:t>
      </w:r>
      <w:r w:rsidRPr="00DD2D90">
        <w:rPr>
          <w:rFonts w:eastAsia="Calibri"/>
          <w:highlight w:val="green"/>
          <w:u w:val="single"/>
        </w:rPr>
        <w:t xml:space="preserve">Subgroup analyses revealed </w:t>
      </w:r>
      <w:r w:rsidRPr="00DD2D90">
        <w:rPr>
          <w:rFonts w:eastAsia="Calibri"/>
          <w:u w:val="single"/>
        </w:rPr>
        <w:t xml:space="preserve">a moderate </w:t>
      </w:r>
      <w:r w:rsidRPr="00DD2D90">
        <w:rPr>
          <w:rFonts w:eastAsia="Calibri"/>
          <w:highlight w:val="green"/>
          <w:u w:val="single"/>
        </w:rPr>
        <w:t>correlation between trust and self-rated subjective health outcomes</w:t>
      </w:r>
      <w:r w:rsidRPr="009278EB">
        <w:rPr>
          <w:sz w:val="16"/>
        </w:rPr>
        <w:t xml:space="preserve"> (r = 0.30, 0.24–0.35). </w:t>
      </w:r>
      <w:r w:rsidRPr="00DD2D90">
        <w:rPr>
          <w:rStyle w:val="StyleUnderline"/>
        </w:rPr>
        <w:t xml:space="preserve">Correlations between trust and objective </w:t>
      </w:r>
      <w:r w:rsidRPr="009278EB">
        <w:rPr>
          <w:sz w:val="16"/>
        </w:rPr>
        <w:t>(r = -0.02, -0.08–0.03)</w:t>
      </w:r>
      <w:r w:rsidRPr="00DD2D90">
        <w:rPr>
          <w:rStyle w:val="StyleUnderline"/>
        </w:rPr>
        <w:t xml:space="preserve"> as well as observer-rated outcomes</w:t>
      </w:r>
      <w:r w:rsidRPr="009278EB">
        <w:rPr>
          <w:sz w:val="16"/>
        </w:rPr>
        <w:t xml:space="preserve"> (r = 0.10, -0.16–0.36) </w:t>
      </w:r>
      <w:r w:rsidRPr="00DD2D90">
        <w:rPr>
          <w:rStyle w:val="StyleUnderline"/>
        </w:rPr>
        <w:t>were non-significant.</w:t>
      </w:r>
      <w:r w:rsidRPr="00DD2D90">
        <w:rPr>
          <w:rFonts w:eastAsia="Calibri"/>
          <w:u w:val="single"/>
        </w:rPr>
        <w:t xml:space="preserve"> </w:t>
      </w:r>
      <w:r w:rsidRPr="00DD2D90">
        <w:rPr>
          <w:rFonts w:eastAsia="Calibri"/>
          <w:highlight w:val="green"/>
          <w:u w:val="single"/>
        </w:rPr>
        <w:t xml:space="preserve">Exploratory analyses showed a </w:t>
      </w:r>
      <w:r w:rsidRPr="00DD2D90">
        <w:rPr>
          <w:rFonts w:eastAsia="Calibri"/>
          <w:b/>
          <w:bCs/>
          <w:highlight w:val="green"/>
          <w:u w:val="single"/>
        </w:rPr>
        <w:t>large correlation</w:t>
      </w:r>
      <w:r w:rsidRPr="00DD2D90">
        <w:rPr>
          <w:rFonts w:eastAsia="Calibri"/>
          <w:highlight w:val="green"/>
          <w:u w:val="single"/>
        </w:rPr>
        <w:t xml:space="preserve"> between trust and patient satisfaction</w:t>
      </w:r>
      <w:r w:rsidRPr="00DD2D90">
        <w:rPr>
          <w:rFonts w:eastAsia="Calibri"/>
          <w:u w:val="single"/>
        </w:rPr>
        <w:t xml:space="preserve"> and </w:t>
      </w:r>
      <w:r w:rsidRPr="009278EB">
        <w:rPr>
          <w:sz w:val="16"/>
        </w:rPr>
        <w:t xml:space="preserve">somewhat smaller correlations with </w:t>
      </w:r>
      <w:r w:rsidRPr="00DD2D90">
        <w:rPr>
          <w:rFonts w:eastAsia="Calibri"/>
          <w:u w:val="single"/>
        </w:rPr>
        <w:t xml:space="preserve">health behaviours, quality of life and symptom severity. Heterogeneity was small to moderate across the analyses. </w:t>
      </w:r>
      <w:r w:rsidRPr="009278EB">
        <w:rPr>
          <w:rFonts w:eastAsia="Calibri"/>
          <w:sz w:val="16"/>
        </w:rPr>
        <w:t xml:space="preserve">Conclusions From a clinical perspective, </w:t>
      </w:r>
      <w:r w:rsidRPr="00DD2D90">
        <w:rPr>
          <w:rFonts w:eastAsia="Calibri"/>
          <w:highlight w:val="green"/>
          <w:u w:val="single"/>
        </w:rPr>
        <w:t xml:space="preserve">patients reported more beneficial health behaviours, less symptoms and higher quality of life and to be more satisfied with treatment when they had higher trust in their health care professional. </w:t>
      </w:r>
      <w:r w:rsidRPr="009278EB">
        <w:rPr>
          <w:rFonts w:eastAsia="Calibri"/>
          <w:sz w:val="16"/>
        </w:rPr>
        <w:t xml:space="preserve">There was evidence for upward bias in the summarized results. Prospective studies are required to deepen our understanding of the complex interplay between trust and health outcomes. Introduction </w:t>
      </w:r>
      <w:r w:rsidRPr="00DD2D90">
        <w:rPr>
          <w:rFonts w:eastAsia="Calibri"/>
          <w:highlight w:val="green"/>
          <w:u w:val="single"/>
        </w:rPr>
        <w:t xml:space="preserve">Patients’ trust in their health care professional is </w:t>
      </w:r>
      <w:r w:rsidRPr="00DD2D90">
        <w:rPr>
          <w:rFonts w:eastAsia="Calibri"/>
          <w:b/>
          <w:bCs/>
          <w:highlight w:val="green"/>
          <w:u w:val="single"/>
        </w:rPr>
        <w:t>central</w:t>
      </w:r>
      <w:r w:rsidRPr="00DD2D90">
        <w:rPr>
          <w:rFonts w:eastAsia="Calibri"/>
          <w:highlight w:val="green"/>
          <w:u w:val="single"/>
        </w:rPr>
        <w:t xml:space="preserve"> to clinical practice </w:t>
      </w:r>
      <w:r w:rsidRPr="009278EB">
        <w:rPr>
          <w:rFonts w:eastAsia="Calibri"/>
          <w:sz w:val="16"/>
        </w:rPr>
        <w:t xml:space="preserve">[1, 2]. The General Medical Council states that </w:t>
      </w:r>
      <w:r w:rsidRPr="00DD2D90">
        <w:rPr>
          <w:rStyle w:val="StyleUnderline"/>
        </w:rPr>
        <w:t xml:space="preserve">"(p)atients must be able to trust doctors with their lives </w:t>
      </w:r>
      <w:r w:rsidRPr="009278EB">
        <w:rPr>
          <w:rFonts w:eastAsia="Calibri"/>
          <w:sz w:val="16"/>
        </w:rPr>
        <w:t xml:space="preserve">and health" and that </w:t>
      </w:r>
      <w:r w:rsidRPr="00DD2D90">
        <w:rPr>
          <w:rStyle w:val="StyleUnderline"/>
        </w:rPr>
        <w:t xml:space="preserve">maintaining trust is one </w:t>
      </w:r>
      <w:r w:rsidRPr="00DD2D90">
        <w:rPr>
          <w:rStyle w:val="Emphasis"/>
        </w:rPr>
        <w:t>core guidance</w:t>
      </w:r>
      <w:r w:rsidRPr="00DD2D90">
        <w:rPr>
          <w:rStyle w:val="StyleUnderline"/>
        </w:rPr>
        <w:t xml:space="preserve"> for physicians</w:t>
      </w:r>
      <w:r w:rsidRPr="009278EB">
        <w:rPr>
          <w:rFonts w:eastAsia="Calibri"/>
          <w:sz w:val="16"/>
        </w:rPr>
        <w:t xml:space="preserve"> [3]. Similar obligations are part of codes of conduct for other health care professionals such as nurses [4] or psychotherapists [5]. Patients have to trust their health care professionals to work in their best interest and outcome [6]. In this regard, </w:t>
      </w:r>
      <w:r w:rsidRPr="00DD2D90">
        <w:rPr>
          <w:rStyle w:val="StyleUnderline"/>
          <w:highlight w:val="green"/>
        </w:rPr>
        <w:t>trust</w:t>
      </w:r>
      <w:r w:rsidRPr="00DD2D90">
        <w:rPr>
          <w:rStyle w:val="StyleUnderline"/>
        </w:rPr>
        <w:t xml:space="preserve"> in the health care professional </w:t>
      </w:r>
      <w:r w:rsidRPr="00DD2D90">
        <w:rPr>
          <w:rStyle w:val="StyleUnderline"/>
          <w:highlight w:val="green"/>
        </w:rPr>
        <w:t>has been</w:t>
      </w:r>
      <w:r w:rsidRPr="00DD2D90">
        <w:rPr>
          <w:rStyle w:val="StyleUnderline"/>
        </w:rPr>
        <w:t xml:space="preserve"> suggested to be </w:t>
      </w:r>
      <w:r w:rsidRPr="00DD2D90">
        <w:rPr>
          <w:rStyle w:val="StyleUnderline"/>
          <w:highlight w:val="green"/>
        </w:rPr>
        <w:t xml:space="preserve">the </w:t>
      </w:r>
      <w:r w:rsidRPr="00DD2D90">
        <w:rPr>
          <w:rStyle w:val="Emphasis"/>
          <w:highlight w:val="green"/>
        </w:rPr>
        <w:t>foundation</w:t>
      </w:r>
      <w:r w:rsidRPr="00DD2D90">
        <w:rPr>
          <w:rStyle w:val="StyleUnderline"/>
        </w:rPr>
        <w:t xml:space="preserve"> for effective treatments</w:t>
      </w:r>
      <w:r w:rsidRPr="009278EB">
        <w:rPr>
          <w:rFonts w:eastAsia="Calibri"/>
          <w:sz w:val="16"/>
        </w:rPr>
        <w:t xml:space="preserve"> [7, 8] </w:t>
      </w:r>
      <w:r w:rsidRPr="00DD2D90">
        <w:rPr>
          <w:rStyle w:val="StyleUnderline"/>
          <w:highlight w:val="green"/>
        </w:rPr>
        <w:t>and</w:t>
      </w:r>
      <w:r w:rsidRPr="009278EB">
        <w:rPr>
          <w:rFonts w:eastAsia="Calibri"/>
          <w:sz w:val="16"/>
        </w:rPr>
        <w:t xml:space="preserve"> fundamental for patient-centered care [9]. </w:t>
      </w:r>
      <w:r w:rsidRPr="00DD2D90">
        <w:rPr>
          <w:rStyle w:val="StyleUnderline"/>
        </w:rPr>
        <w:t xml:space="preserve">Besides such </w:t>
      </w:r>
      <w:r w:rsidRPr="00DD2D90">
        <w:rPr>
          <w:rStyle w:val="StyleUnderline"/>
          <w:highlight w:val="green"/>
        </w:rPr>
        <w:t xml:space="preserve">a </w:t>
      </w:r>
      <w:r w:rsidRPr="00DD2D90">
        <w:rPr>
          <w:rStyle w:val="Emphasis"/>
          <w:highlight w:val="green"/>
        </w:rPr>
        <w:t>deontological obligation</w:t>
      </w:r>
      <w:r w:rsidRPr="009278EB">
        <w:rPr>
          <w:rFonts w:eastAsia="Calibri"/>
          <w:sz w:val="16"/>
        </w:rPr>
        <w:t xml:space="preserve"> for trust theoretical models describe mechanisms on how </w:t>
      </w:r>
      <w:r w:rsidRPr="00DD2D90">
        <w:rPr>
          <w:rStyle w:val="StyleUnderline"/>
        </w:rPr>
        <w:t>trust may influence health outcomes</w:t>
      </w:r>
      <w:r w:rsidRPr="009278EB">
        <w:rPr>
          <w:rFonts w:eastAsia="Calibri"/>
          <w:sz w:val="16"/>
        </w:rPr>
        <w:t xml:space="preserve"> [7, 10–12]. Some of those conceptualize trust in the health care provider in relation to the patient-clinician relationship, which has previously been shown to be significantly associated with health outcomes across 13 RCTs [13]. Therefore, the question arises whether trust in the health care professional is as well associated with patients’ health. Empirical evidence regarding this question comes from </w:t>
      </w:r>
      <w:r w:rsidRPr="00DD2D90">
        <w:rPr>
          <w:rStyle w:val="StyleUnderline"/>
        </w:rPr>
        <w:t>a growing number of studies that report correlations between trust measures and patients’</w:t>
      </w:r>
      <w:r w:rsidRPr="009278EB">
        <w:rPr>
          <w:rFonts w:eastAsia="Calibri"/>
          <w:sz w:val="16"/>
        </w:rPr>
        <w:t xml:space="preserve"> health outcome. In the different studies the health outcomes encompass different dimensions, such as objectively measured indicators (e.g. </w:t>
      </w:r>
      <w:r w:rsidRPr="00DD2D90">
        <w:rPr>
          <w:rStyle w:val="StyleUnderline"/>
        </w:rPr>
        <w:t>CD4 cell counts</w:t>
      </w:r>
      <w:r w:rsidRPr="009278EB">
        <w:rPr>
          <w:rFonts w:eastAsia="Calibri"/>
          <w:sz w:val="16"/>
        </w:rPr>
        <w:t xml:space="preserve">) [14], clinical observations (e.g. </w:t>
      </w:r>
      <w:r w:rsidRPr="00DD2D90">
        <w:rPr>
          <w:rStyle w:val="StyleUnderline"/>
        </w:rPr>
        <w:t>clinical diagnoses</w:t>
      </w:r>
      <w:r w:rsidRPr="009278EB">
        <w:rPr>
          <w:rFonts w:eastAsia="Calibri"/>
          <w:sz w:val="16"/>
        </w:rPr>
        <w:t xml:space="preserve">) [15], </w:t>
      </w:r>
      <w:r w:rsidRPr="00DD2D90">
        <w:rPr>
          <w:rStyle w:val="StyleUnderline"/>
        </w:rPr>
        <w:t>and patients’ subjective self-ratings</w:t>
      </w:r>
      <w:r w:rsidRPr="009278EB">
        <w:rPr>
          <w:rFonts w:eastAsia="Calibri"/>
          <w:sz w:val="16"/>
        </w:rPr>
        <w:t xml:space="preserve"> (e.g. patient satisfaction) [16]. The association between trust and health outcome has been found to differ across individual studies. For instance,in a sample of patients with diabetes, trust in the health care professional was found to be positively related to objective and subjective health outcomes (glycemic control, health-related quality of life, and patient satisfaction) [12]. In contrast, there was no significant association between trust in the health care professional and subjective outcomes (blood pressure control) in patients with hypertension [17]. In the absence of a systematic and comprehensive summary of the available evidence the variation in the observed health outcomes and in disorders complicates conclusions regarding the association between trust and health. The empirical confirmation of the assumed association between trust and health outcome would strengthen the—so far—ethically derived claims for trustful and patient-centered relationships in clinical settings [2, 18, 19]. Therefore, a comprehensive and differentiated summary of the available evidence is needed. We conducted a systematic review with meta-analysis of observational studies in order to (1) estimate the overall association between trust and health outcome and to (2) investigate whether the strength of such an association depends on the type of health outcome. We controlled for a potential impact of study methodology and design on the association between trust and health outcome. Methods</w:t>
      </w:r>
    </w:p>
    <w:p w14:paraId="7425E2EB" w14:textId="77777777" w:rsidR="00EA6776" w:rsidRPr="009278EB" w:rsidRDefault="00EA6776">
      <w:pPr>
        <w:rPr>
          <w:rFonts w:eastAsiaTheme="majorEastAsia" w:cstheme="majorBidi"/>
          <w:b/>
          <w:iCs/>
          <w:sz w:val="16"/>
        </w:rPr>
      </w:pPr>
      <w:r w:rsidRPr="009278EB">
        <w:rPr>
          <w:sz w:val="16"/>
        </w:rPr>
        <w:br w:type="page"/>
      </w:r>
    </w:p>
    <w:p w14:paraId="20A5F665" w14:textId="77777777" w:rsidR="00EA6776" w:rsidRPr="009278EB" w:rsidRDefault="00EA6776" w:rsidP="00EA6776">
      <w:pPr>
        <w:pStyle w:val="Heading4"/>
        <w:rPr>
          <w:szCs w:val="26"/>
        </w:rPr>
      </w:pPr>
      <w:r w:rsidRPr="009278EB">
        <w:rPr>
          <w:szCs w:val="26"/>
        </w:rPr>
        <w:t>Err aff – even if neg arguments seem true in the abstract, stats prove US healthcare is comparatively much worse</w:t>
      </w:r>
    </w:p>
    <w:p w14:paraId="19EA4E3F" w14:textId="77777777" w:rsidR="00EA6776" w:rsidRPr="00DD2D90" w:rsidRDefault="00EA6776" w:rsidP="00EA6776">
      <w:pPr>
        <w:rPr>
          <w:lang w:val="vi-VN"/>
        </w:rPr>
      </w:pPr>
      <w:r w:rsidRPr="009278EB">
        <w:rPr>
          <w:b/>
          <w:bCs/>
          <w:sz w:val="26"/>
          <w:szCs w:val="26"/>
          <w:lang w:val="vi-VN"/>
        </w:rPr>
        <w:t>Steinzor 24</w:t>
      </w:r>
      <w:r w:rsidRPr="00DD2D90">
        <w:rPr>
          <w:b/>
          <w:bCs/>
          <w:lang w:val="vi-VN"/>
        </w:rPr>
        <w:t xml:space="preserve"> </w:t>
      </w:r>
      <w:r w:rsidRPr="00DD2D90">
        <w:rPr>
          <w:lang w:val="vi-VN"/>
        </w:rPr>
        <w:t xml:space="preserve">[Pearl </w:t>
      </w:r>
      <w:r w:rsidRPr="00DD2D90">
        <w:t>Steinzor, Assistant Editor for the American Journal of Managed Care provides, insights into the</w:t>
      </w:r>
      <w:r w:rsidRPr="00DD2D90">
        <w:rPr>
          <w:lang w:val="vi-VN"/>
        </w:rPr>
        <w:t xml:space="preserve"> latest news and research in managed care across multimedia, 09</w:t>
      </w:r>
      <w:r w:rsidRPr="00DD2D90">
        <w:t>-</w:t>
      </w:r>
      <w:r w:rsidRPr="00DD2D90">
        <w:rPr>
          <w:lang w:val="vi-VN"/>
        </w:rPr>
        <w:t>19</w:t>
      </w:r>
      <w:r w:rsidRPr="00DD2D90">
        <w:t>-</w:t>
      </w:r>
      <w:r w:rsidRPr="00DD2D90">
        <w:rPr>
          <w:lang w:val="vi-VN"/>
        </w:rPr>
        <w:t>2024, “</w:t>
      </w:r>
      <w:r w:rsidRPr="00DD2D90">
        <w:rPr>
          <w:rStyle w:val="StyleUnderline"/>
        </w:rPr>
        <w:t>US Health Care System Ranks Last Overall Among Other High-Income Countries,</w:t>
      </w:r>
      <w:r w:rsidRPr="00DD2D90">
        <w:rPr>
          <w:lang w:val="vi-VN"/>
        </w:rPr>
        <w:t>” The American Journal of Managed Care,</w:t>
      </w:r>
      <w:r w:rsidRPr="00DD2D90">
        <w:t xml:space="preserve"> </w:t>
      </w:r>
      <w:r w:rsidRPr="00DD2D90">
        <w:rPr>
          <w:lang w:val="vi-VN"/>
        </w:rPr>
        <w:t>https://www.ajmc.com/view/us-health-care-system-ranks-last-overall-among-other-high-income-countries]</w:t>
      </w:r>
      <w:r w:rsidRPr="00DD2D90">
        <w:t>/</w:t>
      </w:r>
      <w:r w:rsidRPr="00DD2D90">
        <w:rPr>
          <w:lang w:val="vi-VN"/>
        </w:rPr>
        <w:t>Kankee</w:t>
      </w:r>
    </w:p>
    <w:p w14:paraId="4CC87A49" w14:textId="77777777" w:rsidR="00EA6776" w:rsidRPr="009278EB" w:rsidRDefault="00EA6776" w:rsidP="00EA6776">
      <w:pPr>
        <w:rPr>
          <w:sz w:val="16"/>
        </w:rPr>
      </w:pPr>
      <w:r w:rsidRPr="009278EB">
        <w:rPr>
          <w:sz w:val="16"/>
          <w:lang w:val="vi-VN"/>
        </w:rPr>
        <w:t xml:space="preserve">The </w:t>
      </w:r>
      <w:r w:rsidRPr="00DD2D90">
        <w:rPr>
          <w:rStyle w:val="Emphasis"/>
          <w:b w:val="0"/>
          <w:bCs/>
          <w:highlight w:val="green"/>
        </w:rPr>
        <w:t xml:space="preserve">US health care </w:t>
      </w:r>
      <w:r w:rsidRPr="00DD2D90">
        <w:rPr>
          <w:rStyle w:val="Emphasis"/>
          <w:b w:val="0"/>
          <w:bCs/>
        </w:rPr>
        <w:t>system</w:t>
      </w:r>
      <w:r w:rsidRPr="00DD2D90">
        <w:rPr>
          <w:rStyle w:val="Emphasis"/>
        </w:rPr>
        <w:t xml:space="preserve"> </w:t>
      </w:r>
      <w:r w:rsidRPr="00DD2D90">
        <w:rPr>
          <w:rStyle w:val="StyleUnderline"/>
          <w:highlight w:val="green"/>
        </w:rPr>
        <w:t xml:space="preserve">is </w:t>
      </w:r>
      <w:r w:rsidRPr="00DD2D90">
        <w:rPr>
          <w:rStyle w:val="Emphasis"/>
          <w:highlight w:val="green"/>
        </w:rPr>
        <w:t>underperforming</w:t>
      </w:r>
      <w:r w:rsidRPr="00DD2D90">
        <w:rPr>
          <w:rStyle w:val="StyleUnderline"/>
        </w:rPr>
        <w:t xml:space="preserve"> despite high spending</w:t>
      </w:r>
      <w:r w:rsidRPr="009278EB">
        <w:rPr>
          <w:sz w:val="16"/>
          <w:lang w:val="vi-VN"/>
        </w:rPr>
        <w:t xml:space="preserve">, and </w:t>
      </w:r>
      <w:r w:rsidRPr="00DD2D90">
        <w:rPr>
          <w:rStyle w:val="Emphasis"/>
          <w:b w:val="0"/>
          <w:bCs/>
        </w:rPr>
        <w:t>reform is</w:t>
      </w:r>
      <w:r w:rsidRPr="00DD2D90">
        <w:rPr>
          <w:rStyle w:val="Emphasis"/>
        </w:rPr>
        <w:t xml:space="preserve"> </w:t>
      </w:r>
      <w:r w:rsidRPr="00DD2D90">
        <w:rPr>
          <w:rStyle w:val="StyleUnderline"/>
        </w:rPr>
        <w:t>needed in areas like insurance coverage, primary care, and equity</w:t>
      </w:r>
      <w:r w:rsidRPr="00DD2D90">
        <w:rPr>
          <w:rStyle w:val="StyleUnderline"/>
          <w:bCs/>
        </w:rPr>
        <w:t xml:space="preserve"> </w:t>
      </w:r>
      <w:r w:rsidRPr="00DD2D90">
        <w:rPr>
          <w:rStyle w:val="Emphasis"/>
          <w:b w:val="0"/>
        </w:rPr>
        <w:t>to improve overall health outcomes and efficiency</w:t>
      </w:r>
      <w:r w:rsidRPr="009278EB">
        <w:rPr>
          <w:sz w:val="16"/>
          <w:lang w:val="vi-VN"/>
        </w:rPr>
        <w:t xml:space="preserve">. </w:t>
      </w:r>
      <w:r w:rsidRPr="00DD2D90">
        <w:rPr>
          <w:rStyle w:val="StyleUnderline"/>
          <w:highlight w:val="green"/>
        </w:rPr>
        <w:t>The</w:t>
      </w:r>
      <w:r w:rsidRPr="009278EB">
        <w:rPr>
          <w:sz w:val="16"/>
          <w:highlight w:val="green"/>
          <w:lang w:val="vi-VN"/>
        </w:rPr>
        <w:t xml:space="preserve"> </w:t>
      </w:r>
      <w:r w:rsidRPr="00DD2D90">
        <w:rPr>
          <w:rStyle w:val="Emphasis"/>
          <w:b w:val="0"/>
          <w:bCs/>
          <w:highlight w:val="green"/>
        </w:rPr>
        <w:t>US</w:t>
      </w:r>
      <w:r w:rsidRPr="00DD2D90">
        <w:rPr>
          <w:rStyle w:val="Emphasis"/>
          <w:b w:val="0"/>
          <w:bCs/>
        </w:rPr>
        <w:t xml:space="preserve"> health care system </w:t>
      </w:r>
      <w:r w:rsidRPr="00DD2D90">
        <w:rPr>
          <w:rStyle w:val="Emphasis"/>
          <w:b w:val="0"/>
          <w:bCs/>
          <w:highlight w:val="green"/>
        </w:rPr>
        <w:t xml:space="preserve">ranked </w:t>
      </w:r>
      <w:r w:rsidRPr="00DD2D90">
        <w:rPr>
          <w:rStyle w:val="Emphasis"/>
          <w:highlight w:val="green"/>
        </w:rPr>
        <w:t>last</w:t>
      </w:r>
      <w:r w:rsidRPr="00DD2D90">
        <w:rPr>
          <w:rStyle w:val="Emphasis"/>
          <w:b w:val="0"/>
          <w:bCs/>
          <w:highlight w:val="green"/>
        </w:rPr>
        <w:t xml:space="preserve"> </w:t>
      </w:r>
      <w:r w:rsidRPr="00DD2D90">
        <w:rPr>
          <w:rStyle w:val="StyleUnderline"/>
        </w:rPr>
        <w:t xml:space="preserve">overall </w:t>
      </w:r>
      <w:r w:rsidRPr="00DD2D90">
        <w:rPr>
          <w:rStyle w:val="StyleUnderline"/>
          <w:highlight w:val="green"/>
        </w:rPr>
        <w:t>among</w:t>
      </w:r>
      <w:r w:rsidRPr="00DD2D90">
        <w:rPr>
          <w:rStyle w:val="StyleUnderline"/>
        </w:rPr>
        <w:t xml:space="preserve"> 10 other </w:t>
      </w:r>
      <w:r w:rsidRPr="00DD2D90">
        <w:rPr>
          <w:rStyle w:val="StyleUnderline"/>
          <w:highlight w:val="green"/>
        </w:rPr>
        <w:t>high-income countries</w:t>
      </w:r>
      <w:r w:rsidRPr="009278EB">
        <w:rPr>
          <w:sz w:val="16"/>
          <w:lang w:val="vi-VN"/>
        </w:rPr>
        <w:t xml:space="preserve"> </w:t>
      </w:r>
      <w:r w:rsidRPr="00DD2D90">
        <w:rPr>
          <w:rStyle w:val="StyleUnderline"/>
          <w:highlight w:val="green"/>
        </w:rPr>
        <w:t>on key</w:t>
      </w:r>
      <w:r w:rsidRPr="009278EB">
        <w:rPr>
          <w:sz w:val="16"/>
          <w:lang w:val="vi-VN"/>
        </w:rPr>
        <w:t xml:space="preserve"> </w:t>
      </w:r>
      <w:r w:rsidRPr="00DD2D90">
        <w:rPr>
          <w:rStyle w:val="Emphasis"/>
          <w:b w:val="0"/>
          <w:bCs/>
          <w:highlight w:val="green"/>
        </w:rPr>
        <w:t>issues</w:t>
      </w:r>
      <w:r w:rsidRPr="00DD2D90">
        <w:rPr>
          <w:rStyle w:val="Emphasis"/>
          <w:b w:val="0"/>
          <w:bCs/>
        </w:rPr>
        <w:t xml:space="preserve"> such </w:t>
      </w:r>
      <w:r w:rsidRPr="00DD2D90">
        <w:rPr>
          <w:rStyle w:val="Emphasis"/>
          <w:b w:val="0"/>
          <w:bCs/>
          <w:highlight w:val="green"/>
        </w:rPr>
        <w:t>as equity, access to care, and outcome measures</w:t>
      </w:r>
      <w:r w:rsidRPr="009278EB">
        <w:rPr>
          <w:sz w:val="16"/>
          <w:lang w:val="vi-VN"/>
        </w:rPr>
        <w:t>, according to a new report, Mirror, Mirror 2024: A Portrait of the Failing US Health System, by The Commonwealth Fund.1 “</w:t>
      </w:r>
      <w:r w:rsidRPr="00DD2D90">
        <w:rPr>
          <w:rStyle w:val="Emphasis"/>
          <w:b w:val="0"/>
          <w:bCs/>
        </w:rPr>
        <w:t xml:space="preserve">The US is </w:t>
      </w:r>
      <w:r w:rsidRPr="00DD2D90">
        <w:rPr>
          <w:rStyle w:val="Emphasis"/>
          <w:highlight w:val="green"/>
        </w:rPr>
        <w:t>failing</w:t>
      </w:r>
      <w:r w:rsidRPr="00DD2D90">
        <w:rPr>
          <w:rStyle w:val="Emphasis"/>
          <w:b w:val="0"/>
          <w:bCs/>
          <w:highlight w:val="green"/>
        </w:rPr>
        <w:t xml:space="preserve"> one of its principal obligations</w:t>
      </w:r>
      <w:r w:rsidRPr="00DD2D90">
        <w:rPr>
          <w:rStyle w:val="Emphasis"/>
          <w:b w:val="0"/>
          <w:bCs/>
        </w:rPr>
        <w:t xml:space="preserve"> as a nation</w:t>
      </w:r>
      <w:r w:rsidRPr="009278EB">
        <w:rPr>
          <w:sz w:val="16"/>
          <w:lang w:val="vi-VN"/>
        </w:rPr>
        <w:t xml:space="preserve">: </w:t>
      </w:r>
      <w:r w:rsidRPr="00DD2D90">
        <w:rPr>
          <w:rStyle w:val="StyleUnderline"/>
          <w:highlight w:val="green"/>
        </w:rPr>
        <w:t>to protect the</w:t>
      </w:r>
      <w:r w:rsidRPr="00DD2D90">
        <w:rPr>
          <w:rStyle w:val="StyleUnderline"/>
        </w:rPr>
        <w:t xml:space="preserve"> </w:t>
      </w:r>
      <w:r w:rsidRPr="00DD2D90">
        <w:rPr>
          <w:rStyle w:val="StyleUnderline"/>
          <w:highlight w:val="green"/>
        </w:rPr>
        <w:t>health</w:t>
      </w:r>
      <w:r w:rsidRPr="00DD2D90">
        <w:rPr>
          <w:rStyle w:val="StyleUnderline"/>
        </w:rPr>
        <w:t xml:space="preserve"> and welfare </w:t>
      </w:r>
      <w:r w:rsidRPr="00DD2D90">
        <w:rPr>
          <w:rStyle w:val="StyleUnderline"/>
          <w:highlight w:val="green"/>
        </w:rPr>
        <w:t>of its people</w:t>
      </w:r>
      <w:r w:rsidRPr="009278EB">
        <w:rPr>
          <w:sz w:val="16"/>
          <w:lang w:val="vi-VN"/>
        </w:rPr>
        <w:t>,” said Joseph Betancourt, MD, president of The Commonwealth Fund, in a statement.2 “The status quo—</w:t>
      </w:r>
      <w:r w:rsidRPr="00DD2D90">
        <w:rPr>
          <w:rStyle w:val="Emphasis"/>
          <w:b w:val="0"/>
          <w:bCs/>
        </w:rPr>
        <w:t xml:space="preserve">continually </w:t>
      </w:r>
      <w:r w:rsidRPr="00DD2D90">
        <w:rPr>
          <w:rStyle w:val="Emphasis"/>
          <w:b w:val="0"/>
          <w:bCs/>
          <w:highlight w:val="green"/>
        </w:rPr>
        <w:t>spending</w:t>
      </w:r>
      <w:r w:rsidRPr="00DD2D90">
        <w:rPr>
          <w:rStyle w:val="Emphasis"/>
        </w:rPr>
        <w:t xml:space="preserve"> </w:t>
      </w:r>
      <w:r w:rsidRPr="00DD2D90">
        <w:rPr>
          <w:rStyle w:val="StyleUnderline"/>
          <w:highlight w:val="green"/>
        </w:rPr>
        <w:t>the most and getting the least</w:t>
      </w:r>
      <w:r w:rsidRPr="00DD2D90">
        <w:rPr>
          <w:rStyle w:val="StyleUnderline"/>
        </w:rPr>
        <w:t xml:space="preserve"> for our health care dollars</w:t>
      </w:r>
      <w:r w:rsidRPr="009278EB">
        <w:rPr>
          <w:sz w:val="16"/>
          <w:lang w:val="vi-VN"/>
        </w:rPr>
        <w:t>—</w:t>
      </w:r>
      <w:r w:rsidRPr="00DD2D90">
        <w:rPr>
          <w:rStyle w:val="Emphasis"/>
          <w:b w:val="0"/>
          <w:bCs/>
          <w:highlight w:val="green"/>
        </w:rPr>
        <w:t xml:space="preserve">is </w:t>
      </w:r>
      <w:r w:rsidRPr="00DD2D90">
        <w:rPr>
          <w:rStyle w:val="Emphasis"/>
          <w:highlight w:val="green"/>
        </w:rPr>
        <w:t>not sustainable</w:t>
      </w:r>
      <w:r w:rsidRPr="009278EB">
        <w:rPr>
          <w:sz w:val="16"/>
          <w:lang w:val="vi-VN"/>
        </w:rPr>
        <w:t xml:space="preserve">. </w:t>
      </w:r>
      <w:r w:rsidRPr="00DD2D90">
        <w:rPr>
          <w:rStyle w:val="StyleUnderline"/>
        </w:rPr>
        <w:t>It isn’t about lack of resources—</w:t>
      </w:r>
      <w:r w:rsidRPr="00DD2D90">
        <w:rPr>
          <w:rStyle w:val="Emphasis"/>
          <w:b w:val="0"/>
          <w:bCs/>
        </w:rPr>
        <w:t>it’s clearly about how they are being spent</w:t>
      </w:r>
      <w:r w:rsidRPr="009278EB">
        <w:rPr>
          <w:sz w:val="16"/>
          <w:lang w:val="vi-VN"/>
        </w:rPr>
        <w:t xml:space="preserve">. </w:t>
      </w:r>
      <w:r w:rsidRPr="00DD2D90">
        <w:rPr>
          <w:rStyle w:val="StyleUnderline"/>
          <w:highlight w:val="green"/>
        </w:rPr>
        <w:t>Too</w:t>
      </w:r>
      <w:r w:rsidRPr="009278EB">
        <w:rPr>
          <w:sz w:val="16"/>
          <w:lang w:val="vi-VN"/>
        </w:rPr>
        <w:t xml:space="preserve"> </w:t>
      </w:r>
      <w:r w:rsidRPr="00DD2D90">
        <w:rPr>
          <w:rStyle w:val="Emphasis"/>
          <w:b w:val="0"/>
          <w:bCs/>
          <w:highlight w:val="green"/>
        </w:rPr>
        <w:t>many</w:t>
      </w:r>
      <w:r w:rsidRPr="00DD2D90">
        <w:rPr>
          <w:rStyle w:val="Emphasis"/>
          <w:b w:val="0"/>
          <w:bCs/>
        </w:rPr>
        <w:t xml:space="preserve"> </w:t>
      </w:r>
      <w:r w:rsidRPr="00DD2D90">
        <w:rPr>
          <w:rStyle w:val="Emphasis"/>
          <w:b w:val="0"/>
          <w:bCs/>
          <w:highlight w:val="green"/>
        </w:rPr>
        <w:t>Americans are living shorter, sicker lives</w:t>
      </w:r>
      <w:r w:rsidRPr="00DD2D90">
        <w:rPr>
          <w:rStyle w:val="Emphasis"/>
          <w:b w:val="0"/>
          <w:bCs/>
        </w:rPr>
        <w:t xml:space="preserve"> because of this failure.</w:t>
      </w:r>
      <w:r w:rsidRPr="00DD2D90">
        <w:rPr>
          <w:rStyle w:val="StyleUnderline"/>
        </w:rPr>
        <w:t xml:space="preserve"> We need to build a health system that is affordable and that works for everyone</w:t>
      </w:r>
      <w:r w:rsidRPr="00DD2D90">
        <w:rPr>
          <w:rStyle w:val="Emphasis"/>
        </w:rPr>
        <w:t xml:space="preserve">. </w:t>
      </w:r>
      <w:r w:rsidRPr="00DD2D90">
        <w:rPr>
          <w:rStyle w:val="Emphasis"/>
          <w:b w:val="0"/>
          <w:bCs/>
        </w:rPr>
        <w:t>It’s past time that we step up to this challenge</w:t>
      </w:r>
      <w:r w:rsidRPr="009278EB">
        <w:rPr>
          <w:sz w:val="16"/>
          <w:lang w:val="vi-VN"/>
        </w:rPr>
        <w:t>.” In this report, an analysis of 70 health system performance measures was conducted across 5 areas: access to care, care process, administrative efficiency, equity, and health outcomes. The report covered 10 countries: Australia, Canada, France, Germany, the Netherlands, New Zealand, Sweden, Switzerland, the United Kingdom, and the US.1 The study relied on unique data collected from international surveys that The Commonwealth Fund conducts in collaboration with participating countries. The study also included data from cross-national organizations, as well as national data registries and research literature.</w:t>
      </w:r>
      <w:r w:rsidRPr="009278EB">
        <w:rPr>
          <w:sz w:val="16"/>
        </w:rPr>
        <w:t xml:space="preserve"> US Health Care System Rankings </w:t>
      </w:r>
      <w:r w:rsidRPr="00DD2D90">
        <w:rPr>
          <w:rStyle w:val="StyleUnderline"/>
        </w:rPr>
        <w:t xml:space="preserve">The US ranked 10th overall in health system performance, </w:t>
      </w:r>
      <w:r w:rsidRPr="00DD2D90">
        <w:rPr>
          <w:rStyle w:val="Emphasis"/>
        </w:rPr>
        <w:t>significantly</w:t>
      </w:r>
      <w:r w:rsidRPr="00DD2D90">
        <w:rPr>
          <w:rStyle w:val="StyleUnderline"/>
        </w:rPr>
        <w:t xml:space="preserve"> lagging behind Australia</w:t>
      </w:r>
      <w:r w:rsidRPr="009278EB">
        <w:rPr>
          <w:sz w:val="16"/>
        </w:rPr>
        <w:t xml:space="preserve">, the Netherlands, and the United Kingdom, which were the top performers. </w:t>
      </w:r>
      <w:r w:rsidRPr="00DD2D90">
        <w:rPr>
          <w:rStyle w:val="StyleUnderline"/>
          <w:highlight w:val="green"/>
        </w:rPr>
        <w:t>Access to care</w:t>
      </w:r>
      <w:r w:rsidRPr="00DD2D90">
        <w:rPr>
          <w:rStyle w:val="StyleUnderline"/>
        </w:rPr>
        <w:t xml:space="preserve"> </w:t>
      </w:r>
      <w:r w:rsidRPr="00DD2D90">
        <w:rPr>
          <w:rStyle w:val="StyleUnderline"/>
          <w:highlight w:val="green"/>
        </w:rPr>
        <w:t>was</w:t>
      </w:r>
      <w:r w:rsidRPr="00DD2D90">
        <w:rPr>
          <w:rStyle w:val="StyleUnderline"/>
        </w:rPr>
        <w:t xml:space="preserve"> the US’ </w:t>
      </w:r>
      <w:r w:rsidRPr="00DD2D90">
        <w:rPr>
          <w:rStyle w:val="Emphasis"/>
          <w:highlight w:val="green"/>
        </w:rPr>
        <w:t>weakest</w:t>
      </w:r>
      <w:r w:rsidRPr="00DD2D90">
        <w:rPr>
          <w:rStyle w:val="StyleUnderline"/>
        </w:rPr>
        <w:t xml:space="preserve"> area, with the country placing </w:t>
      </w:r>
      <w:r w:rsidRPr="00DD2D90">
        <w:rPr>
          <w:rStyle w:val="Emphasis"/>
        </w:rPr>
        <w:t>last</w:t>
      </w:r>
      <w:r w:rsidRPr="00DD2D90">
        <w:rPr>
          <w:rStyle w:val="StyleUnderline"/>
        </w:rPr>
        <w:t xml:space="preserve"> </w:t>
      </w:r>
      <w:r w:rsidRPr="00DD2D90">
        <w:rPr>
          <w:rStyle w:val="StyleUnderline"/>
          <w:highlight w:val="green"/>
        </w:rPr>
        <w:t>due to</w:t>
      </w:r>
      <w:r w:rsidRPr="00DD2D90">
        <w:rPr>
          <w:rStyle w:val="StyleUnderline"/>
        </w:rPr>
        <w:t xml:space="preserve"> issues like </w:t>
      </w:r>
      <w:r w:rsidRPr="00DD2D90">
        <w:rPr>
          <w:rStyle w:val="StyleUnderline"/>
          <w:highlight w:val="green"/>
        </w:rPr>
        <w:t>high</w:t>
      </w:r>
      <w:r w:rsidRPr="00DD2D90">
        <w:rPr>
          <w:rStyle w:val="StyleUnderline"/>
        </w:rPr>
        <w:t xml:space="preserve"> </w:t>
      </w:r>
      <w:r w:rsidRPr="00DD2D90">
        <w:rPr>
          <w:rStyle w:val="StyleUnderline"/>
          <w:highlight w:val="green"/>
        </w:rPr>
        <w:t>o</w:t>
      </w:r>
      <w:r w:rsidRPr="00DD2D90">
        <w:rPr>
          <w:rStyle w:val="StyleUnderline"/>
        </w:rPr>
        <w:t>ut-</w:t>
      </w:r>
      <w:r w:rsidRPr="00DD2D90">
        <w:rPr>
          <w:rStyle w:val="StyleUnderline"/>
          <w:highlight w:val="green"/>
        </w:rPr>
        <w:t>o</w:t>
      </w:r>
      <w:r w:rsidRPr="00DD2D90">
        <w:rPr>
          <w:rStyle w:val="StyleUnderline"/>
        </w:rPr>
        <w:t>f-</w:t>
      </w:r>
      <w:r w:rsidRPr="00DD2D90">
        <w:rPr>
          <w:rStyle w:val="StyleUnderline"/>
          <w:highlight w:val="green"/>
        </w:rPr>
        <w:t>p</w:t>
      </w:r>
      <w:r w:rsidRPr="00DD2D90">
        <w:rPr>
          <w:rStyle w:val="StyleUnderline"/>
        </w:rPr>
        <w:t xml:space="preserve">ocket </w:t>
      </w:r>
      <w:r w:rsidRPr="00DD2D90">
        <w:rPr>
          <w:rStyle w:val="StyleUnderline"/>
          <w:highlight w:val="green"/>
        </w:rPr>
        <w:t>costs</w:t>
      </w:r>
      <w:r w:rsidRPr="00DD2D90">
        <w:rPr>
          <w:rStyle w:val="StyleUnderline"/>
        </w:rPr>
        <w:t xml:space="preserve"> </w:t>
      </w:r>
      <w:r w:rsidRPr="00DD2D90">
        <w:rPr>
          <w:rStyle w:val="StyleUnderline"/>
          <w:highlight w:val="green"/>
        </w:rPr>
        <w:t>and</w:t>
      </w:r>
      <w:r w:rsidRPr="00DD2D90">
        <w:rPr>
          <w:rStyle w:val="StyleUnderline"/>
        </w:rPr>
        <w:t xml:space="preserve"> its </w:t>
      </w:r>
      <w:r w:rsidRPr="00DD2D90">
        <w:rPr>
          <w:rStyle w:val="Emphasis"/>
          <w:highlight w:val="green"/>
        </w:rPr>
        <w:t>26 million</w:t>
      </w:r>
      <w:r w:rsidRPr="00DD2D90">
        <w:rPr>
          <w:rStyle w:val="StyleUnderline"/>
          <w:highlight w:val="green"/>
        </w:rPr>
        <w:t xml:space="preserve"> uninsured</w:t>
      </w:r>
      <w:r w:rsidRPr="00DD2D90">
        <w:rPr>
          <w:rStyle w:val="StyleUnderline"/>
        </w:rPr>
        <w:t xml:space="preserve"> individuals</w:t>
      </w:r>
      <w:r w:rsidRPr="009278EB">
        <w:rPr>
          <w:sz w:val="16"/>
        </w:rPr>
        <w:t xml:space="preserve">. In contrast, </w:t>
      </w:r>
      <w:r w:rsidRPr="00DD2D90">
        <w:rPr>
          <w:rStyle w:val="StyleUnderline"/>
          <w:highlight w:val="green"/>
        </w:rPr>
        <w:t>countries</w:t>
      </w:r>
      <w:r w:rsidRPr="00DD2D90">
        <w:rPr>
          <w:rStyle w:val="StyleUnderline"/>
        </w:rPr>
        <w:t xml:space="preserve"> like the Netherlands and Germany </w:t>
      </w:r>
      <w:r w:rsidRPr="00DD2D90">
        <w:rPr>
          <w:rStyle w:val="StyleUnderline"/>
          <w:highlight w:val="green"/>
        </w:rPr>
        <w:t>excelled due to universal coverage</w:t>
      </w:r>
      <w:r w:rsidRPr="00DD2D90">
        <w:rPr>
          <w:rStyle w:val="StyleUnderline"/>
        </w:rPr>
        <w:t xml:space="preserve"> and affordable care</w:t>
      </w:r>
      <w:r w:rsidRPr="009278EB">
        <w:rPr>
          <w:sz w:val="16"/>
        </w:rPr>
        <w:t xml:space="preserve">. In the care process category, the US ranked second, due to its focus on preventive care and patient safety, including initiatives like Medicare's pay-for-performance programs. However, </w:t>
      </w:r>
      <w:r w:rsidRPr="00DD2D90">
        <w:rPr>
          <w:rStyle w:val="StyleUnderline"/>
        </w:rPr>
        <w:t>administrative efficiency was</w:t>
      </w:r>
      <w:r w:rsidRPr="009278EB">
        <w:rPr>
          <w:sz w:val="16"/>
        </w:rPr>
        <w:t xml:space="preserve"> </w:t>
      </w:r>
      <w:r w:rsidRPr="00DD2D90">
        <w:rPr>
          <w:rStyle w:val="StyleUnderline"/>
        </w:rPr>
        <w:t>an</w:t>
      </w:r>
      <w:r w:rsidRPr="009278EB">
        <w:rPr>
          <w:sz w:val="16"/>
        </w:rPr>
        <w:t xml:space="preserve">other </w:t>
      </w:r>
      <w:r w:rsidRPr="00DD2D90">
        <w:rPr>
          <w:rStyle w:val="StyleUnderline"/>
        </w:rPr>
        <w:t xml:space="preserve">area of weakness, with the US ranking </w:t>
      </w:r>
      <w:r w:rsidRPr="00DD2D90">
        <w:rPr>
          <w:rStyle w:val="Emphasis"/>
        </w:rPr>
        <w:t>ninth</w:t>
      </w:r>
      <w:r w:rsidRPr="00DD2D90">
        <w:rPr>
          <w:rStyle w:val="StyleUnderline"/>
        </w:rPr>
        <w:t>, largely due to the complexity of its insurance system, which burdens both providers and patients with denials and appeals</w:t>
      </w:r>
      <w:r w:rsidRPr="009278EB">
        <w:rPr>
          <w:sz w:val="16"/>
        </w:rPr>
        <w:t xml:space="preserve">. When asked in a media briefing about how value-based care models could help address some of the burdens in the US health care system, Reginald D. Williams II, vice president of The Commonwealth Fund, told The American Journal of Managed Care®, “I think that's where the opportunity is, to think about the use of how technology can potentially support the care of the administrative efficiency around payments.” </w:t>
      </w:r>
      <w:r w:rsidRPr="00DD2D90">
        <w:rPr>
          <w:rStyle w:val="StyleUnderline"/>
        </w:rPr>
        <w:t xml:space="preserve">Equity was also poor, with the US placing </w:t>
      </w:r>
      <w:r w:rsidRPr="00DD2D90">
        <w:rPr>
          <w:rStyle w:val="Emphasis"/>
        </w:rPr>
        <w:t>ninth</w:t>
      </w:r>
      <w:r w:rsidRPr="00DD2D90">
        <w:rPr>
          <w:rStyle w:val="StyleUnderline"/>
        </w:rPr>
        <w:t xml:space="preserve"> due to significant disparities in care access and reports of racial and ethnic discrimination</w:t>
      </w:r>
      <w:r w:rsidRPr="009278EB">
        <w:rPr>
          <w:sz w:val="16"/>
        </w:rPr>
        <w:t>. Lastly, in health outcomes, the US ranked 10th, with the highest rates of preventable deaths and a lower-than-average life expectancy, further exacerbated by the opioid crisis and gun violence. Ways to Improve</w:t>
      </w:r>
    </w:p>
    <w:p w14:paraId="42083396" w14:textId="77777777" w:rsidR="00EA6776" w:rsidRPr="009278EB" w:rsidRDefault="00EA6776" w:rsidP="00EA6776">
      <w:pPr>
        <w:rPr>
          <w:rFonts w:eastAsiaTheme="majorEastAsia" w:cstheme="majorBidi"/>
          <w:b/>
          <w:iCs/>
          <w:sz w:val="16"/>
        </w:rPr>
      </w:pPr>
      <w:r w:rsidRPr="009278EB">
        <w:rPr>
          <w:sz w:val="16"/>
        </w:rPr>
        <w:br w:type="page"/>
      </w:r>
    </w:p>
    <w:p w14:paraId="21FD761C" w14:textId="3ECA5B85" w:rsidR="00503789" w:rsidRPr="009278EB" w:rsidRDefault="00503789" w:rsidP="00503789">
      <w:pPr>
        <w:pStyle w:val="Heading4"/>
        <w:rPr>
          <w:szCs w:val="26"/>
        </w:rPr>
      </w:pPr>
      <w:r w:rsidRPr="009278EB">
        <w:rPr>
          <w:szCs w:val="26"/>
        </w:rPr>
        <w:t>Privatization reduces</w:t>
      </w:r>
      <w:r w:rsidRPr="009278EB">
        <w:rPr>
          <w:szCs w:val="26"/>
          <w:lang w:val="vi-VN"/>
        </w:rPr>
        <w:t xml:space="preserve"> hospital </w:t>
      </w:r>
      <w:r w:rsidRPr="009278EB">
        <w:rPr>
          <w:szCs w:val="26"/>
        </w:rPr>
        <w:t xml:space="preserve">infrastructure and </w:t>
      </w:r>
      <w:r w:rsidR="007E1FBD" w:rsidRPr="009278EB">
        <w:rPr>
          <w:szCs w:val="26"/>
        </w:rPr>
        <w:t xml:space="preserve">total </w:t>
      </w:r>
      <w:r w:rsidRPr="009278EB">
        <w:rPr>
          <w:szCs w:val="26"/>
        </w:rPr>
        <w:t>patients served</w:t>
      </w:r>
    </w:p>
    <w:p w14:paraId="13A8D46F" w14:textId="12CE66D7" w:rsidR="00503789" w:rsidRPr="00DD2D90" w:rsidRDefault="00503789" w:rsidP="00503789">
      <w:pPr>
        <w:rPr>
          <w:lang w:val="vi-VN"/>
        </w:rPr>
      </w:pPr>
      <w:r w:rsidRPr="009278EB">
        <w:rPr>
          <w:b/>
          <w:bCs/>
          <w:sz w:val="26"/>
          <w:szCs w:val="26"/>
          <w:lang w:val="vi-VN"/>
        </w:rPr>
        <w:t>Crawford 23</w:t>
      </w:r>
      <w:r w:rsidRPr="00DD2D90">
        <w:rPr>
          <w:lang w:val="vi-VN"/>
        </w:rPr>
        <w:t xml:space="preserve"> [Krysten Crawford, a member of SIEPR’s communications team, she writes about the research and work of SIEPR affiliates as well as the institute’s programs and initiatives, 01</w:t>
      </w:r>
      <w:r w:rsidR="00A979B5" w:rsidRPr="00DD2D90">
        <w:t>-</w:t>
      </w:r>
      <w:r w:rsidRPr="00DD2D90">
        <w:rPr>
          <w:lang w:val="vi-VN"/>
        </w:rPr>
        <w:t>09</w:t>
      </w:r>
      <w:r w:rsidR="00A979B5" w:rsidRPr="00DD2D90">
        <w:t>-</w:t>
      </w:r>
      <w:r w:rsidRPr="00DD2D90">
        <w:rPr>
          <w:lang w:val="vi-VN"/>
        </w:rPr>
        <w:t>2023, “Study: When public hospitals go private, low-income patients lose”</w:t>
      </w:r>
      <w:r w:rsidR="00A979B5" w:rsidRPr="00DD2D90">
        <w:t>,</w:t>
      </w:r>
      <w:r w:rsidRPr="00DD2D90">
        <w:rPr>
          <w:lang w:val="vi-VN"/>
        </w:rPr>
        <w:t xml:space="preserve"> Stanford, </w:t>
      </w:r>
      <w:r w:rsidRPr="00DD2D90">
        <w:t>https://siepr.stanford.edu/news/study-when-public-hospitals-go-private-low-income-patients-lose#:~:text=and%20Public%20Spending-,Study:%20When%20public%20hospitals%20go%20private%2C%20low%2Dincome%20patients,and%20other%20levels%20of%20care</w:t>
      </w:r>
      <w:r w:rsidRPr="00DD2D90">
        <w:rPr>
          <w:lang w:val="vi-VN"/>
        </w:rPr>
        <w:t>]</w:t>
      </w:r>
      <w:r w:rsidR="00976D6E" w:rsidRPr="00DD2D90">
        <w:t>/</w:t>
      </w:r>
      <w:r w:rsidRPr="00DD2D90">
        <w:rPr>
          <w:lang w:val="vi-VN"/>
        </w:rPr>
        <w:t>Kankee</w:t>
      </w:r>
    </w:p>
    <w:p w14:paraId="4EEA6C02" w14:textId="77777777" w:rsidR="00503789" w:rsidRPr="009278EB" w:rsidRDefault="00503789" w:rsidP="00503789">
      <w:pPr>
        <w:rPr>
          <w:sz w:val="16"/>
          <w:lang w:val="vi-VN"/>
        </w:rPr>
      </w:pPr>
      <w:r w:rsidRPr="00DD2D90">
        <w:rPr>
          <w:rStyle w:val="StyleUnderline"/>
          <w:highlight w:val="green"/>
        </w:rPr>
        <w:t>Government</w:t>
      </w:r>
      <w:r w:rsidRPr="00DD2D90">
        <w:rPr>
          <w:rStyle w:val="StyleUnderline"/>
        </w:rPr>
        <w:t xml:space="preserve"> </w:t>
      </w:r>
      <w:r w:rsidRPr="00DD2D90">
        <w:rPr>
          <w:rStyle w:val="StyleUnderline"/>
          <w:highlight w:val="green"/>
        </w:rPr>
        <w:t>has</w:t>
      </w:r>
      <w:r w:rsidRPr="00DD2D90">
        <w:rPr>
          <w:rStyle w:val="StyleUnderline"/>
        </w:rPr>
        <w:t xml:space="preserve"> been </w:t>
      </w:r>
      <w:r w:rsidRPr="00DD2D90">
        <w:rPr>
          <w:rStyle w:val="StyleUnderline"/>
          <w:highlight w:val="green"/>
        </w:rPr>
        <w:t>get</w:t>
      </w:r>
      <w:r w:rsidRPr="00DD2D90">
        <w:rPr>
          <w:rStyle w:val="StyleUnderline"/>
        </w:rPr>
        <w:t>ting</w:t>
      </w:r>
      <w:r w:rsidRPr="00DD2D90">
        <w:rPr>
          <w:rStyle w:val="Emphasis"/>
          <w:b w:val="0"/>
          <w:bCs/>
        </w:rPr>
        <w:t xml:space="preserve"> </w:t>
      </w:r>
      <w:r w:rsidRPr="00DD2D90">
        <w:rPr>
          <w:rStyle w:val="Emphasis"/>
          <w:b w:val="0"/>
          <w:bCs/>
          <w:highlight w:val="green"/>
        </w:rPr>
        <w:t>out of</w:t>
      </w:r>
      <w:r w:rsidRPr="00DD2D90">
        <w:rPr>
          <w:rStyle w:val="Emphasis"/>
          <w:b w:val="0"/>
          <w:bCs/>
        </w:rPr>
        <w:t xml:space="preserve"> the </w:t>
      </w:r>
      <w:r w:rsidRPr="00DD2D90">
        <w:rPr>
          <w:rStyle w:val="Emphasis"/>
          <w:b w:val="0"/>
          <w:bCs/>
          <w:highlight w:val="green"/>
        </w:rPr>
        <w:t>hospital</w:t>
      </w:r>
      <w:r w:rsidRPr="00DD2D90">
        <w:rPr>
          <w:rStyle w:val="Emphasis"/>
          <w:b w:val="0"/>
          <w:bCs/>
        </w:rPr>
        <w:t xml:space="preserve"> business</w:t>
      </w:r>
      <w:r w:rsidRPr="009278EB">
        <w:rPr>
          <w:b/>
          <w:bCs/>
          <w:sz w:val="16"/>
          <w:lang w:val="vi-VN"/>
        </w:rPr>
        <w:t xml:space="preserve"> </w:t>
      </w:r>
      <w:r w:rsidRPr="00DD2D90">
        <w:rPr>
          <w:rStyle w:val="Emphasis"/>
          <w:b w:val="0"/>
          <w:bCs/>
        </w:rPr>
        <w:t>in the U</w:t>
      </w:r>
      <w:r w:rsidRPr="009278EB">
        <w:rPr>
          <w:sz w:val="16"/>
          <w:lang w:val="vi-VN"/>
        </w:rPr>
        <w:t>nited</w:t>
      </w:r>
      <w:r w:rsidRPr="009278EB">
        <w:rPr>
          <w:b/>
          <w:bCs/>
          <w:sz w:val="16"/>
          <w:lang w:val="vi-VN"/>
        </w:rPr>
        <w:t xml:space="preserve"> </w:t>
      </w:r>
      <w:r w:rsidRPr="00DD2D90">
        <w:rPr>
          <w:rStyle w:val="Emphasis"/>
          <w:b w:val="0"/>
          <w:bCs/>
        </w:rPr>
        <w:t>S</w:t>
      </w:r>
      <w:r w:rsidRPr="009278EB">
        <w:rPr>
          <w:sz w:val="16"/>
          <w:lang w:val="vi-VN"/>
        </w:rPr>
        <w:t xml:space="preserve">tates, which begs a question: </w:t>
      </w:r>
      <w:r w:rsidRPr="00DD2D90">
        <w:rPr>
          <w:rStyle w:val="Emphasis"/>
          <w:b w:val="0"/>
          <w:bCs/>
        </w:rPr>
        <w:t>Are patients better off when private owners take over?</w:t>
      </w:r>
      <w:r w:rsidRPr="009278EB">
        <w:rPr>
          <w:b/>
          <w:bCs/>
          <w:sz w:val="16"/>
          <w:lang w:val="vi-VN"/>
        </w:rPr>
        <w:t xml:space="preserve"> </w:t>
      </w:r>
      <w:r w:rsidRPr="00DD2D90">
        <w:rPr>
          <w:rStyle w:val="StyleUnderline"/>
        </w:rPr>
        <w:t>If they are poor and should be admitted to a hospital</w:t>
      </w:r>
      <w:r w:rsidRPr="009278EB">
        <w:rPr>
          <w:b/>
          <w:bCs/>
          <w:sz w:val="16"/>
          <w:lang w:val="vi-VN"/>
        </w:rPr>
        <w:t xml:space="preserve">, </w:t>
      </w:r>
      <w:r w:rsidRPr="00DD2D90">
        <w:rPr>
          <w:rStyle w:val="Emphasis"/>
          <w:b w:val="0"/>
          <w:bCs/>
        </w:rPr>
        <w:t>the answer is likely to be “no.”</w:t>
      </w:r>
      <w:r w:rsidRPr="009278EB">
        <w:rPr>
          <w:b/>
          <w:bCs/>
          <w:sz w:val="16"/>
          <w:lang w:val="vi-VN"/>
        </w:rPr>
        <w:t xml:space="preserve"> </w:t>
      </w:r>
      <w:r w:rsidRPr="009278EB">
        <w:rPr>
          <w:sz w:val="16"/>
          <w:lang w:val="vi-VN"/>
        </w:rPr>
        <w:t>That’s according to a newly released Stanford study that delves into</w:t>
      </w:r>
      <w:r w:rsidRPr="009278EB">
        <w:rPr>
          <w:b/>
          <w:bCs/>
          <w:sz w:val="16"/>
          <w:lang w:val="vi-VN"/>
        </w:rPr>
        <w:t xml:space="preserve"> </w:t>
      </w:r>
      <w:r w:rsidRPr="00DD2D90">
        <w:rPr>
          <w:rStyle w:val="Emphasis"/>
          <w:b w:val="0"/>
          <w:bCs/>
        </w:rPr>
        <w:t>the rise of U.S. hospital privatization and its effects on patients.</w:t>
      </w:r>
      <w:r w:rsidRPr="009278EB">
        <w:rPr>
          <w:b/>
          <w:bCs/>
          <w:sz w:val="16"/>
          <w:lang w:val="vi-VN"/>
        </w:rPr>
        <w:t xml:space="preserve"> </w:t>
      </w:r>
      <w:r w:rsidRPr="009278EB">
        <w:rPr>
          <w:sz w:val="16"/>
          <w:lang w:val="vi-VN"/>
        </w:rPr>
        <w:t xml:space="preserve">The researchers find that </w:t>
      </w:r>
      <w:r w:rsidRPr="00DD2D90">
        <w:rPr>
          <w:rStyle w:val="StyleUnderline"/>
          <w:highlight w:val="green"/>
        </w:rPr>
        <w:t>access to hospital beds significantly declines under private ownership</w:t>
      </w:r>
      <w:r w:rsidRPr="00DD2D90">
        <w:rPr>
          <w:rStyle w:val="StyleUnderline"/>
          <w:b/>
          <w:bCs/>
        </w:rPr>
        <w:t xml:space="preserve"> </w:t>
      </w:r>
      <w:r w:rsidRPr="009278EB">
        <w:rPr>
          <w:b/>
          <w:bCs/>
          <w:sz w:val="16"/>
          <w:lang w:val="vi-VN"/>
        </w:rPr>
        <w:t xml:space="preserve">— </w:t>
      </w:r>
      <w:r w:rsidRPr="00DD2D90">
        <w:rPr>
          <w:rStyle w:val="Emphasis"/>
          <w:b w:val="0"/>
          <w:bCs/>
        </w:rPr>
        <w:t>affecting all patients</w:t>
      </w:r>
      <w:r w:rsidRPr="009278EB">
        <w:rPr>
          <w:b/>
          <w:bCs/>
          <w:sz w:val="16"/>
          <w:lang w:val="vi-VN"/>
        </w:rPr>
        <w:t xml:space="preserve">. </w:t>
      </w:r>
      <w:r w:rsidRPr="009278EB">
        <w:rPr>
          <w:sz w:val="16"/>
          <w:lang w:val="vi-VN"/>
        </w:rPr>
        <w:t>But</w:t>
      </w:r>
      <w:r w:rsidRPr="009278EB">
        <w:rPr>
          <w:b/>
          <w:bCs/>
          <w:sz w:val="16"/>
          <w:lang w:val="vi-VN"/>
        </w:rPr>
        <w:t xml:space="preserve"> </w:t>
      </w:r>
      <w:r w:rsidRPr="00DD2D90">
        <w:rPr>
          <w:rStyle w:val="Emphasis"/>
          <w:b w:val="0"/>
          <w:bCs/>
          <w:highlight w:val="green"/>
        </w:rPr>
        <w:t>patients</w:t>
      </w:r>
      <w:r w:rsidRPr="00DD2D90">
        <w:rPr>
          <w:rStyle w:val="Emphasis"/>
          <w:b w:val="0"/>
          <w:bCs/>
        </w:rPr>
        <w:t xml:space="preserve"> </w:t>
      </w:r>
      <w:r w:rsidRPr="00DD2D90">
        <w:rPr>
          <w:rStyle w:val="Emphasis"/>
          <w:b w:val="0"/>
          <w:bCs/>
          <w:highlight w:val="green"/>
        </w:rPr>
        <w:t>covered by Medicaid</w:t>
      </w:r>
      <w:r w:rsidRPr="009278EB">
        <w:rPr>
          <w:b/>
          <w:bCs/>
          <w:sz w:val="16"/>
          <w:lang w:val="vi-VN"/>
        </w:rPr>
        <w:t xml:space="preserve">, </w:t>
      </w:r>
      <w:r w:rsidRPr="009278EB">
        <w:rPr>
          <w:sz w:val="16"/>
          <w:lang w:val="vi-VN"/>
        </w:rPr>
        <w:t>the</w:t>
      </w:r>
      <w:r w:rsidRPr="009278EB">
        <w:rPr>
          <w:sz w:val="16"/>
        </w:rPr>
        <w:t xml:space="preserve"> nation’s public insurance program for low-income residents, </w:t>
      </w:r>
      <w:r w:rsidRPr="00DD2D90">
        <w:rPr>
          <w:rStyle w:val="StyleUnderline"/>
          <w:highlight w:val="green"/>
        </w:rPr>
        <w:t xml:space="preserve">are hit </w:t>
      </w:r>
      <w:r w:rsidRPr="00DD2D90">
        <w:rPr>
          <w:rStyle w:val="StyleUnderline"/>
        </w:rPr>
        <w:t>the hardest</w:t>
      </w:r>
      <w:r w:rsidRPr="00DD2D90">
        <w:rPr>
          <w:rStyle w:val="Emphasis"/>
        </w:rPr>
        <w:t xml:space="preserve"> </w:t>
      </w:r>
      <w:r w:rsidRPr="00DD2D90">
        <w:rPr>
          <w:rStyle w:val="Emphasis"/>
          <w:b w:val="0"/>
          <w:bCs/>
          <w:highlight w:val="green"/>
        </w:rPr>
        <w:t>by</w:t>
      </w:r>
      <w:r w:rsidRPr="00DD2D90">
        <w:rPr>
          <w:rStyle w:val="Emphasis"/>
          <w:b w:val="0"/>
          <w:bCs/>
        </w:rPr>
        <w:t xml:space="preserve"> the </w:t>
      </w:r>
      <w:r w:rsidRPr="00DD2D90">
        <w:rPr>
          <w:rStyle w:val="Emphasis"/>
          <w:b w:val="0"/>
          <w:bCs/>
          <w:highlight w:val="green"/>
        </w:rPr>
        <w:t xml:space="preserve">cutbacks in </w:t>
      </w:r>
      <w:r w:rsidRPr="00DD2D90">
        <w:rPr>
          <w:rStyle w:val="Emphasis"/>
          <w:b w:val="0"/>
          <w:bCs/>
        </w:rPr>
        <w:t xml:space="preserve">available beds and other levels of </w:t>
      </w:r>
      <w:r w:rsidRPr="00DD2D90">
        <w:rPr>
          <w:rStyle w:val="Emphasis"/>
          <w:b w:val="0"/>
          <w:bCs/>
          <w:highlight w:val="green"/>
        </w:rPr>
        <w:t>care</w:t>
      </w:r>
      <w:r w:rsidRPr="00DD2D90">
        <w:rPr>
          <w:rStyle w:val="Emphasis"/>
          <w:b w:val="0"/>
          <w:bCs/>
        </w:rPr>
        <w:t>.</w:t>
      </w:r>
      <w:r w:rsidRPr="009278EB">
        <w:rPr>
          <w:b/>
          <w:bCs/>
          <w:sz w:val="16"/>
          <w:lang w:val="vi-VN"/>
        </w:rPr>
        <w:t xml:space="preserve"> </w:t>
      </w:r>
      <w:r w:rsidRPr="009278EB">
        <w:rPr>
          <w:sz w:val="16"/>
          <w:lang w:val="vi-VN"/>
        </w:rPr>
        <w:t xml:space="preserve">The study, co-authored by Mark Duggan, the Trione Director of the Stanford Institute for Economic Policy Research (SIEPR) and the Wayne and Jodi Cooperman Professor of Economics at the School of Humanities and Sciences, analyzes nearly two decades of U.S. hospital privatizations. The researchers find </w:t>
      </w:r>
      <w:r w:rsidRPr="00DD2D90">
        <w:rPr>
          <w:rStyle w:val="StyleUnderline"/>
        </w:rPr>
        <w:t xml:space="preserve">that </w:t>
      </w:r>
      <w:r w:rsidRPr="00DD2D90">
        <w:rPr>
          <w:rStyle w:val="StyleUnderline"/>
          <w:highlight w:val="green"/>
        </w:rPr>
        <w:t>a formerly government-run hospital</w:t>
      </w:r>
      <w:r w:rsidRPr="00DD2D90">
        <w:rPr>
          <w:rStyle w:val="StyleUnderline"/>
        </w:rPr>
        <w:t xml:space="preserve"> </w:t>
      </w:r>
      <w:r w:rsidRPr="00DD2D90">
        <w:rPr>
          <w:rStyle w:val="StyleUnderline"/>
          <w:highlight w:val="green"/>
        </w:rPr>
        <w:t>admitted</w:t>
      </w:r>
      <w:r w:rsidRPr="00DD2D90">
        <w:rPr>
          <w:rStyle w:val="StyleUnderline"/>
        </w:rPr>
        <w:t xml:space="preserve"> on average </w:t>
      </w:r>
      <w:r w:rsidRPr="00DD2D90">
        <w:rPr>
          <w:rStyle w:val="Emphasis"/>
          <w:highlight w:val="green"/>
        </w:rPr>
        <w:t>15 percent</w:t>
      </w:r>
      <w:r w:rsidRPr="00DD2D90">
        <w:rPr>
          <w:rStyle w:val="StyleUnderline"/>
        </w:rPr>
        <w:t xml:space="preserve"> </w:t>
      </w:r>
      <w:r w:rsidRPr="00DD2D90">
        <w:rPr>
          <w:rStyle w:val="StyleUnderline"/>
          <w:highlight w:val="green"/>
        </w:rPr>
        <w:t>fewer Medicaid patients</w:t>
      </w:r>
      <w:r w:rsidRPr="00DD2D90">
        <w:rPr>
          <w:rStyle w:val="StyleUnderline"/>
        </w:rPr>
        <w:t xml:space="preserve"> in the years immediately </w:t>
      </w:r>
      <w:r w:rsidRPr="00DD2D90">
        <w:rPr>
          <w:rStyle w:val="StyleUnderline"/>
          <w:highlight w:val="green"/>
        </w:rPr>
        <w:t>following privatization</w:t>
      </w:r>
      <w:r w:rsidRPr="009278EB">
        <w:rPr>
          <w:b/>
          <w:bCs/>
          <w:sz w:val="16"/>
          <w:lang w:val="vi-VN"/>
        </w:rPr>
        <w:t xml:space="preserve">. </w:t>
      </w:r>
      <w:r w:rsidRPr="009278EB">
        <w:rPr>
          <w:sz w:val="16"/>
        </w:rPr>
        <w:t xml:space="preserve">By comparison, admissions of patients covered by Medicare, the federal insurance program for the elderly, didn’t meaningfully change. The reason why Medicaid patients are worse off when hospitals go private is clear, says Duggan, whose research focuses on health economics. “Medicaid reimbursement rates are so low that treating patients covered by the program is often unprofitable,” he says, adding that Medicare pays hospitals significantly more for care. “Many hospitals do not want to treat Medicaid patients given this financial hit.” The implications are significant given that one in four Americans are now covered by Medicaid, Duggan says. Twenty-five years ago, only one in nine Americans got their health insurance through Medicaid. “The increase in Medicaid coverage since then has been gigantic,” Duggan says. The Affordable Care Act of 2010 alone added nearly 16 million low-income patients to the program, according </w:t>
      </w:r>
      <w:r w:rsidRPr="009278EB">
        <w:rPr>
          <w:sz w:val="16"/>
          <w:lang w:val="vi-VN"/>
        </w:rPr>
        <w:t xml:space="preserve">to government data. “Our study underscores how changes that are occurring in the health care system, including the widespread </w:t>
      </w:r>
      <w:r w:rsidRPr="00DD2D90">
        <w:rPr>
          <w:rStyle w:val="StyleUnderline"/>
          <w:highlight w:val="green"/>
        </w:rPr>
        <w:t>privatization</w:t>
      </w:r>
      <w:r w:rsidRPr="009278EB">
        <w:rPr>
          <w:sz w:val="16"/>
          <w:lang w:val="vi-VN"/>
        </w:rPr>
        <w:t xml:space="preserve"> of public hospitals, </w:t>
      </w:r>
      <w:r w:rsidRPr="00DD2D90">
        <w:rPr>
          <w:rStyle w:val="StyleUnderline"/>
          <w:highlight w:val="green"/>
        </w:rPr>
        <w:t>can</w:t>
      </w:r>
      <w:r w:rsidRPr="009278EB">
        <w:rPr>
          <w:b/>
          <w:bCs/>
          <w:sz w:val="16"/>
          <w:highlight w:val="green"/>
          <w:lang w:val="vi-VN"/>
        </w:rPr>
        <w:t xml:space="preserve"> </w:t>
      </w:r>
      <w:r w:rsidRPr="00DD2D90">
        <w:rPr>
          <w:rStyle w:val="StyleUnderline"/>
          <w:highlight w:val="green"/>
        </w:rPr>
        <w:t xml:space="preserve">have </w:t>
      </w:r>
      <w:r w:rsidRPr="00DD2D90">
        <w:rPr>
          <w:rStyle w:val="Emphasis"/>
          <w:highlight w:val="green"/>
        </w:rPr>
        <w:t>unintended consequences</w:t>
      </w:r>
      <w:r w:rsidRPr="00DD2D90">
        <w:rPr>
          <w:rStyle w:val="StyleUnderline"/>
          <w:highlight w:val="green"/>
        </w:rPr>
        <w:t xml:space="preserve"> for</w:t>
      </w:r>
      <w:r w:rsidRPr="00DD2D90">
        <w:rPr>
          <w:rStyle w:val="StyleUnderline"/>
        </w:rPr>
        <w:t xml:space="preserve"> the </w:t>
      </w:r>
      <w:r w:rsidRPr="00DD2D90">
        <w:rPr>
          <w:rStyle w:val="Emphasis"/>
        </w:rPr>
        <w:t xml:space="preserve">most </w:t>
      </w:r>
      <w:r w:rsidRPr="00DD2D90">
        <w:rPr>
          <w:rStyle w:val="Emphasis"/>
          <w:highlight w:val="green"/>
        </w:rPr>
        <w:t>vulnerable</w:t>
      </w:r>
      <w:r w:rsidRPr="00DD2D90">
        <w:rPr>
          <w:rStyle w:val="StyleUnderline"/>
          <w:highlight w:val="green"/>
        </w:rPr>
        <w:t xml:space="preserve"> patients</w:t>
      </w:r>
      <w:r w:rsidRPr="00DD2D90">
        <w:rPr>
          <w:rStyle w:val="StyleUnderline"/>
        </w:rPr>
        <w:t>.”</w:t>
      </w:r>
      <w:r w:rsidRPr="00DD2D90">
        <w:rPr>
          <w:rStyle w:val="StyleUnderline"/>
          <w:b/>
          <w:bCs/>
        </w:rPr>
        <w:t xml:space="preserve"> </w:t>
      </w:r>
      <w:r w:rsidRPr="009278EB">
        <w:rPr>
          <w:sz w:val="16"/>
          <w:lang w:val="vi-VN"/>
        </w:rPr>
        <w:t>According to American Hospital Association data cited in the study,</w:t>
      </w:r>
      <w:r w:rsidRPr="009278EB">
        <w:rPr>
          <w:b/>
          <w:bCs/>
          <w:sz w:val="16"/>
          <w:lang w:val="vi-VN"/>
        </w:rPr>
        <w:t xml:space="preserve"> </w:t>
      </w:r>
      <w:r w:rsidRPr="00DD2D90">
        <w:rPr>
          <w:rStyle w:val="Emphasis"/>
          <w:b w:val="0"/>
          <w:bCs/>
        </w:rPr>
        <w:t>public control of hospitals declined by 42 percent from 1983 to 2019</w:t>
      </w:r>
      <w:r w:rsidRPr="009278EB">
        <w:rPr>
          <w:b/>
          <w:bCs/>
          <w:sz w:val="16"/>
          <w:lang w:val="vi-VN"/>
        </w:rPr>
        <w:t xml:space="preserve"> </w:t>
      </w:r>
      <w:r w:rsidRPr="009278EB">
        <w:rPr>
          <w:sz w:val="16"/>
        </w:rPr>
        <w:t>as hospitals either closed or were taken over by private interests</w:t>
      </w:r>
      <w:r w:rsidRPr="009278EB">
        <w:rPr>
          <w:sz w:val="16"/>
          <w:lang w:val="vi-VN"/>
        </w:rPr>
        <w:t xml:space="preserve">. </w:t>
      </w:r>
      <w:r w:rsidRPr="00DD2D90">
        <w:rPr>
          <w:rStyle w:val="StyleUnderline"/>
        </w:rPr>
        <w:t>As of</w:t>
      </w:r>
      <w:r w:rsidRPr="009278EB">
        <w:rPr>
          <w:sz w:val="16"/>
          <w:lang w:val="vi-VN"/>
        </w:rPr>
        <w:t xml:space="preserve"> </w:t>
      </w:r>
      <w:r w:rsidRPr="00DD2D90">
        <w:rPr>
          <w:rStyle w:val="StyleUnderline"/>
        </w:rPr>
        <w:t xml:space="preserve">2020, roughly </w:t>
      </w:r>
      <w:r w:rsidRPr="00DD2D90">
        <w:rPr>
          <w:rStyle w:val="Emphasis"/>
        </w:rPr>
        <w:t>80 percent</w:t>
      </w:r>
      <w:r w:rsidRPr="00DD2D90">
        <w:rPr>
          <w:rStyle w:val="StyleUnderline"/>
        </w:rPr>
        <w:t xml:space="preserve"> of the approximately 4,500 general acute care hospitals in the U</w:t>
      </w:r>
      <w:r w:rsidRPr="009278EB">
        <w:rPr>
          <w:sz w:val="16"/>
          <w:lang w:val="vi-VN"/>
        </w:rPr>
        <w:t xml:space="preserve">nited </w:t>
      </w:r>
      <w:r w:rsidRPr="00DD2D90">
        <w:rPr>
          <w:rStyle w:val="StyleUnderline"/>
        </w:rPr>
        <w:t>S</w:t>
      </w:r>
      <w:r w:rsidRPr="009278EB">
        <w:rPr>
          <w:sz w:val="16"/>
          <w:lang w:val="vi-VN"/>
        </w:rPr>
        <w:t xml:space="preserve">tates </w:t>
      </w:r>
      <w:r w:rsidRPr="00DD2D90">
        <w:rPr>
          <w:rStyle w:val="Emphasis"/>
          <w:b w:val="0"/>
          <w:bCs/>
        </w:rPr>
        <w:t>are controlled by private non-profit or for-profit organizations</w:t>
      </w:r>
      <w:r w:rsidRPr="009278EB">
        <w:rPr>
          <w:b/>
          <w:bCs/>
          <w:sz w:val="16"/>
          <w:lang w:val="vi-VN"/>
        </w:rPr>
        <w:t xml:space="preserve">. </w:t>
      </w:r>
      <w:r w:rsidRPr="009278EB">
        <w:rPr>
          <w:sz w:val="16"/>
          <w:lang w:val="vi-VN"/>
        </w:rPr>
        <w:t xml:space="preserve">And </w:t>
      </w:r>
      <w:r w:rsidRPr="00DD2D90">
        <w:rPr>
          <w:rStyle w:val="StyleUnderline"/>
          <w:highlight w:val="green"/>
        </w:rPr>
        <w:t>as the share of public hospital beds dropped</w:t>
      </w:r>
      <w:r w:rsidRPr="009278EB">
        <w:rPr>
          <w:sz w:val="16"/>
          <w:lang w:val="vi-VN"/>
        </w:rPr>
        <w:t xml:space="preserve">, Duggan and his collaborators find that </w:t>
      </w:r>
      <w:r w:rsidRPr="00DD2D90">
        <w:rPr>
          <w:rStyle w:val="StyleUnderline"/>
          <w:highlight w:val="green"/>
        </w:rPr>
        <w:t xml:space="preserve">the total number of patients admitted </w:t>
      </w:r>
      <w:r w:rsidRPr="00DD2D90">
        <w:rPr>
          <w:rStyle w:val="StyleUnderline"/>
        </w:rPr>
        <w:t>to newly privatized hospitals</w:t>
      </w:r>
      <w:r w:rsidRPr="009278EB">
        <w:rPr>
          <w:sz w:val="16"/>
          <w:lang w:val="vi-VN"/>
        </w:rPr>
        <w:t xml:space="preserve"> — including those on Medicaid — </w:t>
      </w:r>
      <w:r w:rsidRPr="00DD2D90">
        <w:rPr>
          <w:rStyle w:val="StyleUnderline"/>
          <w:highlight w:val="green"/>
        </w:rPr>
        <w:t>fell by 8.5 percent</w:t>
      </w:r>
      <w:r w:rsidRPr="009278EB">
        <w:rPr>
          <w:sz w:val="16"/>
          <w:lang w:val="vi-VN"/>
        </w:rPr>
        <w:t xml:space="preserve">. </w:t>
      </w:r>
      <w:r w:rsidRPr="00DD2D90">
        <w:rPr>
          <w:rStyle w:val="StyleUnderline"/>
          <w:highlight w:val="green"/>
        </w:rPr>
        <w:t>Job losses were also notable as private owners pared costs</w:t>
      </w:r>
      <w:r w:rsidRPr="009278EB">
        <w:rPr>
          <w:sz w:val="16"/>
          <w:lang w:val="vi-VN"/>
        </w:rPr>
        <w:t>. Duggan and his co-authors estimate</w:t>
      </w:r>
      <w:r w:rsidRPr="009278EB">
        <w:rPr>
          <w:b/>
          <w:bCs/>
          <w:sz w:val="16"/>
          <w:lang w:val="vi-VN"/>
        </w:rPr>
        <w:t xml:space="preserve"> </w:t>
      </w:r>
      <w:r w:rsidRPr="00DD2D90">
        <w:rPr>
          <w:rStyle w:val="Emphasis"/>
          <w:b w:val="0"/>
          <w:bCs/>
        </w:rPr>
        <w:t xml:space="preserve">that </w:t>
      </w:r>
      <w:r w:rsidRPr="00DD2D90">
        <w:rPr>
          <w:rStyle w:val="Emphasis"/>
          <w:b w:val="0"/>
          <w:bCs/>
          <w:highlight w:val="green"/>
        </w:rPr>
        <w:t xml:space="preserve">full-time hospital staff declined by </w:t>
      </w:r>
      <w:r w:rsidRPr="00DD2D90">
        <w:rPr>
          <w:rStyle w:val="Emphasis"/>
          <w:highlight w:val="green"/>
        </w:rPr>
        <w:t>8 percent</w:t>
      </w:r>
      <w:r w:rsidRPr="00DD2D90">
        <w:rPr>
          <w:rStyle w:val="Emphasis"/>
          <w:b w:val="0"/>
          <w:bCs/>
          <w:highlight w:val="green"/>
        </w:rPr>
        <w:t xml:space="preserve"> </w:t>
      </w:r>
      <w:r w:rsidRPr="00DD2D90">
        <w:rPr>
          <w:rStyle w:val="Emphasis"/>
          <w:b w:val="0"/>
          <w:bCs/>
        </w:rPr>
        <w:t>on average</w:t>
      </w:r>
      <w:r w:rsidRPr="009278EB">
        <w:rPr>
          <w:b/>
          <w:bCs/>
          <w:sz w:val="16"/>
          <w:lang w:val="vi-VN"/>
        </w:rPr>
        <w:t xml:space="preserve">, </w:t>
      </w:r>
      <w:r w:rsidRPr="009278EB">
        <w:rPr>
          <w:sz w:val="16"/>
          <w:lang w:val="vi-VN"/>
        </w:rPr>
        <w:t>with many of the cuts hitting managers, medical technicians and back-office workers. They calculate, on average,</w:t>
      </w:r>
      <w:r w:rsidRPr="009278EB">
        <w:rPr>
          <w:b/>
          <w:bCs/>
          <w:sz w:val="16"/>
          <w:lang w:val="vi-VN"/>
        </w:rPr>
        <w:t xml:space="preserve"> </w:t>
      </w:r>
      <w:r w:rsidRPr="00DD2D90">
        <w:rPr>
          <w:rStyle w:val="Emphasis"/>
          <w:b w:val="0"/>
          <w:bCs/>
        </w:rPr>
        <w:t xml:space="preserve">a </w:t>
      </w:r>
      <w:r w:rsidRPr="00DD2D90">
        <w:rPr>
          <w:rStyle w:val="Emphasis"/>
          <w:highlight w:val="green"/>
        </w:rPr>
        <w:t>30 percent</w:t>
      </w:r>
      <w:r w:rsidRPr="00DD2D90">
        <w:rPr>
          <w:rStyle w:val="Emphasis"/>
          <w:b w:val="0"/>
          <w:bCs/>
          <w:highlight w:val="green"/>
        </w:rPr>
        <w:t xml:space="preserve"> decrease in</w:t>
      </w:r>
      <w:r w:rsidRPr="00DD2D90">
        <w:rPr>
          <w:rStyle w:val="Emphasis"/>
          <w:b w:val="0"/>
          <w:bCs/>
        </w:rPr>
        <w:t xml:space="preserve"> the number of </w:t>
      </w:r>
      <w:r w:rsidRPr="00DD2D90">
        <w:rPr>
          <w:rStyle w:val="Emphasis"/>
          <w:b w:val="0"/>
          <w:bCs/>
          <w:highlight w:val="green"/>
        </w:rPr>
        <w:t>employed physicians</w:t>
      </w:r>
      <w:r w:rsidRPr="009278EB">
        <w:rPr>
          <w:b/>
          <w:bCs/>
          <w:sz w:val="16"/>
          <w:lang w:val="vi-VN"/>
        </w:rPr>
        <w:t xml:space="preserve">. </w:t>
      </w:r>
      <w:r w:rsidRPr="009278EB">
        <w:rPr>
          <w:sz w:val="16"/>
          <w:lang w:val="vi-VN"/>
        </w:rPr>
        <w:t>Privatization did not affect nursing staffs. Duggan says the study findings are especially important given that health care represents the largest sector of the U.S. economy at 19 percent of GDP and that hospitals employ as many workers as the entire U.S. construction industry.</w:t>
      </w:r>
    </w:p>
    <w:p w14:paraId="6769F430" w14:textId="77777777" w:rsidR="00EA6776" w:rsidRPr="009278EB" w:rsidRDefault="00EA6776">
      <w:pPr>
        <w:rPr>
          <w:rFonts w:eastAsiaTheme="majorEastAsia" w:cstheme="majorBidi"/>
          <w:b/>
          <w:iCs/>
          <w:sz w:val="16"/>
        </w:rPr>
      </w:pPr>
      <w:r w:rsidRPr="009278EB">
        <w:rPr>
          <w:sz w:val="16"/>
        </w:rPr>
        <w:br w:type="page"/>
      </w:r>
    </w:p>
    <w:p w14:paraId="662FA9BC" w14:textId="66C9BF29" w:rsidR="00B41D04" w:rsidRPr="009278EB" w:rsidRDefault="00B41D04" w:rsidP="00B41D04">
      <w:pPr>
        <w:pStyle w:val="Heading4"/>
        <w:rPr>
          <w:szCs w:val="26"/>
          <w:lang w:val="vi-VN"/>
        </w:rPr>
      </w:pPr>
      <w:r w:rsidRPr="009278EB">
        <w:rPr>
          <w:szCs w:val="26"/>
        </w:rPr>
        <w:t>L</w:t>
      </w:r>
      <w:r w:rsidRPr="009278EB">
        <w:rPr>
          <w:szCs w:val="26"/>
          <w:lang w:val="vi-VN"/>
        </w:rPr>
        <w:t xml:space="preserve">ife expectancy </w:t>
      </w:r>
      <w:r w:rsidRPr="009278EB">
        <w:rPr>
          <w:szCs w:val="26"/>
        </w:rPr>
        <w:t xml:space="preserve">stats prove – the US </w:t>
      </w:r>
      <w:r w:rsidRPr="009278EB">
        <w:rPr>
          <w:szCs w:val="26"/>
          <w:lang w:val="vi-VN"/>
        </w:rPr>
        <w:t xml:space="preserve">is </w:t>
      </w:r>
      <w:r w:rsidRPr="009278EB">
        <w:rPr>
          <w:szCs w:val="26"/>
        </w:rPr>
        <w:t xml:space="preserve">much </w:t>
      </w:r>
      <w:r w:rsidRPr="009278EB">
        <w:rPr>
          <w:szCs w:val="26"/>
          <w:lang w:val="vi-VN"/>
        </w:rPr>
        <w:t xml:space="preserve">lower than other </w:t>
      </w:r>
      <w:r w:rsidRPr="009278EB">
        <w:rPr>
          <w:szCs w:val="26"/>
        </w:rPr>
        <w:t xml:space="preserve">countries </w:t>
      </w:r>
      <w:r w:rsidRPr="009278EB">
        <w:rPr>
          <w:szCs w:val="26"/>
          <w:lang w:val="vi-VN"/>
        </w:rPr>
        <w:t>despite spending twice as much</w:t>
      </w:r>
    </w:p>
    <w:p w14:paraId="4D8F874F" w14:textId="35F11F68" w:rsidR="00B41D04" w:rsidRPr="00DD2D90" w:rsidRDefault="00B41D04" w:rsidP="00B41D04">
      <w:pPr>
        <w:rPr>
          <w:lang w:val="vi-VN"/>
        </w:rPr>
      </w:pPr>
      <w:r w:rsidRPr="009278EB">
        <w:rPr>
          <w:b/>
          <w:bCs/>
          <w:sz w:val="26"/>
          <w:szCs w:val="26"/>
          <w:lang w:val="vi-VN"/>
        </w:rPr>
        <w:t>Rakshit et al. 26</w:t>
      </w:r>
      <w:r w:rsidRPr="00DD2D90">
        <w:rPr>
          <w:b/>
          <w:bCs/>
          <w:lang w:val="vi-VN"/>
        </w:rPr>
        <w:t xml:space="preserve"> </w:t>
      </w:r>
      <w:r w:rsidRPr="00DD2D90">
        <w:rPr>
          <w:lang w:val="vi-VN"/>
        </w:rPr>
        <w:t>[Shameek Rakshit, a research associate at KFF for the Program on the ACA and the Peterson-KFF Health System Tracker,</w:t>
      </w:r>
      <w:r w:rsidR="00F913C7" w:rsidRPr="00DD2D90">
        <w:t xml:space="preserve"> Lynne Cotter, KFF Senior Health Policy Research Manager, and Matt McGough, policy analyst at KFF,</w:t>
      </w:r>
      <w:r w:rsidRPr="00DD2D90">
        <w:rPr>
          <w:lang w:val="vi-VN"/>
        </w:rPr>
        <w:t xml:space="preserve"> 03</w:t>
      </w:r>
      <w:r w:rsidR="00566DAB" w:rsidRPr="00DD2D90">
        <w:t>-</w:t>
      </w:r>
      <w:r w:rsidRPr="00DD2D90">
        <w:rPr>
          <w:lang w:val="vi-VN"/>
        </w:rPr>
        <w:t>31</w:t>
      </w:r>
      <w:r w:rsidR="00566DAB" w:rsidRPr="00DD2D90">
        <w:t>-</w:t>
      </w:r>
      <w:r w:rsidRPr="00DD2D90">
        <w:rPr>
          <w:lang w:val="vi-VN"/>
        </w:rPr>
        <w:t>2026, “How does U.S. life expectancy compare to other countries?”; Peterson KFF Health Systerm Tracker, https://www.healthsystemtracker.org/chart-collection/u-s-life-expectancy-compare-countries/#:~:text=In%202024%2C%20U.S.%20life%20expectancy,the%20average%20in%20comparable%20countries]</w:t>
      </w:r>
      <w:r w:rsidR="00566DAB" w:rsidRPr="00DD2D90">
        <w:t>/</w:t>
      </w:r>
      <w:r w:rsidRPr="00DD2D90">
        <w:rPr>
          <w:lang w:val="vi-VN"/>
        </w:rPr>
        <w:t>Kankee</w:t>
      </w:r>
    </w:p>
    <w:p w14:paraId="1646BEC3" w14:textId="77777777" w:rsidR="00B41D04" w:rsidRPr="00DD2D90" w:rsidRDefault="00B41D04" w:rsidP="00B41D04">
      <w:pPr>
        <w:rPr>
          <w:rStyle w:val="Emphasis"/>
          <w:b w:val="0"/>
          <w:bCs/>
        </w:rPr>
      </w:pPr>
      <w:r w:rsidRPr="009278EB">
        <w:rPr>
          <w:sz w:val="16"/>
          <w:lang w:val="vi-VN"/>
        </w:rPr>
        <w:t xml:space="preserve">On average, </w:t>
      </w:r>
      <w:r w:rsidRPr="00DD2D90">
        <w:rPr>
          <w:rStyle w:val="Emphasis"/>
          <w:b w:val="0"/>
          <w:bCs/>
          <w:highlight w:val="green"/>
        </w:rPr>
        <w:t>the U</w:t>
      </w:r>
      <w:r w:rsidRPr="00DD2D90">
        <w:rPr>
          <w:rStyle w:val="Emphasis"/>
          <w:b w:val="0"/>
          <w:bCs/>
        </w:rPr>
        <w:t xml:space="preserve">nited </w:t>
      </w:r>
      <w:r w:rsidRPr="00DD2D90">
        <w:rPr>
          <w:rStyle w:val="Emphasis"/>
          <w:b w:val="0"/>
          <w:bCs/>
          <w:highlight w:val="green"/>
        </w:rPr>
        <w:t>S</w:t>
      </w:r>
      <w:r w:rsidRPr="00DD2D90">
        <w:rPr>
          <w:rStyle w:val="Emphasis"/>
          <w:b w:val="0"/>
          <w:bCs/>
        </w:rPr>
        <w:t xml:space="preserve">tates </w:t>
      </w:r>
      <w:r w:rsidRPr="00DD2D90">
        <w:rPr>
          <w:rStyle w:val="Emphasis"/>
          <w:b w:val="0"/>
          <w:bCs/>
          <w:highlight w:val="green"/>
        </w:rPr>
        <w:t>has a lower life expectancy</w:t>
      </w:r>
      <w:r w:rsidRPr="009278EB">
        <w:rPr>
          <w:sz w:val="16"/>
          <w:lang w:val="vi-VN"/>
        </w:rPr>
        <w:t xml:space="preserve"> </w:t>
      </w:r>
      <w:r w:rsidRPr="00DD2D90">
        <w:rPr>
          <w:rStyle w:val="StyleUnderline"/>
        </w:rPr>
        <w:t>than comparable countries</w:t>
      </w:r>
      <w:r w:rsidRPr="009278EB">
        <w:rPr>
          <w:sz w:val="16"/>
          <w:lang w:val="vi-VN"/>
        </w:rPr>
        <w:t xml:space="preserve">. Life expectancy is an estimate of the average number of years a person at a given age might live based on mortality rates. This chart collection examines how life expectancy in the </w:t>
      </w:r>
      <w:r w:rsidRPr="00DD2D90">
        <w:rPr>
          <w:rStyle w:val="StyleUnderline"/>
        </w:rPr>
        <w:t xml:space="preserve">U.S. </w:t>
      </w:r>
      <w:r w:rsidRPr="00DD2D90">
        <w:rPr>
          <w:rStyle w:val="StyleUnderline"/>
          <w:highlight w:val="green"/>
        </w:rPr>
        <w:t>compares</w:t>
      </w:r>
      <w:r w:rsidRPr="00DD2D90">
        <w:rPr>
          <w:rStyle w:val="StyleUnderline"/>
        </w:rPr>
        <w:t xml:space="preserve"> </w:t>
      </w:r>
      <w:r w:rsidRPr="00DD2D90">
        <w:rPr>
          <w:rStyle w:val="StyleUnderline"/>
          <w:highlight w:val="green"/>
        </w:rPr>
        <w:t>to</w:t>
      </w:r>
      <w:r w:rsidRPr="00DD2D90">
        <w:rPr>
          <w:rStyle w:val="StyleUnderline"/>
        </w:rPr>
        <w:t xml:space="preserve"> that of other similarly large and wealthy countries i</w:t>
      </w:r>
      <w:r w:rsidRPr="009278EB">
        <w:rPr>
          <w:sz w:val="16"/>
          <w:lang w:val="vi-VN"/>
        </w:rPr>
        <w:t xml:space="preserve">n the Organisation for Economic Co-operation and Development (OECD). The countries included in the comparison are </w:t>
      </w:r>
      <w:r w:rsidRPr="00DD2D90">
        <w:rPr>
          <w:rStyle w:val="Emphasis"/>
          <w:b w:val="0"/>
          <w:bCs/>
          <w:highlight w:val="green"/>
        </w:rPr>
        <w:t>Australia,</w:t>
      </w:r>
      <w:r w:rsidRPr="00DD2D90">
        <w:rPr>
          <w:rStyle w:val="StyleUnderline"/>
          <w:highlight w:val="green"/>
        </w:rPr>
        <w:t xml:space="preserve"> </w:t>
      </w:r>
      <w:r w:rsidRPr="00DD2D90">
        <w:rPr>
          <w:rStyle w:val="StyleUnderline"/>
        </w:rPr>
        <w:t xml:space="preserve">Austria, </w:t>
      </w:r>
      <w:r w:rsidRPr="00DD2D90">
        <w:rPr>
          <w:rStyle w:val="Emphasis"/>
          <w:b w:val="0"/>
          <w:bCs/>
          <w:highlight w:val="green"/>
        </w:rPr>
        <w:t>Belgium, Canada</w:t>
      </w:r>
      <w:r w:rsidRPr="00DD2D90">
        <w:rPr>
          <w:rStyle w:val="StyleUnderline"/>
          <w:highlight w:val="green"/>
        </w:rPr>
        <w:t xml:space="preserve">, </w:t>
      </w:r>
      <w:r w:rsidRPr="00DD2D90">
        <w:rPr>
          <w:rStyle w:val="StyleUnderline"/>
        </w:rPr>
        <w:t xml:space="preserve">France, Germany, </w:t>
      </w:r>
      <w:r w:rsidRPr="00DD2D90">
        <w:rPr>
          <w:rStyle w:val="Emphasis"/>
          <w:b w:val="0"/>
          <w:bCs/>
          <w:highlight w:val="green"/>
        </w:rPr>
        <w:t>Japan</w:t>
      </w:r>
      <w:r w:rsidRPr="00DD2D90">
        <w:rPr>
          <w:rStyle w:val="StyleUnderline"/>
          <w:highlight w:val="green"/>
        </w:rPr>
        <w:t xml:space="preserve">, </w:t>
      </w:r>
      <w:r w:rsidRPr="00DD2D90">
        <w:rPr>
          <w:rStyle w:val="StyleUnderline"/>
        </w:rPr>
        <w:t xml:space="preserve">the Netherlands, Sweden, Switzerland, </w:t>
      </w:r>
      <w:r w:rsidRPr="00DD2D90">
        <w:rPr>
          <w:rStyle w:val="StyleUnderline"/>
          <w:highlight w:val="green"/>
        </w:rPr>
        <w:t xml:space="preserve">and the </w:t>
      </w:r>
      <w:r w:rsidRPr="00DD2D90">
        <w:rPr>
          <w:rStyle w:val="Emphasis"/>
          <w:b w:val="0"/>
          <w:bCs/>
          <w:highlight w:val="green"/>
        </w:rPr>
        <w:t>U</w:t>
      </w:r>
      <w:r w:rsidRPr="00DD2D90">
        <w:rPr>
          <w:rStyle w:val="StyleUnderline"/>
        </w:rPr>
        <w:t xml:space="preserve">nited </w:t>
      </w:r>
      <w:r w:rsidRPr="00DD2D90">
        <w:rPr>
          <w:rStyle w:val="Emphasis"/>
          <w:b w:val="0"/>
          <w:bCs/>
          <w:highlight w:val="green"/>
        </w:rPr>
        <w:t>K</w:t>
      </w:r>
      <w:r w:rsidRPr="00DD2D90">
        <w:rPr>
          <w:rStyle w:val="StyleUnderline"/>
        </w:rPr>
        <w:t>ingdom</w:t>
      </w:r>
      <w:r w:rsidRPr="009278EB">
        <w:rPr>
          <w:sz w:val="16"/>
          <w:lang w:val="vi-VN"/>
        </w:rPr>
        <w:t xml:space="preserve">. </w:t>
      </w:r>
      <w:r w:rsidRPr="00DD2D90">
        <w:rPr>
          <w:rStyle w:val="StyleUnderline"/>
        </w:rPr>
        <w:t xml:space="preserve">Life expectancy at birth in the U.S. increased 0.6 years from 78.4 years in 2023 to 79.0 years in 2024, </w:t>
      </w:r>
      <w:r w:rsidRPr="00DD2D90">
        <w:rPr>
          <w:rStyle w:val="Emphasis"/>
          <w:b w:val="0"/>
          <w:bCs/>
        </w:rPr>
        <w:t>its highest-ever level.</w:t>
      </w:r>
      <w:r w:rsidRPr="009278EB">
        <w:rPr>
          <w:b/>
          <w:bCs/>
          <w:sz w:val="16"/>
          <w:lang w:val="vi-VN"/>
        </w:rPr>
        <w:t xml:space="preserve"> </w:t>
      </w:r>
      <w:r w:rsidRPr="00DD2D90">
        <w:rPr>
          <w:rStyle w:val="Emphasis"/>
          <w:b w:val="0"/>
          <w:bCs/>
        </w:rPr>
        <w:t xml:space="preserve">However, the average </w:t>
      </w:r>
      <w:r w:rsidRPr="00DD2D90">
        <w:rPr>
          <w:rStyle w:val="Emphasis"/>
          <w:b w:val="0"/>
          <w:bCs/>
          <w:highlight w:val="green"/>
        </w:rPr>
        <w:t>life expectancy in comparable countries was 82.7 years</w:t>
      </w:r>
      <w:r w:rsidRPr="009278EB">
        <w:rPr>
          <w:b/>
          <w:bCs/>
          <w:sz w:val="16"/>
          <w:lang w:val="vi-VN"/>
        </w:rPr>
        <w:t xml:space="preserve">, </w:t>
      </w:r>
      <w:r w:rsidRPr="00DD2D90">
        <w:rPr>
          <w:rStyle w:val="Emphasis"/>
          <w:b w:val="0"/>
          <w:bCs/>
          <w:highlight w:val="green"/>
        </w:rPr>
        <w:t>about 3.7 years longer than in the U.S</w:t>
      </w:r>
      <w:r w:rsidRPr="009278EB">
        <w:rPr>
          <w:sz w:val="16"/>
          <w:lang w:val="vi-VN"/>
        </w:rPr>
        <w:t xml:space="preserve">., reflecting a persistently wide difference in life expectancy between the U.S. and comparable countries. Some key findings include: In 2024, U.S. life expectancy reached a record high of 79 years, 3.7 years below the comparable country average of 82.7 years. Life expectancy in the U.S. increased 0.6 years, and there was little change in the life expectancy of peer countries, on average (up 0.1 years). The life expectancy gap between the U.S. and peer countries decreased from 4.1 years in 2023 to 3.7 years in in 2024 as the age-adjusted mortality rates for COVID-19, drug overdoses, and some chronic diseases declined in the U.S. In the U.S., life expectancy for women is 4.9 years longer than for men, on average. There is a smaller gap between women and men in peer countries, on average (4.2 years). </w:t>
      </w:r>
      <w:r w:rsidRPr="00DD2D90">
        <w:rPr>
          <w:rStyle w:val="Emphasis"/>
          <w:b w:val="0"/>
          <w:bCs/>
          <w:highlight w:val="green"/>
        </w:rPr>
        <w:t>While the U.S. has a lower life expectancy</w:t>
      </w:r>
      <w:r w:rsidRPr="009278EB">
        <w:rPr>
          <w:sz w:val="16"/>
          <w:lang w:val="vi-VN"/>
        </w:rPr>
        <w:t xml:space="preserve"> than comparable countries, </w:t>
      </w:r>
      <w:r w:rsidRPr="00DD2D90">
        <w:rPr>
          <w:rStyle w:val="Emphasis"/>
          <w:b w:val="0"/>
          <w:bCs/>
          <w:highlight w:val="green"/>
        </w:rPr>
        <w:t>it spends nearly twice as much as its</w:t>
      </w:r>
      <w:r w:rsidRPr="00DD2D90">
        <w:rPr>
          <w:rStyle w:val="Emphasis"/>
          <w:b w:val="0"/>
          <w:bCs/>
        </w:rPr>
        <w:t xml:space="preserve"> </w:t>
      </w:r>
      <w:r w:rsidRPr="00DD2D90">
        <w:rPr>
          <w:rStyle w:val="Emphasis"/>
          <w:b w:val="0"/>
          <w:bCs/>
          <w:highlight w:val="green"/>
        </w:rPr>
        <w:t>peers</w:t>
      </w:r>
      <w:r w:rsidRPr="00DD2D90">
        <w:rPr>
          <w:rStyle w:val="Emphasis"/>
          <w:b w:val="0"/>
          <w:bCs/>
        </w:rPr>
        <w:t xml:space="preserve"> </w:t>
      </w:r>
      <w:r w:rsidRPr="00DD2D90">
        <w:rPr>
          <w:rStyle w:val="Emphasis"/>
          <w:b w:val="0"/>
          <w:bCs/>
          <w:highlight w:val="green"/>
        </w:rPr>
        <w:t>on healthcare per person</w:t>
      </w:r>
      <w:r w:rsidRPr="00DD2D90">
        <w:rPr>
          <w:rStyle w:val="Emphasis"/>
          <w:b w:val="0"/>
          <w:bCs/>
        </w:rPr>
        <w:t>.</w:t>
      </w:r>
    </w:p>
    <w:p w14:paraId="290AF737" w14:textId="77777777" w:rsidR="00EA6776" w:rsidRPr="009278EB" w:rsidRDefault="00EA6776">
      <w:pPr>
        <w:rPr>
          <w:rFonts w:eastAsiaTheme="majorEastAsia" w:cstheme="majorBidi"/>
          <w:b/>
          <w:iCs/>
          <w:sz w:val="16"/>
        </w:rPr>
      </w:pPr>
      <w:r w:rsidRPr="009278EB">
        <w:rPr>
          <w:sz w:val="16"/>
        </w:rPr>
        <w:br w:type="page"/>
      </w:r>
    </w:p>
    <w:p w14:paraId="7939E447" w14:textId="4FAFDF01" w:rsidR="00D54190" w:rsidRPr="009278EB" w:rsidRDefault="002B7D4E" w:rsidP="00D54190">
      <w:pPr>
        <w:pStyle w:val="Heading4"/>
        <w:rPr>
          <w:szCs w:val="26"/>
        </w:rPr>
      </w:pPr>
      <w:r w:rsidRPr="009278EB">
        <w:rPr>
          <w:szCs w:val="26"/>
        </w:rPr>
        <w:t>S</w:t>
      </w:r>
      <w:r w:rsidR="00D54190" w:rsidRPr="009278EB">
        <w:rPr>
          <w:szCs w:val="26"/>
          <w:lang w:val="vi-VN"/>
        </w:rPr>
        <w:t>ingle payer countr</w:t>
      </w:r>
      <w:r w:rsidRPr="009278EB">
        <w:rPr>
          <w:szCs w:val="26"/>
        </w:rPr>
        <w:t>ies have comparatively better public health infrastructure – Japan proves</w:t>
      </w:r>
    </w:p>
    <w:p w14:paraId="3CF77D2A" w14:textId="77777777" w:rsidR="00D54190" w:rsidRPr="00DD2D90" w:rsidRDefault="00D54190" w:rsidP="00D54190">
      <w:pPr>
        <w:rPr>
          <w:lang w:val="vi-VN"/>
        </w:rPr>
      </w:pPr>
      <w:r w:rsidRPr="009278EB">
        <w:rPr>
          <w:b/>
          <w:bCs/>
          <w:sz w:val="26"/>
          <w:szCs w:val="26"/>
          <w:lang w:val="vi-VN"/>
        </w:rPr>
        <w:t>Uenishi et al. 26</w:t>
      </w:r>
      <w:r w:rsidRPr="00DD2D90">
        <w:rPr>
          <w:b/>
          <w:bCs/>
          <w:lang w:val="vi-VN"/>
        </w:rPr>
        <w:t xml:space="preserve"> </w:t>
      </w:r>
      <w:r w:rsidRPr="00DD2D90">
        <w:rPr>
          <w:lang w:val="vi-VN"/>
        </w:rPr>
        <w:t>[Machiko Uenishi, work at Center for Clinical Sciences, Japan Institute for Health Security, 02</w:t>
      </w:r>
      <w:r w:rsidRPr="00DD2D90">
        <w:t>-</w:t>
      </w:r>
      <w:r w:rsidRPr="00DD2D90">
        <w:rPr>
          <w:lang w:val="vi-VN"/>
        </w:rPr>
        <w:t>28</w:t>
      </w:r>
      <w:r w:rsidRPr="00DD2D90">
        <w:t>-</w:t>
      </w:r>
      <w:r w:rsidRPr="00DD2D90">
        <w:rPr>
          <w:lang w:val="vi-VN"/>
        </w:rPr>
        <w:t>2026, “Japan's high-quality healthcare system despite physician shortages: Exploring the paradox and pathways toward sustainable healthcare” National Library of Medicine National Center for Biotechnology Information, https://pmc.ncbi.nlm.nih.gov/articles/PMC12932065/#:~:text=Japan%20possesses%20one%20of%20the,and%20MRI%20scanners%20(2)]</w:t>
      </w:r>
      <w:r w:rsidRPr="00DD2D90">
        <w:t>/</w:t>
      </w:r>
      <w:r w:rsidRPr="00DD2D90">
        <w:rPr>
          <w:lang w:val="vi-VN"/>
        </w:rPr>
        <w:t>Kankee</w:t>
      </w:r>
    </w:p>
    <w:p w14:paraId="7D899A62" w14:textId="77777777" w:rsidR="00D54190" w:rsidRPr="009278EB" w:rsidRDefault="00D54190" w:rsidP="00D54190">
      <w:pPr>
        <w:rPr>
          <w:sz w:val="16"/>
          <w:lang w:val="vi-VN"/>
        </w:rPr>
      </w:pPr>
      <w:r w:rsidRPr="009278EB">
        <w:rPr>
          <w:sz w:val="16"/>
          <w:lang w:val="vi-VN"/>
        </w:rPr>
        <w:t xml:space="preserve">2.1. A universal health insurance system and public financing </w:t>
      </w:r>
      <w:r w:rsidRPr="00DD2D90">
        <w:rPr>
          <w:rStyle w:val="Emphasis"/>
          <w:b w:val="0"/>
          <w:bCs/>
          <w:highlight w:val="green"/>
          <w:lang w:val="vi-VN"/>
        </w:rPr>
        <w:t>Japan</w:t>
      </w:r>
      <w:r w:rsidRPr="00DD2D90">
        <w:rPr>
          <w:rStyle w:val="Emphasis"/>
          <w:b w:val="0"/>
          <w:bCs/>
          <w:lang w:val="vi-VN"/>
        </w:rPr>
        <w:t xml:space="preserve"> </w:t>
      </w:r>
      <w:r w:rsidRPr="00DD2D90">
        <w:rPr>
          <w:rStyle w:val="Emphasis"/>
          <w:b w:val="0"/>
          <w:bCs/>
          <w:highlight w:val="green"/>
          <w:lang w:val="vi-VN"/>
        </w:rPr>
        <w:t>operates a universal health insurance</w:t>
      </w:r>
      <w:r w:rsidRPr="00DD2D90">
        <w:rPr>
          <w:rStyle w:val="Emphasis"/>
          <w:b w:val="0"/>
          <w:bCs/>
          <w:lang w:val="vi-VN"/>
        </w:rPr>
        <w:t xml:space="preserve"> system</w:t>
      </w:r>
      <w:r w:rsidRPr="009278EB">
        <w:rPr>
          <w:b/>
          <w:bCs/>
          <w:sz w:val="16"/>
          <w:lang w:val="vi-VN"/>
        </w:rPr>
        <w:t xml:space="preserve"> </w:t>
      </w:r>
      <w:r w:rsidRPr="00DD2D90">
        <w:rPr>
          <w:rStyle w:val="Emphasis"/>
          <w:b w:val="0"/>
          <w:bCs/>
          <w:highlight w:val="green"/>
          <w:lang w:val="vi-VN"/>
        </w:rPr>
        <w:t xml:space="preserve">with nearly </w:t>
      </w:r>
      <w:r w:rsidRPr="00DD2D90">
        <w:rPr>
          <w:rStyle w:val="Emphasis"/>
          <w:highlight w:val="green"/>
        </w:rPr>
        <w:t>100%</w:t>
      </w:r>
      <w:r w:rsidRPr="00DD2D90">
        <w:rPr>
          <w:rStyle w:val="Emphasis"/>
          <w:b w:val="0"/>
          <w:bCs/>
          <w:highlight w:val="green"/>
          <w:lang w:val="vi-VN"/>
        </w:rPr>
        <w:t xml:space="preserve"> coverage</w:t>
      </w:r>
      <w:r w:rsidRPr="00DD2D90">
        <w:rPr>
          <w:rStyle w:val="StyleUnderline"/>
          <w:lang w:val="vi-VN"/>
        </w:rPr>
        <w:t>, ensuring equal access</w:t>
      </w:r>
      <w:r w:rsidRPr="009278EB">
        <w:rPr>
          <w:sz w:val="16"/>
          <w:lang w:val="vi-VN"/>
        </w:rPr>
        <w:t xml:space="preserve"> to necessary medical care </w:t>
      </w:r>
      <w:r w:rsidRPr="00DD2D90">
        <w:rPr>
          <w:rStyle w:val="Emphasis"/>
          <w:b w:val="0"/>
          <w:bCs/>
          <w:highlight w:val="green"/>
          <w:lang w:val="vi-VN"/>
        </w:rPr>
        <w:t>regardless of income or employment</w:t>
      </w:r>
      <w:r w:rsidRPr="00DD2D90">
        <w:rPr>
          <w:rStyle w:val="Emphasis"/>
          <w:b w:val="0"/>
          <w:bCs/>
          <w:lang w:val="vi-VN"/>
        </w:rPr>
        <w:t xml:space="preserve"> status</w:t>
      </w:r>
      <w:r w:rsidRPr="009278EB">
        <w:rPr>
          <w:sz w:val="16"/>
          <w:lang w:val="vi-VN"/>
        </w:rPr>
        <w:t xml:space="preserve"> (2,3). Out-of-pocket expenses are generally </w:t>
      </w:r>
      <w:r w:rsidRPr="00DD2D90">
        <w:rPr>
          <w:rStyle w:val="Emphasis"/>
          <w:b w:val="0"/>
          <w:bCs/>
          <w:lang w:val="vi-VN"/>
        </w:rPr>
        <w:t>limited to no more than 30% for individuals age 6–69</w:t>
      </w:r>
      <w:r w:rsidRPr="009278EB">
        <w:rPr>
          <w:sz w:val="16"/>
          <w:lang w:val="vi-VN"/>
        </w:rPr>
        <w:t xml:space="preserve">, while those age 70 and older pay 10–30% depending on income, and children under 6 pay 20%. In addition, </w:t>
      </w:r>
      <w:r w:rsidRPr="00DD2D90">
        <w:rPr>
          <w:rStyle w:val="Emphasis"/>
          <w:b w:val="0"/>
          <w:bCs/>
          <w:lang w:val="vi-VN"/>
        </w:rPr>
        <w:t>cost sharing mechanisms such as the High cost Medical Expense Benefit system</w:t>
      </w:r>
      <w:r w:rsidRPr="009278EB">
        <w:rPr>
          <w:sz w:val="16"/>
          <w:lang w:val="vi-VN"/>
        </w:rPr>
        <w:t xml:space="preserve"> are designed to prevent households from facing sudden financial burdens due to medical costs. (4). </w:t>
      </w:r>
      <w:r w:rsidRPr="00DD2D90">
        <w:rPr>
          <w:rStyle w:val="StyleUnderline"/>
          <w:highlight w:val="green"/>
          <w:lang w:val="vi-VN"/>
        </w:rPr>
        <w:t>Public funding</w:t>
      </w:r>
      <w:r w:rsidRPr="00DD2D90">
        <w:rPr>
          <w:rStyle w:val="StyleUnderline"/>
          <w:lang w:val="vi-VN"/>
        </w:rPr>
        <w:t xml:space="preserve"> and mandatory </w:t>
      </w:r>
      <w:r w:rsidRPr="00DD2D90">
        <w:rPr>
          <w:rStyle w:val="StyleUnderline"/>
          <w:highlight w:val="green"/>
          <w:lang w:val="vi-VN"/>
        </w:rPr>
        <w:t>insurance contributions</w:t>
      </w:r>
      <w:r w:rsidRPr="00DD2D90">
        <w:rPr>
          <w:rStyle w:val="StyleUnderline"/>
          <w:lang w:val="vi-VN"/>
        </w:rPr>
        <w:t xml:space="preserve"> account for approximately </w:t>
      </w:r>
      <w:r w:rsidRPr="00DD2D90">
        <w:rPr>
          <w:rStyle w:val="StyleUnderline"/>
          <w:highlight w:val="green"/>
          <w:lang w:val="vi-VN"/>
        </w:rPr>
        <w:t>85% of total healthcare</w:t>
      </w:r>
      <w:r w:rsidRPr="00DD2D90">
        <w:rPr>
          <w:rStyle w:val="StyleUnderline"/>
          <w:lang w:val="vi-VN"/>
        </w:rPr>
        <w:t xml:space="preserve"> expenditures</w:t>
      </w:r>
      <w:r w:rsidRPr="009278EB">
        <w:rPr>
          <w:sz w:val="16"/>
          <w:lang w:val="vi-VN"/>
        </w:rPr>
        <w:t xml:space="preserve">, </w:t>
      </w:r>
      <w:r w:rsidRPr="00DD2D90">
        <w:rPr>
          <w:rStyle w:val="Emphasis"/>
          <w:b w:val="0"/>
          <w:bCs/>
          <w:highlight w:val="green"/>
          <w:lang w:val="vi-VN"/>
        </w:rPr>
        <w:t>surpassing the OECD average of 75%</w:t>
      </w:r>
      <w:r w:rsidRPr="009278EB">
        <w:rPr>
          <w:sz w:val="16"/>
          <w:lang w:val="vi-VN"/>
        </w:rPr>
        <w:t xml:space="preserve"> (2). 2.2. A robust healthcare infrastructure </w:t>
      </w:r>
      <w:r w:rsidRPr="00DD2D90">
        <w:rPr>
          <w:rStyle w:val="Emphasis"/>
          <w:b w:val="0"/>
          <w:bCs/>
          <w:highlight w:val="green"/>
          <w:lang w:val="vi-VN"/>
        </w:rPr>
        <w:t>Japan</w:t>
      </w:r>
      <w:r w:rsidRPr="00DD2D90">
        <w:rPr>
          <w:rStyle w:val="Emphasis"/>
          <w:b w:val="0"/>
          <w:bCs/>
          <w:lang w:val="vi-VN"/>
        </w:rPr>
        <w:t xml:space="preserve"> possesses one of the most resource-intensive healthcare infrastructures globally</w:t>
      </w:r>
      <w:r w:rsidRPr="009278EB">
        <w:rPr>
          <w:sz w:val="16"/>
          <w:lang w:val="vi-VN"/>
        </w:rPr>
        <w:t xml:space="preserve">. The country </w:t>
      </w:r>
      <w:r w:rsidRPr="00DD2D90">
        <w:rPr>
          <w:rStyle w:val="Emphasis"/>
          <w:b w:val="0"/>
          <w:bCs/>
          <w:highlight w:val="green"/>
          <w:lang w:val="vi-VN"/>
        </w:rPr>
        <w:t>maintains</w:t>
      </w:r>
      <w:r w:rsidRPr="00DD2D90">
        <w:rPr>
          <w:rStyle w:val="Emphasis"/>
          <w:b w:val="0"/>
          <w:bCs/>
          <w:lang w:val="vi-VN"/>
        </w:rPr>
        <w:t xml:space="preserve"> </w:t>
      </w:r>
      <w:r w:rsidRPr="00DD2D90">
        <w:rPr>
          <w:rStyle w:val="Emphasis"/>
          <w:b w:val="0"/>
          <w:bCs/>
          <w:highlight w:val="green"/>
          <w:lang w:val="vi-VN"/>
        </w:rPr>
        <w:t>approximately 13 hospital beds per 1,000 population</w:t>
      </w:r>
      <w:r w:rsidRPr="009278EB">
        <w:rPr>
          <w:sz w:val="16"/>
          <w:lang w:val="vi-VN"/>
        </w:rPr>
        <w:t xml:space="preserve"> – </w:t>
      </w:r>
      <w:r w:rsidRPr="00DD2D90">
        <w:rPr>
          <w:rStyle w:val="Emphasis"/>
          <w:highlight w:val="green"/>
          <w:lang w:val="vi-VN"/>
        </w:rPr>
        <w:t xml:space="preserve">three </w:t>
      </w:r>
      <w:r w:rsidRPr="00DD2D90">
        <w:rPr>
          <w:rStyle w:val="Emphasis"/>
          <w:b w:val="0"/>
          <w:bCs/>
          <w:highlight w:val="green"/>
          <w:lang w:val="vi-VN"/>
        </w:rPr>
        <w:t>times the OECD average of 4 beds</w:t>
      </w:r>
      <w:r w:rsidRPr="009278EB">
        <w:rPr>
          <w:sz w:val="16"/>
          <w:lang w:val="vi-VN"/>
        </w:rPr>
        <w:t xml:space="preserve"> (2). </w:t>
      </w:r>
      <w:r w:rsidRPr="00DD2D90">
        <w:rPr>
          <w:rStyle w:val="StyleUnderline"/>
          <w:highlight w:val="green"/>
        </w:rPr>
        <w:t>Japan</w:t>
      </w:r>
      <w:r w:rsidRPr="009278EB">
        <w:rPr>
          <w:sz w:val="16"/>
          <w:lang w:val="vi-VN"/>
        </w:rPr>
        <w:t xml:space="preserve"> </w:t>
      </w:r>
      <w:r w:rsidRPr="009278EB">
        <w:rPr>
          <w:sz w:val="16"/>
        </w:rPr>
        <w:t xml:space="preserve">also </w:t>
      </w:r>
      <w:r w:rsidRPr="00DD2D90">
        <w:rPr>
          <w:rStyle w:val="Emphasis"/>
          <w:highlight w:val="green"/>
        </w:rPr>
        <w:t>leads</w:t>
      </w:r>
      <w:r w:rsidRPr="00DD2D90">
        <w:rPr>
          <w:rStyle w:val="StyleUnderline"/>
          <w:highlight w:val="green"/>
        </w:rPr>
        <w:t xml:space="preserve"> OECD countries in the per-capita availability</w:t>
      </w:r>
      <w:r w:rsidRPr="009278EB">
        <w:rPr>
          <w:sz w:val="16"/>
        </w:rPr>
        <w:t xml:space="preserve"> </w:t>
      </w:r>
      <w:r w:rsidRPr="00DD2D90">
        <w:rPr>
          <w:rStyle w:val="StyleUnderline"/>
          <w:highlight w:val="green"/>
        </w:rPr>
        <w:t>of</w:t>
      </w:r>
      <w:r w:rsidRPr="009278EB">
        <w:rPr>
          <w:sz w:val="16"/>
          <w:highlight w:val="green"/>
        </w:rPr>
        <w:t xml:space="preserve"> </w:t>
      </w:r>
      <w:r w:rsidRPr="00DD2D90">
        <w:rPr>
          <w:rStyle w:val="StyleUnderline"/>
          <w:highlight w:val="green"/>
        </w:rPr>
        <w:t>advanced</w:t>
      </w:r>
      <w:r w:rsidRPr="009278EB">
        <w:rPr>
          <w:sz w:val="16"/>
        </w:rPr>
        <w:t xml:space="preserve"> diagnostic </w:t>
      </w:r>
      <w:r w:rsidRPr="00DD2D90">
        <w:rPr>
          <w:rStyle w:val="StyleUnderline"/>
          <w:highlight w:val="green"/>
        </w:rPr>
        <w:t>equipment</w:t>
      </w:r>
      <w:r w:rsidRPr="009278EB">
        <w:rPr>
          <w:sz w:val="16"/>
        </w:rPr>
        <w:t xml:space="preserve">, including CT and MRI scanners </w:t>
      </w:r>
      <w:r w:rsidRPr="009278EB">
        <w:rPr>
          <w:sz w:val="16"/>
          <w:lang w:val="vi-VN"/>
        </w:rPr>
        <w:t xml:space="preserve">(2). 2.3. A strong nursing and allied healthcare workforce </w:t>
      </w:r>
      <w:r w:rsidRPr="00DD2D90">
        <w:rPr>
          <w:rStyle w:val="Emphasis"/>
          <w:b w:val="0"/>
          <w:bCs/>
          <w:highlight w:val="green"/>
          <w:lang w:val="vi-VN"/>
        </w:rPr>
        <w:t>Japan's</w:t>
      </w:r>
      <w:r w:rsidRPr="00DD2D90">
        <w:rPr>
          <w:rStyle w:val="Emphasis"/>
          <w:b w:val="0"/>
          <w:bCs/>
          <w:lang w:val="vi-VN"/>
        </w:rPr>
        <w:t xml:space="preserve"> </w:t>
      </w:r>
      <w:r w:rsidRPr="00DD2D90">
        <w:rPr>
          <w:rStyle w:val="Emphasis"/>
          <w:b w:val="0"/>
          <w:bCs/>
          <w:highlight w:val="green"/>
          <w:lang w:val="vi-VN"/>
        </w:rPr>
        <w:t>nursing</w:t>
      </w:r>
      <w:r w:rsidRPr="00DD2D90">
        <w:rPr>
          <w:rStyle w:val="Emphasis"/>
          <w:b w:val="0"/>
          <w:bCs/>
          <w:lang w:val="vi-VN"/>
        </w:rPr>
        <w:t xml:space="preserve"> workforce </w:t>
      </w:r>
      <w:r w:rsidRPr="00DD2D90">
        <w:rPr>
          <w:rStyle w:val="Emphasis"/>
          <w:b w:val="0"/>
          <w:bCs/>
          <w:highlight w:val="green"/>
          <w:lang w:val="vi-VN"/>
        </w:rPr>
        <w:t>density of 12.2 nurses per 1,000 population</w:t>
      </w:r>
      <w:r w:rsidRPr="009278EB">
        <w:rPr>
          <w:sz w:val="16"/>
          <w:lang w:val="vi-VN"/>
        </w:rPr>
        <w:t xml:space="preserve"> </w:t>
      </w:r>
      <w:r w:rsidRPr="00DD2D90">
        <w:rPr>
          <w:rStyle w:val="Emphasis"/>
          <w:highlight w:val="green"/>
        </w:rPr>
        <w:t>significantly</w:t>
      </w:r>
      <w:r w:rsidRPr="009278EB">
        <w:rPr>
          <w:sz w:val="16"/>
          <w:highlight w:val="green"/>
          <w:lang w:val="vi-VN"/>
        </w:rPr>
        <w:t xml:space="preserve"> </w:t>
      </w:r>
      <w:r w:rsidRPr="00DD2D90">
        <w:rPr>
          <w:rStyle w:val="Emphasis"/>
          <w:b w:val="0"/>
          <w:bCs/>
          <w:highlight w:val="green"/>
          <w:lang w:val="vi-VN"/>
        </w:rPr>
        <w:t>exceeds</w:t>
      </w:r>
      <w:r w:rsidRPr="00DD2D90">
        <w:rPr>
          <w:rStyle w:val="Emphasis"/>
          <w:b w:val="0"/>
          <w:bCs/>
          <w:lang w:val="vi-VN"/>
        </w:rPr>
        <w:t xml:space="preserve"> </w:t>
      </w:r>
      <w:r w:rsidRPr="00DD2D90">
        <w:rPr>
          <w:rStyle w:val="Emphasis"/>
          <w:b w:val="0"/>
          <w:bCs/>
          <w:highlight w:val="green"/>
          <w:lang w:val="vi-VN"/>
        </w:rPr>
        <w:t>the OECD average</w:t>
      </w:r>
      <w:r w:rsidRPr="00DD2D90">
        <w:rPr>
          <w:rStyle w:val="Emphasis"/>
          <w:b w:val="0"/>
          <w:bCs/>
          <w:lang w:val="vi-VN"/>
        </w:rPr>
        <w:t xml:space="preserve"> of 9.2 nurses</w:t>
      </w:r>
      <w:r w:rsidRPr="009278EB">
        <w:rPr>
          <w:sz w:val="16"/>
          <w:lang w:val="vi-VN"/>
        </w:rPr>
        <w:t xml:space="preserve"> (3). </w:t>
      </w:r>
      <w:r w:rsidRPr="009278EB">
        <w:rPr>
          <w:sz w:val="16"/>
        </w:rPr>
        <w:t>The physician-to-nurse ratio (1:4.6) is among the highest among OECD countries, enabling partial task shifting and contributing to improved patient satisfaction</w:t>
      </w:r>
      <w:r w:rsidRPr="009278EB">
        <w:rPr>
          <w:sz w:val="16"/>
          <w:lang w:val="vi-VN"/>
        </w:rPr>
        <w:t xml:space="preserve"> (3). </w:t>
      </w:r>
      <w:r w:rsidRPr="00DD2D90">
        <w:rPr>
          <w:rStyle w:val="Emphasis"/>
          <w:b w:val="0"/>
          <w:bCs/>
          <w:highlight w:val="green"/>
          <w:lang w:val="vi-VN"/>
        </w:rPr>
        <w:t>Pharmacists</w:t>
      </w:r>
      <w:r w:rsidRPr="00DD2D90">
        <w:rPr>
          <w:rStyle w:val="Emphasis"/>
          <w:b w:val="0"/>
          <w:bCs/>
          <w:lang w:val="vi-VN"/>
        </w:rPr>
        <w:t xml:space="preserve"> also </w:t>
      </w:r>
      <w:r w:rsidRPr="00DD2D90">
        <w:rPr>
          <w:rStyle w:val="Emphasis"/>
          <w:b w:val="0"/>
          <w:bCs/>
          <w:highlight w:val="green"/>
          <w:lang w:val="vi-VN"/>
        </w:rPr>
        <w:t>play an expanded role in community-based care</w:t>
      </w:r>
      <w:r w:rsidRPr="009278EB">
        <w:rPr>
          <w:sz w:val="16"/>
          <w:lang w:val="vi-VN"/>
        </w:rPr>
        <w:t>, actively participating in prescription drug review and medication management (5).</w:t>
      </w:r>
    </w:p>
    <w:p w14:paraId="2CA14633" w14:textId="77777777" w:rsidR="00EA6776" w:rsidRPr="009278EB" w:rsidRDefault="00EA6776">
      <w:pPr>
        <w:rPr>
          <w:rFonts w:eastAsiaTheme="majorEastAsia" w:cstheme="majorBidi"/>
          <w:b/>
          <w:iCs/>
          <w:sz w:val="16"/>
          <w:lang w:val="vi-VN"/>
        </w:rPr>
      </w:pPr>
      <w:r w:rsidRPr="009278EB">
        <w:rPr>
          <w:sz w:val="16"/>
          <w:lang w:val="vi-VN"/>
        </w:rPr>
        <w:br w:type="page"/>
      </w:r>
    </w:p>
    <w:p w14:paraId="22F4918C" w14:textId="24BAC842" w:rsidR="00D54190" w:rsidRPr="009278EB" w:rsidRDefault="00D54190" w:rsidP="00D54190">
      <w:pPr>
        <w:pStyle w:val="Heading4"/>
        <w:rPr>
          <w:szCs w:val="26"/>
        </w:rPr>
      </w:pPr>
      <w:r w:rsidRPr="009278EB">
        <w:rPr>
          <w:szCs w:val="26"/>
          <w:lang w:val="vi-VN"/>
        </w:rPr>
        <w:t xml:space="preserve">South Korea </w:t>
      </w:r>
      <w:r w:rsidR="00922FD6" w:rsidRPr="009278EB">
        <w:rPr>
          <w:szCs w:val="26"/>
        </w:rPr>
        <w:t xml:space="preserve">has the best peak capacity for </w:t>
      </w:r>
      <w:r w:rsidRPr="009278EB">
        <w:rPr>
          <w:szCs w:val="26"/>
          <w:lang w:val="vi-VN"/>
        </w:rPr>
        <w:t>hospital bed</w:t>
      </w:r>
      <w:r w:rsidR="00922FD6" w:rsidRPr="009278EB">
        <w:rPr>
          <w:szCs w:val="26"/>
        </w:rPr>
        <w:t>s, increasing</w:t>
      </w:r>
      <w:r w:rsidR="00084DBE" w:rsidRPr="009278EB">
        <w:rPr>
          <w:szCs w:val="26"/>
        </w:rPr>
        <w:t xml:space="preserve"> public health</w:t>
      </w:r>
      <w:r w:rsidR="00922FD6" w:rsidRPr="009278EB">
        <w:rPr>
          <w:szCs w:val="26"/>
        </w:rPr>
        <w:t xml:space="preserve"> </w:t>
      </w:r>
      <w:r w:rsidR="00E73C13" w:rsidRPr="009278EB">
        <w:rPr>
          <w:szCs w:val="26"/>
        </w:rPr>
        <w:t>preparedness</w:t>
      </w:r>
    </w:p>
    <w:p w14:paraId="1B8069B9" w14:textId="77777777" w:rsidR="00D54190" w:rsidRPr="00DD2D90" w:rsidRDefault="00D54190" w:rsidP="00D54190">
      <w:pPr>
        <w:rPr>
          <w:lang w:val="vi-VN"/>
        </w:rPr>
      </w:pPr>
      <w:r w:rsidRPr="009278EB">
        <w:rPr>
          <w:b/>
          <w:bCs/>
          <w:sz w:val="26"/>
          <w:szCs w:val="26"/>
          <w:lang w:val="vi-VN"/>
        </w:rPr>
        <w:t>Jones 24</w:t>
      </w:r>
      <w:r w:rsidRPr="00DD2D90">
        <w:rPr>
          <w:b/>
          <w:bCs/>
          <w:lang w:val="vi-VN"/>
        </w:rPr>
        <w:t xml:space="preserve"> </w:t>
      </w:r>
      <w:r w:rsidRPr="00DD2D90">
        <w:rPr>
          <w:lang w:val="vi-VN"/>
        </w:rPr>
        <w:t>[Randall S. Jones, a non-resident distinguished fellow at the Korea Economic Institute and a Professional Fellow at Columbia University’s Center on Japanese Economy and Business, 08</w:t>
      </w:r>
      <w:r w:rsidRPr="00DD2D90">
        <w:t>-</w:t>
      </w:r>
      <w:r w:rsidRPr="00DD2D90">
        <w:rPr>
          <w:lang w:val="vi-VN"/>
        </w:rPr>
        <w:t>20</w:t>
      </w:r>
      <w:r w:rsidRPr="00DD2D90">
        <w:t>-</w:t>
      </w:r>
      <w:r w:rsidRPr="00DD2D90">
        <w:rPr>
          <w:lang w:val="vi-VN"/>
        </w:rPr>
        <w:t>2024, “Korea’s Healthcare System Part II: Policies to Contain the Growth of Healthcare Spending” KEI, https://keia.org/the-peninsula/koreas-healthcare-system-part-ii-policies-to-contain-the-growth-of-healthcare-spending/]</w:t>
      </w:r>
      <w:r w:rsidRPr="00DD2D90">
        <w:t>;</w:t>
      </w:r>
      <w:r w:rsidRPr="00DD2D90">
        <w:rPr>
          <w:lang w:val="vi-VN"/>
        </w:rPr>
        <w:t>Kankee</w:t>
      </w:r>
    </w:p>
    <w:p w14:paraId="2864AB16" w14:textId="77777777" w:rsidR="00D54190" w:rsidRPr="009278EB" w:rsidRDefault="00D54190" w:rsidP="00D54190">
      <w:pPr>
        <w:rPr>
          <w:sz w:val="16"/>
        </w:rPr>
      </w:pPr>
      <w:r w:rsidRPr="00DD2D90">
        <w:rPr>
          <w:rStyle w:val="Emphasis"/>
          <w:b w:val="0"/>
          <w:bCs/>
          <w:lang w:val="vi-VN"/>
        </w:rPr>
        <w:t xml:space="preserve">The </w:t>
      </w:r>
      <w:r w:rsidRPr="00DD2D90">
        <w:rPr>
          <w:rStyle w:val="Emphasis"/>
          <w:b w:val="0"/>
          <w:bCs/>
          <w:highlight w:val="green"/>
          <w:lang w:val="vi-VN"/>
        </w:rPr>
        <w:t>number of hospital beds in Korea</w:t>
      </w:r>
      <w:r w:rsidRPr="00DD2D90">
        <w:rPr>
          <w:rStyle w:val="Emphasis"/>
          <w:highlight w:val="green"/>
          <w:lang w:val="vi-VN"/>
        </w:rPr>
        <w:t xml:space="preserve"> </w:t>
      </w:r>
      <w:r w:rsidRPr="00DD2D90">
        <w:rPr>
          <w:rStyle w:val="StyleUnderline"/>
        </w:rPr>
        <w:t>increased 2.5 times from 2004 to 2022</w:t>
      </w:r>
      <w:r w:rsidRPr="009278EB">
        <w:rPr>
          <w:sz w:val="16"/>
          <w:lang w:val="vi-VN"/>
        </w:rPr>
        <w:t xml:space="preserve"> while declining by more than 3 percent among the OECD countries. Consequently, </w:t>
      </w:r>
      <w:r w:rsidRPr="00DD2D90">
        <w:rPr>
          <w:rStyle w:val="StyleUnderline"/>
          <w:highlight w:val="green"/>
        </w:rPr>
        <w:t>the number</w:t>
      </w:r>
      <w:r w:rsidRPr="00DD2D90">
        <w:rPr>
          <w:rStyle w:val="Emphasis"/>
          <w:highlight w:val="green"/>
          <w:lang w:val="vi-VN"/>
        </w:rPr>
        <w:t xml:space="preserve"> </w:t>
      </w:r>
      <w:r w:rsidRPr="00DD2D90">
        <w:rPr>
          <w:rStyle w:val="StyleUnderline"/>
          <w:highlight w:val="green"/>
        </w:rPr>
        <w:t>of hospital</w:t>
      </w:r>
      <w:r w:rsidRPr="00DD2D90">
        <w:rPr>
          <w:rStyle w:val="Emphasis"/>
          <w:highlight w:val="green"/>
          <w:lang w:val="vi-VN"/>
        </w:rPr>
        <w:t xml:space="preserve"> </w:t>
      </w:r>
      <w:r w:rsidRPr="00DD2D90">
        <w:rPr>
          <w:rStyle w:val="Emphasis"/>
          <w:b w:val="0"/>
          <w:bCs/>
          <w:highlight w:val="green"/>
          <w:lang w:val="vi-VN"/>
        </w:rPr>
        <w:t>beds (per 1,000 population</w:t>
      </w:r>
      <w:r w:rsidRPr="00DD2D90">
        <w:rPr>
          <w:rStyle w:val="Emphasis"/>
          <w:b w:val="0"/>
          <w:bCs/>
          <w:lang w:val="vi-VN"/>
        </w:rPr>
        <w:t xml:space="preserve">) in Korea in 2022 </w:t>
      </w:r>
      <w:r w:rsidRPr="00DD2D90">
        <w:rPr>
          <w:rStyle w:val="Emphasis"/>
          <w:b w:val="0"/>
          <w:bCs/>
          <w:highlight w:val="green"/>
          <w:lang w:val="vi-VN"/>
        </w:rPr>
        <w:t>was 12.9</w:t>
      </w:r>
      <w:r w:rsidRPr="00DD2D90">
        <w:rPr>
          <w:rStyle w:val="Emphasis"/>
          <w:b w:val="0"/>
          <w:bCs/>
          <w:lang w:val="vi-VN"/>
        </w:rPr>
        <w:t xml:space="preserve">, </w:t>
      </w:r>
      <w:r w:rsidRPr="00DD2D90">
        <w:rPr>
          <w:rStyle w:val="Emphasis"/>
          <w:b w:val="0"/>
          <w:bCs/>
          <w:highlight w:val="green"/>
          <w:lang w:val="vi-VN"/>
        </w:rPr>
        <w:t xml:space="preserve">the </w:t>
      </w:r>
      <w:r w:rsidRPr="00DD2D90">
        <w:rPr>
          <w:rStyle w:val="Emphasis"/>
          <w:highlight w:val="green"/>
        </w:rPr>
        <w:t>highest</w:t>
      </w:r>
      <w:r w:rsidRPr="00DD2D90">
        <w:rPr>
          <w:rStyle w:val="Emphasis"/>
          <w:b w:val="0"/>
          <w:bCs/>
          <w:highlight w:val="green"/>
          <w:lang w:val="vi-VN"/>
        </w:rPr>
        <w:t xml:space="preserve"> in the OECD and </w:t>
      </w:r>
      <w:r w:rsidRPr="00DD2D90">
        <w:rPr>
          <w:rStyle w:val="Emphasis"/>
          <w:highlight w:val="green"/>
        </w:rPr>
        <w:t>triple</w:t>
      </w:r>
      <w:r w:rsidRPr="00DD2D90">
        <w:rPr>
          <w:rStyle w:val="Emphasis"/>
          <w:b w:val="0"/>
          <w:bCs/>
          <w:highlight w:val="green"/>
          <w:lang w:val="vi-VN"/>
        </w:rPr>
        <w:t xml:space="preserve"> the OECD average</w:t>
      </w:r>
      <w:r w:rsidRPr="009278EB">
        <w:rPr>
          <w:sz w:val="16"/>
          <w:lang w:val="vi-VN"/>
        </w:rPr>
        <w:t xml:space="preserve"> (Figure 3, Panel A). Moreover, </w:t>
      </w:r>
      <w:r w:rsidRPr="00DD2D90">
        <w:rPr>
          <w:rStyle w:val="StyleUnderline"/>
          <w:highlight w:val="green"/>
          <w:lang w:val="vi-VN"/>
        </w:rPr>
        <w:t>the average length of stay</w:t>
      </w:r>
      <w:r w:rsidRPr="00DD2D90">
        <w:rPr>
          <w:rStyle w:val="StyleUnderline"/>
          <w:lang w:val="vi-VN"/>
        </w:rPr>
        <w:t xml:space="preserve">, at 18.5 days, </w:t>
      </w:r>
      <w:r w:rsidRPr="00DD2D90">
        <w:rPr>
          <w:rStyle w:val="StyleUnderline"/>
          <w:highlight w:val="green"/>
          <w:lang w:val="vi-VN"/>
        </w:rPr>
        <w:t>was the longest in the OECD</w:t>
      </w:r>
      <w:r w:rsidRPr="00DD2D90">
        <w:rPr>
          <w:rStyle w:val="StyleUnderline"/>
          <w:lang w:val="vi-VN"/>
        </w:rPr>
        <w:t xml:space="preserve"> in 2022</w:t>
      </w:r>
      <w:r w:rsidRPr="009278EB">
        <w:rPr>
          <w:sz w:val="16"/>
          <w:lang w:val="vi-VN"/>
        </w:rPr>
        <w:t xml:space="preserve"> (Panel B). The exceptionally large number of hospital beds and the long duration of hospitalization are significant factors driving up Korea’s healthcare spending. The rising share of the elderly who require long-term care (nursing care and assistance) is a major factor driving </w:t>
      </w:r>
      <w:r w:rsidRPr="009278EB">
        <w:rPr>
          <w:sz w:val="16"/>
        </w:rPr>
        <w:t>up hospitalization rates. Long-term care in Korea was traditionally a family obligation. In a 2006 government survey, 67.3 percent of Koreans believed that caring for elderly parents was a family responsibility. However, that view was</w:t>
      </w:r>
      <w:r w:rsidRPr="009278EB">
        <w:rPr>
          <w:sz w:val="16"/>
          <w:lang w:val="vi-VN"/>
        </w:rPr>
        <w:t xml:space="preserve"> only held by 32.6 percent in 2016. The introduction of universal long-term care insurance (LTCI) in 2008 accelerated the shift in public opinion</w:t>
      </w:r>
      <w:r w:rsidRPr="00DD2D90">
        <w:rPr>
          <w:rStyle w:val="Emphasis"/>
          <w:lang w:val="vi-VN"/>
        </w:rPr>
        <w:t xml:space="preserve">. </w:t>
      </w:r>
      <w:r w:rsidRPr="00DD2D90">
        <w:rPr>
          <w:rStyle w:val="Emphasis"/>
          <w:b w:val="0"/>
          <w:bCs/>
          <w:highlight w:val="green"/>
          <w:lang w:val="vi-VN"/>
        </w:rPr>
        <w:t>Korea</w:t>
      </w:r>
      <w:r w:rsidRPr="00DD2D90">
        <w:rPr>
          <w:rStyle w:val="Emphasis"/>
          <w:b w:val="0"/>
          <w:bCs/>
          <w:lang w:val="vi-VN"/>
        </w:rPr>
        <w:t xml:space="preserve"> was the second Asian country, after Japan, to introduce a social insurance system</w:t>
      </w:r>
      <w:r w:rsidRPr="009278EB">
        <w:rPr>
          <w:sz w:val="16"/>
          <w:lang w:val="vi-VN"/>
        </w:rPr>
        <w:t xml:space="preserve"> that </w:t>
      </w:r>
      <w:r w:rsidRPr="00DD2D90">
        <w:rPr>
          <w:rStyle w:val="StyleUnderline"/>
          <w:highlight w:val="green"/>
        </w:rPr>
        <w:t>provided</w:t>
      </w:r>
      <w:r w:rsidRPr="00DD2D90">
        <w:rPr>
          <w:rStyle w:val="StyleUnderline"/>
        </w:rPr>
        <w:t xml:space="preserve"> comprehensive </w:t>
      </w:r>
      <w:r w:rsidRPr="00DD2D90">
        <w:rPr>
          <w:rStyle w:val="StyleUnderline"/>
          <w:highlight w:val="green"/>
        </w:rPr>
        <w:t>universal</w:t>
      </w:r>
      <w:r w:rsidRPr="00DD2D90">
        <w:rPr>
          <w:rStyle w:val="StyleUnderline"/>
        </w:rPr>
        <w:t xml:space="preserve"> long-term care </w:t>
      </w:r>
      <w:r w:rsidRPr="00DD2D90">
        <w:rPr>
          <w:rStyle w:val="StyleUnderline"/>
          <w:highlight w:val="green"/>
        </w:rPr>
        <w:t>coverage</w:t>
      </w:r>
      <w:r w:rsidRPr="00DD2D90">
        <w:rPr>
          <w:rStyle w:val="StyleUnderline"/>
        </w:rPr>
        <w:t xml:space="preserve"> </w:t>
      </w:r>
      <w:r w:rsidRPr="009278EB">
        <w:rPr>
          <w:sz w:val="16"/>
        </w:rPr>
        <w:t>for the elderly.</w:t>
      </w:r>
    </w:p>
    <w:p w14:paraId="21EC968A" w14:textId="77777777" w:rsidR="008E2609" w:rsidRPr="00DD2D90" w:rsidRDefault="008E2609" w:rsidP="0082453E">
      <w:pPr>
        <w:rPr>
          <w:rStyle w:val="Emphasis"/>
        </w:rPr>
      </w:pPr>
    </w:p>
    <w:p w14:paraId="4C953D1C" w14:textId="77777777" w:rsidR="00EA6776" w:rsidRPr="009278EB" w:rsidRDefault="00EA6776">
      <w:pPr>
        <w:rPr>
          <w:rFonts w:eastAsiaTheme="majorEastAsia" w:cstheme="majorBidi"/>
          <w:b/>
          <w:iCs/>
          <w:sz w:val="16"/>
        </w:rPr>
      </w:pPr>
      <w:r w:rsidRPr="009278EB">
        <w:rPr>
          <w:sz w:val="16"/>
        </w:rPr>
        <w:br w:type="page"/>
      </w:r>
    </w:p>
    <w:p w14:paraId="30D66D75" w14:textId="420ECB2C" w:rsidR="00CB4C07" w:rsidRPr="009278EB" w:rsidRDefault="00CB4C07" w:rsidP="00CB4C07">
      <w:pPr>
        <w:pStyle w:val="Heading4"/>
        <w:rPr>
          <w:szCs w:val="26"/>
        </w:rPr>
      </w:pPr>
      <w:r w:rsidRPr="009278EB">
        <w:rPr>
          <w:szCs w:val="26"/>
        </w:rPr>
        <w:t>Covid-19 proves how healthcare privatization trades off with disease prevention - single-payer countries better responded to pandemics.</w:t>
      </w:r>
    </w:p>
    <w:p w14:paraId="2D31FF3E" w14:textId="023A91A4" w:rsidR="00CB4C07" w:rsidRPr="00DD2D90" w:rsidRDefault="00CB4C07" w:rsidP="00CB4C07">
      <w:r w:rsidRPr="009278EB">
        <w:rPr>
          <w:rStyle w:val="Heading4Char"/>
          <w:szCs w:val="26"/>
        </w:rPr>
        <w:t>Navarro 20</w:t>
      </w:r>
      <w:r w:rsidRPr="00DD2D90">
        <w:t xml:space="preserve"> [Vicente Navarro, Professor at the Bloomberg School of Public Health, 5-7-2020, "The Consequences of Neoliberalism in the Current Pandemic," SAGE Journals, https://journals.sagepub.com/doi/full/10.1177/0020731420925449]/Kankee</w:t>
      </w:r>
    </w:p>
    <w:p w14:paraId="7219A9EA" w14:textId="77777777" w:rsidR="00CB4C07" w:rsidRPr="009278EB" w:rsidRDefault="00CB4C07" w:rsidP="00CB4C07">
      <w:pPr>
        <w:rPr>
          <w:sz w:val="16"/>
        </w:rPr>
      </w:pPr>
      <w:r w:rsidRPr="009278EB">
        <w:rPr>
          <w:sz w:val="16"/>
        </w:rPr>
        <w:t xml:space="preserve">In a previous article, </w:t>
      </w:r>
      <w:r w:rsidRPr="00DD2D90">
        <w:rPr>
          <w:rStyle w:val="StyleUnderline"/>
        </w:rPr>
        <w:t>I explored</w:t>
      </w:r>
      <w:r w:rsidRPr="009278EB">
        <w:rPr>
          <w:sz w:val="16"/>
        </w:rPr>
        <w:t xml:space="preserve"> some </w:t>
      </w:r>
      <w:r w:rsidRPr="00DD2D90">
        <w:rPr>
          <w:rStyle w:val="StyleUnderline"/>
        </w:rPr>
        <w:t>important elements</w:t>
      </w:r>
      <w:r w:rsidRPr="009278EB">
        <w:rPr>
          <w:sz w:val="16"/>
        </w:rPr>
        <w:t xml:space="preserve"> </w:t>
      </w:r>
      <w:r w:rsidRPr="00DD2D90">
        <w:rPr>
          <w:rStyle w:val="StyleUnderline"/>
        </w:rPr>
        <w:t>that contributed to</w:t>
      </w:r>
      <w:r w:rsidRPr="009278EB">
        <w:rPr>
          <w:sz w:val="16"/>
        </w:rPr>
        <w:t xml:space="preserve"> </w:t>
      </w:r>
      <w:r w:rsidRPr="00DD2D90">
        <w:rPr>
          <w:rStyle w:val="StyleUnderline"/>
        </w:rPr>
        <w:t>the</w:t>
      </w:r>
      <w:r w:rsidRPr="009278EB">
        <w:rPr>
          <w:sz w:val="16"/>
        </w:rPr>
        <w:t xml:space="preserve"> </w:t>
      </w:r>
      <w:r w:rsidRPr="00DD2D90">
        <w:rPr>
          <w:rStyle w:val="StyleUnderline"/>
        </w:rPr>
        <w:t>spread</w:t>
      </w:r>
      <w:r w:rsidRPr="009278EB">
        <w:rPr>
          <w:sz w:val="16"/>
        </w:rPr>
        <w:t xml:space="preserve">ing </w:t>
      </w:r>
      <w:r w:rsidRPr="00DD2D90">
        <w:rPr>
          <w:rStyle w:val="StyleUnderline"/>
        </w:rPr>
        <w:t>of the</w:t>
      </w:r>
      <w:r w:rsidRPr="009278EB">
        <w:rPr>
          <w:sz w:val="16"/>
        </w:rPr>
        <w:t xml:space="preserve"> current epidemic – now </w:t>
      </w:r>
      <w:r w:rsidRPr="00DD2D90">
        <w:rPr>
          <w:rStyle w:val="StyleUnderline"/>
        </w:rPr>
        <w:t>pandemic</w:t>
      </w:r>
      <w:r w:rsidRPr="009278EB">
        <w:rPr>
          <w:sz w:val="16"/>
        </w:rPr>
        <w:t xml:space="preserve"> – caused by a new Coronavirus. </w:t>
      </w:r>
      <w:r w:rsidRPr="00DD2D90">
        <w:rPr>
          <w:rStyle w:val="StyleUnderline"/>
        </w:rPr>
        <w:t>These elements</w:t>
      </w:r>
      <w:r w:rsidRPr="009278EB">
        <w:rPr>
          <w:sz w:val="16"/>
        </w:rPr>
        <w:t xml:space="preserve"> have not been given visibility by the mainstream media and </w:t>
      </w:r>
      <w:r w:rsidRPr="00DD2D90">
        <w:rPr>
          <w:rStyle w:val="StyleUnderline"/>
        </w:rPr>
        <w:t>could</w:t>
      </w:r>
      <w:r w:rsidRPr="009278EB">
        <w:rPr>
          <w:sz w:val="16"/>
        </w:rPr>
        <w:t xml:space="preserve">, if not understood or resolved, </w:t>
      </w:r>
      <w:r w:rsidRPr="00DD2D90">
        <w:rPr>
          <w:rStyle w:val="StyleUnderline"/>
        </w:rPr>
        <w:t>create</w:t>
      </w:r>
      <w:r w:rsidRPr="009278EB">
        <w:rPr>
          <w:sz w:val="16"/>
        </w:rPr>
        <w:t xml:space="preserve"> the </w:t>
      </w:r>
      <w:r w:rsidRPr="00DD2D90">
        <w:rPr>
          <w:rStyle w:val="StyleUnderline"/>
        </w:rPr>
        <w:t>conditions for other epidemics to emerge</w:t>
      </w:r>
      <w:r w:rsidRPr="009278EB">
        <w:rPr>
          <w:sz w:val="16"/>
        </w:rPr>
        <w:t xml:space="preserve">, once the current one is resolved (see “Lo Que No Se Ha Dicho de la Epidemia de Coronavirus” [“That Which Has Not Been Said About the Coronavirus Epidemic”], Público, April 3, 2020). Among these elements, </w:t>
      </w:r>
      <w:r w:rsidRPr="00DD2D90">
        <w:rPr>
          <w:rStyle w:val="StyleUnderline"/>
        </w:rPr>
        <w:t>an important one has been the behavior of</w:t>
      </w:r>
      <w:r w:rsidRPr="009278EB">
        <w:rPr>
          <w:sz w:val="16"/>
        </w:rPr>
        <w:t xml:space="preserve"> the </w:t>
      </w:r>
      <w:r w:rsidRPr="00DD2D90">
        <w:rPr>
          <w:rStyle w:val="StyleUnderline"/>
        </w:rPr>
        <w:t>large</w:t>
      </w:r>
      <w:r w:rsidRPr="009278EB">
        <w:rPr>
          <w:sz w:val="16"/>
        </w:rPr>
        <w:t xml:space="preserve"> </w:t>
      </w:r>
      <w:r w:rsidRPr="00DD2D90">
        <w:rPr>
          <w:rStyle w:val="StyleUnderline"/>
        </w:rPr>
        <w:t>pharma</w:t>
      </w:r>
      <w:r w:rsidRPr="009278EB">
        <w:rPr>
          <w:sz w:val="16"/>
        </w:rPr>
        <w:t xml:space="preserve">ceutical </w:t>
      </w:r>
      <w:r w:rsidRPr="00DD2D90">
        <w:rPr>
          <w:rStyle w:val="StyleUnderline"/>
        </w:rPr>
        <w:t xml:space="preserve">companies that </w:t>
      </w:r>
      <w:r w:rsidRPr="00DD2D90">
        <w:rPr>
          <w:rStyle w:val="Emphasis"/>
        </w:rPr>
        <w:t>systematically</w:t>
      </w:r>
      <w:r w:rsidRPr="00DD2D90">
        <w:rPr>
          <w:rStyle w:val="StyleUnderline"/>
        </w:rPr>
        <w:t xml:space="preserve"> </w:t>
      </w:r>
      <w:r w:rsidRPr="00DD2D90">
        <w:rPr>
          <w:rStyle w:val="Emphasis"/>
        </w:rPr>
        <w:t>prioritize</w:t>
      </w:r>
      <w:r w:rsidRPr="009278EB">
        <w:rPr>
          <w:sz w:val="16"/>
        </w:rPr>
        <w:t xml:space="preserve"> their objective of </w:t>
      </w:r>
      <w:r w:rsidRPr="00DD2D90">
        <w:rPr>
          <w:rStyle w:val="StyleUnderline"/>
        </w:rPr>
        <w:t>maximizing profits over any other ends</w:t>
      </w:r>
      <w:r w:rsidRPr="009278EB">
        <w:rPr>
          <w:sz w:val="16"/>
        </w:rPr>
        <w:t xml:space="preserve">, </w:t>
      </w:r>
      <w:r w:rsidRPr="00DD2D90">
        <w:rPr>
          <w:rStyle w:val="StyleUnderline"/>
        </w:rPr>
        <w:t>such as preventing and/or curing illnesses</w:t>
      </w:r>
      <w:r w:rsidRPr="009278EB">
        <w:rPr>
          <w:sz w:val="16"/>
        </w:rPr>
        <w:t xml:space="preserve"> (</w:t>
      </w:r>
      <w:r w:rsidRPr="00DD2D90">
        <w:rPr>
          <w:rStyle w:val="StyleUnderline"/>
        </w:rPr>
        <w:t>which</w:t>
      </w:r>
      <w:r w:rsidRPr="009278EB">
        <w:rPr>
          <w:sz w:val="16"/>
        </w:rPr>
        <w:t xml:space="preserve">, </w:t>
      </w:r>
      <w:r w:rsidRPr="00DD2D90">
        <w:rPr>
          <w:rStyle w:val="StyleUnderline"/>
        </w:rPr>
        <w:t>by spreading, may turn into pandemics</w:t>
      </w:r>
      <w:r w:rsidRPr="009278EB">
        <w:rPr>
          <w:sz w:val="16"/>
        </w:rPr>
        <w:t xml:space="preserve"> – as we are witnessing in the current crisis). Many other sectors of medical care show similar behavior. And it is </w:t>
      </w:r>
      <w:r w:rsidRPr="00DD2D90">
        <w:rPr>
          <w:rStyle w:val="StyleUnderline"/>
          <w:highlight w:val="green"/>
        </w:rPr>
        <w:t>this commercialization of medicine</w:t>
      </w:r>
      <w:r w:rsidRPr="009278EB">
        <w:rPr>
          <w:sz w:val="16"/>
          <w:highlight w:val="green"/>
        </w:rPr>
        <w:t xml:space="preserve"> </w:t>
      </w:r>
      <w:r w:rsidRPr="00DD2D90">
        <w:rPr>
          <w:rStyle w:val="StyleUnderline"/>
          <w:highlight w:val="green"/>
        </w:rPr>
        <w:t>and prioritization of private interests over public ones</w:t>
      </w:r>
      <w:r w:rsidRPr="009278EB">
        <w:rPr>
          <w:sz w:val="16"/>
        </w:rPr>
        <w:t xml:space="preserve"> that have </w:t>
      </w:r>
      <w:r w:rsidRPr="00DD2D90">
        <w:rPr>
          <w:rStyle w:val="StyleUnderline"/>
          <w:highlight w:val="green"/>
        </w:rPr>
        <w:t>affected</w:t>
      </w:r>
      <w:r w:rsidRPr="00DD2D90">
        <w:rPr>
          <w:rStyle w:val="StyleUnderline"/>
        </w:rPr>
        <w:t xml:space="preserve"> very negatively </w:t>
      </w:r>
      <w:r w:rsidRPr="00DD2D90">
        <w:rPr>
          <w:rStyle w:val="StyleUnderline"/>
          <w:highlight w:val="green"/>
        </w:rPr>
        <w:t>the health</w:t>
      </w:r>
      <w:r w:rsidRPr="00DD2D90">
        <w:rPr>
          <w:rStyle w:val="StyleUnderline"/>
        </w:rPr>
        <w:t xml:space="preserve"> and quality of life </w:t>
      </w:r>
      <w:r w:rsidRPr="00DD2D90">
        <w:rPr>
          <w:rStyle w:val="StyleUnderline"/>
          <w:highlight w:val="green"/>
        </w:rPr>
        <w:t>of millions</w:t>
      </w:r>
      <w:r w:rsidRPr="009278EB">
        <w:rPr>
          <w:sz w:val="16"/>
        </w:rPr>
        <w:t xml:space="preserve"> and millions of people (see my book Medicine Under Capitalism, 1976). These behaviors have been accentuated in the neoliberal period, which started in the late 1970s and early 1980s in the Western world. </w:t>
      </w:r>
      <w:r w:rsidRPr="00DD2D90">
        <w:rPr>
          <w:rStyle w:val="StyleUnderline"/>
        </w:rPr>
        <w:t xml:space="preserve">One of the </w:t>
      </w:r>
      <w:r w:rsidRPr="00DD2D90">
        <w:rPr>
          <w:rStyle w:val="StyleUnderline"/>
          <w:highlight w:val="green"/>
        </w:rPr>
        <w:t>key public</w:t>
      </w:r>
      <w:r w:rsidRPr="00DD2D90">
        <w:rPr>
          <w:rStyle w:val="StyleUnderline"/>
        </w:rPr>
        <w:t xml:space="preserve"> policies carried out by governments with neoliberal tendencies </w:t>
      </w:r>
      <w:r w:rsidRPr="00DD2D90">
        <w:rPr>
          <w:rStyle w:val="StyleUnderline"/>
          <w:highlight w:val="green"/>
        </w:rPr>
        <w:t>has been the</w:t>
      </w:r>
      <w:r w:rsidRPr="00DD2D90">
        <w:rPr>
          <w:rStyle w:val="StyleUnderline"/>
        </w:rPr>
        <w:t xml:space="preserve"> </w:t>
      </w:r>
      <w:r w:rsidRPr="00DD2D90">
        <w:rPr>
          <w:rStyle w:val="Emphasis"/>
          <w:highlight w:val="green"/>
        </w:rPr>
        <w:t>mass privatization</w:t>
      </w:r>
      <w:r w:rsidRPr="00DD2D90">
        <w:rPr>
          <w:rStyle w:val="StyleUnderline"/>
          <w:highlight w:val="green"/>
        </w:rPr>
        <w:t xml:space="preserve"> and commercialization of public</w:t>
      </w:r>
      <w:r w:rsidRPr="009278EB">
        <w:rPr>
          <w:sz w:val="16"/>
        </w:rPr>
        <w:t xml:space="preserve"> services (such as </w:t>
      </w:r>
      <w:r w:rsidRPr="00DD2D90">
        <w:rPr>
          <w:rStyle w:val="StyleUnderline"/>
          <w:highlight w:val="green"/>
        </w:rPr>
        <w:t>medical care</w:t>
      </w:r>
      <w:r w:rsidRPr="009278EB">
        <w:rPr>
          <w:sz w:val="16"/>
        </w:rPr>
        <w:t xml:space="preserve">), which are so vital for the well-being of populations. Former President Ronald </w:t>
      </w:r>
      <w:r w:rsidRPr="00DD2D90">
        <w:rPr>
          <w:rStyle w:val="StyleUnderline"/>
        </w:rPr>
        <w:t>Reagan</w:t>
      </w:r>
      <w:r w:rsidRPr="009278EB">
        <w:rPr>
          <w:sz w:val="16"/>
        </w:rPr>
        <w:t xml:space="preserve"> in the United States and former Prime Minister Margaret Thatcher in the United Kingdom started these policies at the end of the 1970s and the beginning of the 1980s, and they were continued in Europe by conservative, liberal, and even social-democratic governments (such as the Labour government of Tony Blair in the United Kingdom, the Social Democratic government of Gerard Schröder in Germany, and the socialist government of José Luis Rodríguez Zapatero in Spain). In the United States, former Presidents George </w:t>
      </w:r>
      <w:r w:rsidRPr="00DD2D90">
        <w:rPr>
          <w:rStyle w:val="StyleUnderline"/>
        </w:rPr>
        <w:t>H.W. Bush</w:t>
      </w:r>
      <w:r w:rsidRPr="009278EB">
        <w:rPr>
          <w:sz w:val="16"/>
        </w:rPr>
        <w:t xml:space="preserve">, George </w:t>
      </w:r>
      <w:r w:rsidRPr="00DD2D90">
        <w:rPr>
          <w:rStyle w:val="StyleUnderline"/>
        </w:rPr>
        <w:t>Clinton</w:t>
      </w:r>
      <w:r w:rsidRPr="009278EB">
        <w:rPr>
          <w:sz w:val="16"/>
        </w:rPr>
        <w:t xml:space="preserve">, George W. </w:t>
      </w:r>
      <w:r w:rsidRPr="00DD2D90">
        <w:rPr>
          <w:rStyle w:val="StyleUnderline"/>
        </w:rPr>
        <w:t>Bush</w:t>
      </w:r>
      <w:r w:rsidRPr="009278EB">
        <w:rPr>
          <w:sz w:val="16"/>
        </w:rPr>
        <w:t xml:space="preserve">, and Barack </w:t>
      </w:r>
      <w:r w:rsidRPr="00DD2D90">
        <w:rPr>
          <w:rStyle w:val="StyleUnderline"/>
        </w:rPr>
        <w:t>Obama</w:t>
      </w:r>
      <w:r w:rsidRPr="009278EB">
        <w:rPr>
          <w:sz w:val="16"/>
        </w:rPr>
        <w:t xml:space="preserve"> </w:t>
      </w:r>
      <w:r w:rsidRPr="00DD2D90">
        <w:rPr>
          <w:rStyle w:val="StyleUnderline"/>
        </w:rPr>
        <w:t>and</w:t>
      </w:r>
      <w:r w:rsidRPr="009278EB">
        <w:rPr>
          <w:sz w:val="16"/>
        </w:rPr>
        <w:t xml:space="preserve"> current President Donald </w:t>
      </w:r>
      <w:r w:rsidRPr="00DD2D90">
        <w:rPr>
          <w:rStyle w:val="StyleUnderline"/>
        </w:rPr>
        <w:t>Trump</w:t>
      </w:r>
      <w:r w:rsidRPr="009278EB">
        <w:rPr>
          <w:sz w:val="16"/>
        </w:rPr>
        <w:t xml:space="preserve"> also </w:t>
      </w:r>
      <w:r w:rsidRPr="00DD2D90">
        <w:rPr>
          <w:rStyle w:val="StyleUnderline"/>
        </w:rPr>
        <w:t>carried out these expansions of the commercialization of medicine</w:t>
      </w:r>
      <w:r w:rsidRPr="009278EB">
        <w:rPr>
          <w:sz w:val="16"/>
        </w:rPr>
        <w:t xml:space="preserve">, Trump being the maximum expression of such phenomena. </w:t>
      </w:r>
      <w:r w:rsidRPr="00DD2D90">
        <w:rPr>
          <w:rStyle w:val="StyleUnderline"/>
        </w:rPr>
        <w:t xml:space="preserve">Neoliberalism became the </w:t>
      </w:r>
      <w:r w:rsidRPr="00DD2D90">
        <w:rPr>
          <w:rStyle w:val="Emphasis"/>
        </w:rPr>
        <w:t>hegemonic ideology</w:t>
      </w:r>
      <w:r w:rsidRPr="009278EB">
        <w:rPr>
          <w:sz w:val="16"/>
        </w:rPr>
        <w:t xml:space="preserve"> </w:t>
      </w:r>
      <w:r w:rsidRPr="00DD2D90">
        <w:rPr>
          <w:rStyle w:val="StyleUnderline"/>
        </w:rPr>
        <w:t>of</w:t>
      </w:r>
      <w:r w:rsidRPr="009278EB">
        <w:rPr>
          <w:sz w:val="16"/>
        </w:rPr>
        <w:t xml:space="preserve"> both national and international </w:t>
      </w:r>
      <w:r w:rsidRPr="00DD2D90">
        <w:rPr>
          <w:rStyle w:val="StyleUnderline"/>
        </w:rPr>
        <w:t>institutions such as the World Health Organization</w:t>
      </w:r>
      <w:r w:rsidRPr="009278EB">
        <w:rPr>
          <w:sz w:val="16"/>
        </w:rPr>
        <w:t xml:space="preserve">, International Monetary Fund, World Bank, Central European Bank, European Parliament, and European Commission (among many others). </w:t>
      </w:r>
      <w:r w:rsidRPr="00DD2D90">
        <w:rPr>
          <w:rStyle w:val="StyleUnderline"/>
        </w:rPr>
        <w:t xml:space="preserve">The </w:t>
      </w:r>
      <w:r w:rsidRPr="00DD2D90">
        <w:rPr>
          <w:rStyle w:val="Emphasis"/>
        </w:rPr>
        <w:t>consequences</w:t>
      </w:r>
      <w:r w:rsidRPr="00DD2D90">
        <w:rPr>
          <w:rStyle w:val="StyleUnderline"/>
        </w:rPr>
        <w:t xml:space="preserve"> of its application have been </w:t>
      </w:r>
      <w:r w:rsidRPr="00DD2D90">
        <w:rPr>
          <w:rStyle w:val="Emphasis"/>
        </w:rPr>
        <w:t>enormous</w:t>
      </w:r>
      <w:r w:rsidRPr="009278EB">
        <w:rPr>
          <w:sz w:val="16"/>
        </w:rPr>
        <w:t xml:space="preserve">, </w:t>
      </w:r>
      <w:r w:rsidRPr="00DD2D90">
        <w:rPr>
          <w:rStyle w:val="StyleUnderline"/>
        </w:rPr>
        <w:t xml:space="preserve">greatly contributing to the establishment of conditions </w:t>
      </w:r>
      <w:r w:rsidRPr="00DD2D90">
        <w:rPr>
          <w:rStyle w:val="StyleUnderline"/>
          <w:highlight w:val="green"/>
        </w:rPr>
        <w:t>that facilitated the</w:t>
      </w:r>
      <w:r w:rsidRPr="00DD2D90">
        <w:rPr>
          <w:rStyle w:val="StyleUnderline"/>
        </w:rPr>
        <w:t xml:space="preserve"> expansion of the current </w:t>
      </w:r>
      <w:r w:rsidRPr="00DD2D90">
        <w:rPr>
          <w:rStyle w:val="StyleUnderline"/>
          <w:highlight w:val="green"/>
        </w:rPr>
        <w:t>pandemic</w:t>
      </w:r>
      <w:r w:rsidRPr="009278EB">
        <w:rPr>
          <w:sz w:val="16"/>
        </w:rPr>
        <w:t xml:space="preserve">. Let’s look at the data. How Neoliberalism Contributed to the Reduction of Society’s Capacity to Respond to Epidemics The first observation that needs to be made is that expansion of neoliberalism (with its commercialization of medicine alongside other dimensions) has contributed to the fact that since the 1980s, the world has witnessed no fewer than 4 large epidemics (Ebola, SARS, MERS, and now COVID-19). The application of policies such as the deregulation of globalization of capital and labor, alongside policies of social austerity, is one of the factors that has most contributed to the expansion of such diseases on both sides of the North Atlantic. (That expansion explains their considerable media visibility, as there have been other epidemics that, due to not having affected these countries and having been limited and contained in less developed countries or other continents, have barely been covered in the major media on both sides of the Atlantic.) Two of these policies have been particularly important. One, as I just mentioned, is the deregulation of the movement of capital and labor (which has created a wide, global mobility of people and consumer products, along with a weakening of policies that protect workers and consumers). </w:t>
      </w:r>
      <w:r w:rsidRPr="00DD2D90">
        <w:rPr>
          <w:rStyle w:val="StyleUnderline"/>
        </w:rPr>
        <w:t>The</w:t>
      </w:r>
      <w:r w:rsidRPr="009278EB">
        <w:rPr>
          <w:sz w:val="16"/>
        </w:rPr>
        <w:t xml:space="preserve"> other </w:t>
      </w:r>
      <w:r w:rsidRPr="00DD2D90">
        <w:rPr>
          <w:rStyle w:val="StyleUnderline"/>
        </w:rPr>
        <w:t>intervention</w:t>
      </w:r>
      <w:r w:rsidRPr="009278EB">
        <w:rPr>
          <w:sz w:val="16"/>
        </w:rPr>
        <w:t xml:space="preserve">, also </w:t>
      </w:r>
      <w:r w:rsidRPr="00DD2D90">
        <w:rPr>
          <w:rStyle w:val="StyleUnderline"/>
        </w:rPr>
        <w:t>detrimental to the quality of life of populations</w:t>
      </w:r>
      <w:r w:rsidRPr="009278EB">
        <w:rPr>
          <w:sz w:val="16"/>
        </w:rPr>
        <w:t xml:space="preserve">, </w:t>
      </w:r>
      <w:r w:rsidRPr="00DD2D90">
        <w:rPr>
          <w:rStyle w:val="StyleUnderline"/>
        </w:rPr>
        <w:t>has been the cutting of public funds for services</w:t>
      </w:r>
      <w:r w:rsidRPr="009278EB">
        <w:rPr>
          <w:sz w:val="16"/>
        </w:rPr>
        <w:t xml:space="preserve"> </w:t>
      </w:r>
      <w:r w:rsidRPr="00DD2D90">
        <w:rPr>
          <w:rStyle w:val="StyleUnderline"/>
        </w:rPr>
        <w:t>that guarantee the population’s well-being</w:t>
      </w:r>
      <w:r w:rsidRPr="009278EB">
        <w:rPr>
          <w:sz w:val="16"/>
        </w:rPr>
        <w:t xml:space="preserve">, </w:t>
      </w:r>
      <w:r w:rsidRPr="00DD2D90">
        <w:rPr>
          <w:rStyle w:val="StyleUnderline"/>
        </w:rPr>
        <w:t>such as medical care</w:t>
      </w:r>
      <w:r w:rsidRPr="009278EB">
        <w:rPr>
          <w:sz w:val="16"/>
        </w:rPr>
        <w:t xml:space="preserve"> and public health services, as well as services associated with what is called the “fourth pillar of the welfare state,” such as preschools and support for dependent individuals (e.g., the elderly). These services are of vital importance for limiting the enormously negative impact of the epidemic on people’s quality of life. The countries on both sides of the North Atlantic in which these neoliberal measures have been most heavily applied include the United States (in a very particular way during the Republican government of President Trump, whose party also controls the Senate, the high chamber), Spain (started with the governments of José Luis Rodríguez Zapatero and later expanded by the conservative neoliberal Mariano Rajoy), and Italy (in particular, during the presidency of the ultra-right government of Lega Nord led by Matteo Salvini). The Maximum Expression of Neoliberalism: Trump’s United States Two characteristics define Trump’s United States today. One is the extremely low level of social protection for the popular classes. Working-class people’s quality of life has been reduced enormously as a consequence of the increase in precariousness – and subsequently, the need to work multiple jobs – in the U.S. labor market. According to a recent study by the prestigious Brookings Institution, published in 2019, 44% of workers in the United States (more than 53 million workers) have low salaries, with the average salary being less than $18,000 (all figures in U.S. dollars) per year. As such, the report concludes that “almost half of U.S. workers earn salaries which are insufficient for providing economic security.” This percentage has significantly increased during the Trump era. One indicator of scarce social protection is that the large majority of workers do not have sick leave, meaning that if they cannot work as a result of being ill, they do not receive any income or financial help – whether that be private (provided by their employer) or public (from social security). As a consequence, workers are resistant to stopping working or taking days off, as doing so would halt their income. This is why many individuals who have become ill with the Coronavirus have kept working and, therefore, infecting others. An even more dramatic aspect of this scarce social protection is that </w:t>
      </w:r>
      <w:r w:rsidRPr="00DD2D90">
        <w:rPr>
          <w:rStyle w:val="StyleUnderline"/>
        </w:rPr>
        <w:t>large sectors of the population do not have access to health care.</w:t>
      </w:r>
      <w:r w:rsidRPr="009278EB">
        <w:rPr>
          <w:sz w:val="16"/>
        </w:rPr>
        <w:t xml:space="preserve"> Almost </w:t>
      </w:r>
      <w:r w:rsidRPr="00DD2D90">
        <w:rPr>
          <w:rStyle w:val="StyleUnderline"/>
          <w:highlight w:val="green"/>
        </w:rPr>
        <w:t>30 million</w:t>
      </w:r>
      <w:r w:rsidRPr="009278EB">
        <w:rPr>
          <w:sz w:val="16"/>
        </w:rPr>
        <w:t xml:space="preserve"> people </w:t>
      </w:r>
      <w:r w:rsidRPr="00DD2D90">
        <w:rPr>
          <w:rStyle w:val="StyleUnderline"/>
        </w:rPr>
        <w:t xml:space="preserve">in the United States </w:t>
      </w:r>
      <w:r w:rsidRPr="00DD2D90">
        <w:rPr>
          <w:rStyle w:val="StyleUnderline"/>
          <w:highlight w:val="green"/>
        </w:rPr>
        <w:t>do not have</w:t>
      </w:r>
      <w:r w:rsidRPr="00DD2D90">
        <w:rPr>
          <w:rStyle w:val="StyleUnderline"/>
        </w:rPr>
        <w:t xml:space="preserve"> any </w:t>
      </w:r>
      <w:r w:rsidRPr="00DD2D90">
        <w:rPr>
          <w:rStyle w:val="StyleUnderline"/>
          <w:highlight w:val="green"/>
        </w:rPr>
        <w:t>health insurance</w:t>
      </w:r>
      <w:r w:rsidRPr="009278EB">
        <w:rPr>
          <w:sz w:val="16"/>
        </w:rPr>
        <w:t xml:space="preserve">, and a further </w:t>
      </w:r>
      <w:r w:rsidRPr="00DD2D90">
        <w:rPr>
          <w:rStyle w:val="Emphasis"/>
          <w:highlight w:val="green"/>
        </w:rPr>
        <w:t>27 million</w:t>
      </w:r>
      <w:r w:rsidRPr="00DD2D90">
        <w:rPr>
          <w:rStyle w:val="StyleUnderline"/>
        </w:rPr>
        <w:t xml:space="preserve"> </w:t>
      </w:r>
      <w:r w:rsidRPr="00DD2D90">
        <w:rPr>
          <w:rStyle w:val="StyleUnderline"/>
          <w:highlight w:val="green"/>
        </w:rPr>
        <w:t xml:space="preserve">have </w:t>
      </w:r>
      <w:r w:rsidRPr="00DD2D90">
        <w:rPr>
          <w:rStyle w:val="StyleUnderline"/>
        </w:rPr>
        <w:t xml:space="preserve">extremely </w:t>
      </w:r>
      <w:r w:rsidRPr="00DD2D90">
        <w:rPr>
          <w:rStyle w:val="StyleUnderline"/>
          <w:highlight w:val="green"/>
        </w:rPr>
        <w:t>insufficient</w:t>
      </w:r>
      <w:r w:rsidRPr="009278EB">
        <w:rPr>
          <w:sz w:val="16"/>
        </w:rPr>
        <w:t xml:space="preserve"> </w:t>
      </w:r>
      <w:r w:rsidRPr="00DD2D90">
        <w:rPr>
          <w:rStyle w:val="StyleUnderline"/>
          <w:highlight w:val="green"/>
        </w:rPr>
        <w:t>insurance coverage</w:t>
      </w:r>
      <w:r w:rsidRPr="009278EB">
        <w:rPr>
          <w:sz w:val="16"/>
        </w:rPr>
        <w:t xml:space="preserve">. </w:t>
      </w:r>
      <w:r w:rsidRPr="00DD2D90">
        <w:rPr>
          <w:rStyle w:val="StyleUnderline"/>
          <w:highlight w:val="green"/>
        </w:rPr>
        <w:t>This</w:t>
      </w:r>
      <w:r w:rsidRPr="00DD2D90">
        <w:rPr>
          <w:rStyle w:val="StyleUnderline"/>
        </w:rPr>
        <w:t xml:space="preserve"> reality </w:t>
      </w:r>
      <w:r w:rsidRPr="00DD2D90">
        <w:rPr>
          <w:rStyle w:val="StyleUnderline"/>
          <w:highlight w:val="green"/>
        </w:rPr>
        <w:t xml:space="preserve">is a result of the </w:t>
      </w:r>
      <w:r w:rsidRPr="00DD2D90">
        <w:rPr>
          <w:rStyle w:val="Emphasis"/>
          <w:highlight w:val="green"/>
        </w:rPr>
        <w:t>absence</w:t>
      </w:r>
      <w:r w:rsidRPr="00DD2D90">
        <w:rPr>
          <w:rStyle w:val="StyleUnderline"/>
          <w:highlight w:val="green"/>
        </w:rPr>
        <w:t xml:space="preserve"> of a universal health care</w:t>
      </w:r>
      <w:r w:rsidRPr="00DD2D90">
        <w:rPr>
          <w:rStyle w:val="StyleUnderline"/>
        </w:rPr>
        <w:t xml:space="preserve"> coverage </w:t>
      </w:r>
      <w:r w:rsidRPr="00DD2D90">
        <w:rPr>
          <w:rStyle w:val="StyleUnderline"/>
          <w:highlight w:val="green"/>
        </w:rPr>
        <w:t>that would guarantee</w:t>
      </w:r>
      <w:r w:rsidRPr="00DD2D90">
        <w:rPr>
          <w:rStyle w:val="StyleUnderline"/>
        </w:rPr>
        <w:t xml:space="preserve"> such </w:t>
      </w:r>
      <w:r w:rsidRPr="00DD2D90">
        <w:rPr>
          <w:rStyle w:val="StyleUnderline"/>
          <w:highlight w:val="green"/>
        </w:rPr>
        <w:t>access</w:t>
      </w:r>
      <w:r w:rsidRPr="00DD2D90">
        <w:rPr>
          <w:rStyle w:val="StyleUnderline"/>
        </w:rPr>
        <w:t xml:space="preserve"> as a matter of civil rights</w:t>
      </w:r>
      <w:r w:rsidRPr="009278EB">
        <w:rPr>
          <w:sz w:val="16"/>
        </w:rPr>
        <w:t xml:space="preserve">. Most health care is private, subject to the commercialization of health care, which has been further expanded according to the neoliberal ideology. Actually, due to the country’s weak public sector, the United States is one of the Organisation for Economic Co-operation and Development (OECD) countries (the group of the most developed countries in the capitalist world) with the lowest number of hospital beds per 1,000 inhabitants. This means it has a very serious problem in terms of caring for the population’s health needs. President Trump’s Response to the Epidemic The strategy of President Trump’s government has been centered around denying that there is a problem and accusing the Democratic Party of creating a nonexistent epidemic, through – according to President Trump – dissemination of “fake news.” The administration has even ordered the top federal authority on public health, the Centers for Disease Control and Prevention (whose budget has been cut by 18% annually by the Trump government), to prohibit the distribution of tests that show whether a person is infected with COVID-19 by any institution other than the CDC. This has limited the number of tests to a minimum: Only 26 tests for COVID-19 per 1 million inhabitants were carried out between January 3 and March 11 of this year (according to data from the BBC), while in the same period, South Korea had carried out 4,000 tests per 1 million inhabitants. The United States has more than 300 million inhabitants. In fact, President Trump cut 20% of the federal programs for infectious emergencies at the same time as he eliminated the pandemics response team of the National Security Council. As a result, the council focused solely on military security, leaving aside security that pertains to the well-being of the population. He also made large cuts to research in the National Institutes of Health, including research into the Coronavirus (one strain of which has been the cause of the current pandemic) that, if completed, could have helped to prevent the pandemic. The high level of public alarm in the United States has forced President Trump to recognize that a pandemic does, in fact, exist, although he has acknowledged this more because of the extreme drop in the stock markets than because of the growth of the population’s suffering. With the objective of stimulating the economy, he has ordered the reduction of salaries and the lowering of taxes and – significantly – Social Security contributions (as part of his attempt to eliminate this federal program). Recently (and again as a response to widespread public anger), his decisions have been reactions to the activity of the Democratic Party and the U.S. Congress (currently with a Democratic majority), which are using the Trump administration’s inaction and lack of response to the epidemic as a key element of their strategy for his defeat in the upcoming elections. Now that Trump is finally reacting to the epidemic, he is employing ultra-nationalistic language to encourage mobilization against the “Chinese virus” (as he defines it) that has been sent by a hostile country: China. The Experience in Countries With Universal Medical Care Services or Insurance </w:t>
      </w:r>
      <w:r w:rsidRPr="00DD2D90">
        <w:rPr>
          <w:rStyle w:val="StyleUnderline"/>
        </w:rPr>
        <w:t>Many countries</w:t>
      </w:r>
      <w:r w:rsidRPr="009278EB">
        <w:rPr>
          <w:sz w:val="16"/>
        </w:rPr>
        <w:t xml:space="preserve"> in the world </w:t>
      </w:r>
      <w:r w:rsidRPr="00DD2D90">
        <w:rPr>
          <w:rStyle w:val="StyleUnderline"/>
        </w:rPr>
        <w:t>have</w:t>
      </w:r>
      <w:r w:rsidRPr="009278EB">
        <w:rPr>
          <w:sz w:val="16"/>
        </w:rPr>
        <w:t xml:space="preserve"> either </w:t>
      </w:r>
      <w:r w:rsidRPr="00DD2D90">
        <w:rPr>
          <w:rStyle w:val="Emphasis"/>
          <w:highlight w:val="green"/>
        </w:rPr>
        <w:t>universal</w:t>
      </w:r>
      <w:r w:rsidRPr="00DD2D90">
        <w:rPr>
          <w:rStyle w:val="StyleUnderline"/>
        </w:rPr>
        <w:t xml:space="preserve"> </w:t>
      </w:r>
      <w:r w:rsidRPr="009278EB">
        <w:rPr>
          <w:sz w:val="16"/>
        </w:rPr>
        <w:t>medical</w:t>
      </w:r>
      <w:r w:rsidRPr="00DD2D90">
        <w:rPr>
          <w:rStyle w:val="StyleUnderline"/>
        </w:rPr>
        <w:t xml:space="preserve"> care </w:t>
      </w:r>
      <w:r w:rsidRPr="009278EB">
        <w:rPr>
          <w:sz w:val="16"/>
        </w:rPr>
        <w:t xml:space="preserve">or universal </w:t>
      </w:r>
      <w:r w:rsidRPr="00DD2D90">
        <w:rPr>
          <w:rStyle w:val="StyleUnderline"/>
          <w:highlight w:val="green"/>
        </w:rPr>
        <w:t>health</w:t>
      </w:r>
      <w:r w:rsidRPr="00DD2D90">
        <w:rPr>
          <w:rStyle w:val="StyleUnderline"/>
        </w:rPr>
        <w:t xml:space="preserve"> </w:t>
      </w:r>
      <w:r w:rsidRPr="00DD2D90">
        <w:rPr>
          <w:rStyle w:val="StyleUnderline"/>
          <w:highlight w:val="green"/>
        </w:rPr>
        <w:t>insurance systems</w:t>
      </w:r>
      <w:r w:rsidRPr="009278EB">
        <w:rPr>
          <w:sz w:val="16"/>
        </w:rPr>
        <w:t xml:space="preserve">, </w:t>
      </w:r>
      <w:r w:rsidRPr="00DD2D90">
        <w:rPr>
          <w:rStyle w:val="StyleUnderline"/>
        </w:rPr>
        <w:t xml:space="preserve">which </w:t>
      </w:r>
      <w:r w:rsidRPr="00DD2D90">
        <w:rPr>
          <w:rStyle w:val="StyleUnderline"/>
          <w:highlight w:val="green"/>
        </w:rPr>
        <w:t>allow for a better response</w:t>
      </w:r>
      <w:r w:rsidRPr="00DD2D90">
        <w:rPr>
          <w:rStyle w:val="StyleUnderline"/>
        </w:rPr>
        <w:t xml:space="preserve"> to</w:t>
      </w:r>
      <w:r w:rsidRPr="009278EB">
        <w:rPr>
          <w:sz w:val="16"/>
        </w:rPr>
        <w:t xml:space="preserve"> the damage caused by </w:t>
      </w:r>
      <w:r w:rsidRPr="00DD2D90">
        <w:rPr>
          <w:rStyle w:val="StyleUnderline"/>
        </w:rPr>
        <w:t>the pandemic</w:t>
      </w:r>
      <w:r w:rsidRPr="009278EB">
        <w:rPr>
          <w:sz w:val="16"/>
        </w:rPr>
        <w:t xml:space="preserve">. Since it emerged in China over 3 months ago, the pandemic has reached more than 150 countries, with 3,212,262 infected individuals and 228,299 deaths. </w:t>
      </w:r>
      <w:r w:rsidRPr="00DD2D90">
        <w:rPr>
          <w:rStyle w:val="StyleUnderline"/>
        </w:rPr>
        <w:t>A</w:t>
      </w:r>
      <w:r w:rsidRPr="009278EB">
        <w:rPr>
          <w:sz w:val="16"/>
        </w:rPr>
        <w:t xml:space="preserve"> recent </w:t>
      </w:r>
      <w:r w:rsidRPr="00DD2D90">
        <w:rPr>
          <w:rStyle w:val="StyleUnderline"/>
        </w:rPr>
        <w:t xml:space="preserve">report of </w:t>
      </w:r>
      <w:r w:rsidRPr="00DD2D90">
        <w:rPr>
          <w:rStyle w:val="StyleUnderline"/>
          <w:highlight w:val="green"/>
        </w:rPr>
        <w:t>the</w:t>
      </w:r>
      <w:r w:rsidRPr="00DD2D90">
        <w:rPr>
          <w:rStyle w:val="StyleUnderline"/>
        </w:rPr>
        <w:t xml:space="preserve"> </w:t>
      </w:r>
      <w:r w:rsidRPr="00DD2D90">
        <w:rPr>
          <w:rStyle w:val="Emphasis"/>
          <w:highlight w:val="green"/>
        </w:rPr>
        <w:t>W</w:t>
      </w:r>
      <w:r w:rsidRPr="00DD2D90">
        <w:rPr>
          <w:rStyle w:val="StyleUnderline"/>
        </w:rPr>
        <w:t xml:space="preserve">orld </w:t>
      </w:r>
      <w:r w:rsidRPr="00DD2D90">
        <w:rPr>
          <w:rStyle w:val="Emphasis"/>
          <w:highlight w:val="green"/>
        </w:rPr>
        <w:t>H</w:t>
      </w:r>
      <w:r w:rsidRPr="00DD2D90">
        <w:rPr>
          <w:rStyle w:val="StyleUnderline"/>
        </w:rPr>
        <w:t xml:space="preserve">ealth </w:t>
      </w:r>
      <w:r w:rsidRPr="00DD2D90">
        <w:rPr>
          <w:rStyle w:val="Emphasis"/>
          <w:highlight w:val="green"/>
        </w:rPr>
        <w:t>O</w:t>
      </w:r>
      <w:r w:rsidRPr="00DD2D90">
        <w:rPr>
          <w:rStyle w:val="StyleUnderline"/>
        </w:rPr>
        <w:t>rganization</w:t>
      </w:r>
      <w:r w:rsidRPr="009278EB">
        <w:rPr>
          <w:sz w:val="16"/>
        </w:rPr>
        <w:t xml:space="preserve">, released in February of this year, </w:t>
      </w:r>
      <w:r w:rsidRPr="00DD2D90">
        <w:rPr>
          <w:rStyle w:val="StyleUnderline"/>
          <w:highlight w:val="green"/>
        </w:rPr>
        <w:t>presented</w:t>
      </w:r>
      <w:r w:rsidRPr="009278EB">
        <w:rPr>
          <w:sz w:val="16"/>
        </w:rPr>
        <w:t xml:space="preserve"> interesting data regarding how we should respond to this pandemic and about the relationship between the conditions of a country’s health and social services and its ability to care for its population. According to the report, </w:t>
      </w:r>
      <w:r w:rsidRPr="00DD2D90">
        <w:rPr>
          <w:rStyle w:val="StyleUnderline"/>
          <w:highlight w:val="green"/>
        </w:rPr>
        <w:t xml:space="preserve">conditions that favor a </w:t>
      </w:r>
      <w:r w:rsidRPr="00DD2D90">
        <w:rPr>
          <w:rStyle w:val="Emphasis"/>
          <w:highlight w:val="green"/>
        </w:rPr>
        <w:t>positive response</w:t>
      </w:r>
      <w:r w:rsidRPr="00DD2D90">
        <w:rPr>
          <w:rStyle w:val="StyleUnderline"/>
        </w:rPr>
        <w:t xml:space="preserve"> </w:t>
      </w:r>
      <w:r w:rsidRPr="00DD2D90">
        <w:rPr>
          <w:rStyle w:val="StyleUnderline"/>
          <w:highlight w:val="green"/>
        </w:rPr>
        <w:t>to the pandemic</w:t>
      </w:r>
      <w:r w:rsidRPr="00DD2D90">
        <w:rPr>
          <w:rStyle w:val="StyleUnderline"/>
        </w:rPr>
        <w:t xml:space="preserve"> include</w:t>
      </w:r>
      <w:r w:rsidRPr="009278EB">
        <w:rPr>
          <w:sz w:val="16"/>
        </w:rPr>
        <w:t xml:space="preserve">: (1) </w:t>
      </w:r>
      <w:r w:rsidRPr="00DD2D90">
        <w:rPr>
          <w:rStyle w:val="StyleUnderline"/>
          <w:highlight w:val="green"/>
        </w:rPr>
        <w:t>strong</w:t>
      </w:r>
      <w:r w:rsidRPr="00DD2D90">
        <w:rPr>
          <w:rStyle w:val="StyleUnderline"/>
        </w:rPr>
        <w:t xml:space="preserve"> and mature </w:t>
      </w:r>
      <w:r w:rsidRPr="00DD2D90">
        <w:rPr>
          <w:rStyle w:val="StyleUnderline"/>
          <w:highlight w:val="green"/>
        </w:rPr>
        <w:t>health</w:t>
      </w:r>
      <w:r w:rsidRPr="00DD2D90">
        <w:rPr>
          <w:rStyle w:val="StyleUnderline"/>
        </w:rPr>
        <w:t xml:space="preserve"> </w:t>
      </w:r>
      <w:r w:rsidRPr="009278EB">
        <w:rPr>
          <w:sz w:val="16"/>
        </w:rPr>
        <w:t>and social</w:t>
      </w:r>
      <w:r w:rsidRPr="00DD2D90">
        <w:rPr>
          <w:rStyle w:val="StyleUnderline"/>
        </w:rPr>
        <w:t xml:space="preserve"> systems</w:t>
      </w:r>
      <w:r w:rsidRPr="009278EB">
        <w:rPr>
          <w:sz w:val="16"/>
        </w:rPr>
        <w:t xml:space="preserve">, </w:t>
      </w:r>
      <w:r w:rsidRPr="00DD2D90">
        <w:rPr>
          <w:rStyle w:val="StyleUnderline"/>
        </w:rPr>
        <w:t>along with</w:t>
      </w:r>
      <w:r w:rsidRPr="009278EB">
        <w:rPr>
          <w:sz w:val="16"/>
        </w:rPr>
        <w:t xml:space="preserve"> (2) </w:t>
      </w:r>
      <w:r w:rsidRPr="00DD2D90">
        <w:rPr>
          <w:rStyle w:val="StyleUnderline"/>
        </w:rPr>
        <w:t>a comprehensive strategy for attacking the epidemic</w:t>
      </w:r>
      <w:r w:rsidRPr="009278EB">
        <w:rPr>
          <w:sz w:val="16"/>
        </w:rPr>
        <w:t xml:space="preserve">. This includes </w:t>
      </w:r>
      <w:r w:rsidRPr="00DD2D90">
        <w:rPr>
          <w:rStyle w:val="StyleUnderline"/>
          <w:highlight w:val="green"/>
        </w:rPr>
        <w:t>the ability to</w:t>
      </w:r>
      <w:r w:rsidRPr="009278EB">
        <w:rPr>
          <w:sz w:val="16"/>
        </w:rPr>
        <w:t xml:space="preserve"> (3) </w:t>
      </w:r>
      <w:r w:rsidRPr="00DD2D90">
        <w:rPr>
          <w:rStyle w:val="Emphasis"/>
          <w:highlight w:val="green"/>
        </w:rPr>
        <w:t>detect</w:t>
      </w:r>
      <w:r w:rsidRPr="00DD2D90">
        <w:rPr>
          <w:rStyle w:val="StyleUnderline"/>
          <w:highlight w:val="green"/>
        </w:rPr>
        <w:t xml:space="preserve"> infected individuals</w:t>
      </w:r>
      <w:r w:rsidRPr="00DD2D90">
        <w:rPr>
          <w:rStyle w:val="StyleUnderline"/>
        </w:rPr>
        <w:t xml:space="preserve"> </w:t>
      </w:r>
      <w:r w:rsidRPr="00DD2D90">
        <w:rPr>
          <w:rStyle w:val="StyleUnderline"/>
          <w:highlight w:val="green"/>
        </w:rPr>
        <w:t>and</w:t>
      </w:r>
      <w:r w:rsidRPr="009278EB">
        <w:rPr>
          <w:sz w:val="16"/>
        </w:rPr>
        <w:t xml:space="preserve"> (4) </w:t>
      </w:r>
      <w:r w:rsidRPr="00DD2D90">
        <w:rPr>
          <w:rStyle w:val="StyleUnderline"/>
          <w:highlight w:val="green"/>
        </w:rPr>
        <w:t>attend to those</w:t>
      </w:r>
      <w:r w:rsidRPr="00DD2D90">
        <w:rPr>
          <w:rStyle w:val="StyleUnderline"/>
        </w:rPr>
        <w:t xml:space="preserve"> </w:t>
      </w:r>
      <w:r w:rsidRPr="00DD2D90">
        <w:rPr>
          <w:rStyle w:val="StyleUnderline"/>
          <w:highlight w:val="green"/>
        </w:rPr>
        <w:t>who</w:t>
      </w:r>
      <w:r w:rsidRPr="00DD2D90">
        <w:rPr>
          <w:rStyle w:val="StyleUnderline"/>
        </w:rPr>
        <w:t xml:space="preserve"> have had or </w:t>
      </w:r>
      <w:r w:rsidRPr="00DD2D90">
        <w:rPr>
          <w:rStyle w:val="StyleUnderline"/>
          <w:highlight w:val="green"/>
        </w:rPr>
        <w:t>develop the disease</w:t>
      </w:r>
      <w:r w:rsidRPr="009278EB">
        <w:rPr>
          <w:sz w:val="16"/>
        </w:rPr>
        <w:t xml:space="preserve">, which involves ensuring that the health system maintains its capacity to attend to a growing number of patients and that the necessary professional resources to do so are guaranteed. The existence of each one of these characteristics is an indicator of public and collective commitment and solidarity against a common threat that society faces as a whole. </w:t>
      </w:r>
      <w:r w:rsidRPr="00DD2D90">
        <w:rPr>
          <w:rStyle w:val="StyleUnderline"/>
        </w:rPr>
        <w:t>These conditions</w:t>
      </w:r>
      <w:r w:rsidRPr="009278EB">
        <w:rPr>
          <w:sz w:val="16"/>
        </w:rPr>
        <w:t xml:space="preserve"> are also </w:t>
      </w:r>
      <w:r w:rsidRPr="00DD2D90">
        <w:rPr>
          <w:rStyle w:val="StyleUnderline"/>
        </w:rPr>
        <w:t>good bases for evaluating each country’s response to the epidemic</w:t>
      </w:r>
      <w:r w:rsidRPr="009278EB">
        <w:rPr>
          <w:sz w:val="16"/>
        </w:rPr>
        <w:t xml:space="preserve">. Who Has Done It Best? According to these criteria, a recent article in the Lancet shows how </w:t>
      </w:r>
      <w:r w:rsidRPr="00DD2D90">
        <w:rPr>
          <w:rStyle w:val="StyleUnderline"/>
        </w:rPr>
        <w:t xml:space="preserve">the </w:t>
      </w:r>
      <w:r w:rsidRPr="00DD2D90">
        <w:rPr>
          <w:rStyle w:val="Emphasis"/>
        </w:rPr>
        <w:t>successful containment</w:t>
      </w:r>
      <w:r w:rsidRPr="00DD2D90">
        <w:rPr>
          <w:rStyle w:val="StyleUnderline"/>
        </w:rPr>
        <w:t xml:space="preserve"> strategy employed by Japan</w:t>
      </w:r>
      <w:r w:rsidRPr="009278EB">
        <w:rPr>
          <w:sz w:val="16"/>
        </w:rPr>
        <w:t xml:space="preserve">, </w:t>
      </w:r>
      <w:r w:rsidRPr="00DD2D90">
        <w:rPr>
          <w:rStyle w:val="StyleUnderline"/>
        </w:rPr>
        <w:t>Hong Kong</w:t>
      </w:r>
      <w:r w:rsidRPr="009278EB">
        <w:rPr>
          <w:sz w:val="16"/>
        </w:rPr>
        <w:t xml:space="preserve">, and </w:t>
      </w:r>
      <w:r w:rsidRPr="00DD2D90">
        <w:rPr>
          <w:rStyle w:val="StyleUnderline"/>
        </w:rPr>
        <w:t>Singapore</w:t>
      </w:r>
      <w:r w:rsidRPr="009278EB">
        <w:rPr>
          <w:sz w:val="16"/>
        </w:rPr>
        <w:t xml:space="preserve"> (to which </w:t>
      </w:r>
      <w:r w:rsidRPr="00DD2D90">
        <w:rPr>
          <w:rStyle w:val="StyleUnderline"/>
        </w:rPr>
        <w:t>South Korea</w:t>
      </w:r>
      <w:r w:rsidRPr="009278EB">
        <w:rPr>
          <w:sz w:val="16"/>
        </w:rPr>
        <w:t xml:space="preserve"> should be added), </w:t>
      </w:r>
      <w:r w:rsidRPr="00DD2D90">
        <w:rPr>
          <w:rStyle w:val="StyleUnderline"/>
        </w:rPr>
        <w:t>as well as China</w:t>
      </w:r>
      <w:r w:rsidRPr="009278EB">
        <w:rPr>
          <w:sz w:val="16"/>
        </w:rPr>
        <w:t xml:space="preserve">, </w:t>
      </w:r>
      <w:r w:rsidRPr="00DD2D90">
        <w:rPr>
          <w:rStyle w:val="StyleUnderline"/>
        </w:rPr>
        <w:t>has been</w:t>
      </w:r>
      <w:r w:rsidRPr="009278EB">
        <w:rPr>
          <w:sz w:val="16"/>
        </w:rPr>
        <w:t xml:space="preserve"> </w:t>
      </w:r>
      <w:r w:rsidRPr="00DD2D90">
        <w:rPr>
          <w:rStyle w:val="StyleUnderline"/>
        </w:rPr>
        <w:t>possible because of</w:t>
      </w:r>
      <w:r w:rsidRPr="009278EB">
        <w:rPr>
          <w:sz w:val="16"/>
        </w:rPr>
        <w:t xml:space="preserve"> the existence of </w:t>
      </w:r>
      <w:r w:rsidRPr="00DD2D90">
        <w:rPr>
          <w:rStyle w:val="StyleUnderline"/>
        </w:rPr>
        <w:t>these conditions</w:t>
      </w:r>
      <w:r w:rsidRPr="009278EB">
        <w:rPr>
          <w:sz w:val="16"/>
        </w:rPr>
        <w:t xml:space="preserve">. This has meant that the highly popular, </w:t>
      </w:r>
      <w:r w:rsidRPr="00DD2D90">
        <w:rPr>
          <w:rStyle w:val="StyleUnderline"/>
        </w:rPr>
        <w:t>public medical</w:t>
      </w:r>
      <w:r w:rsidRPr="009278EB">
        <w:rPr>
          <w:sz w:val="16"/>
        </w:rPr>
        <w:t xml:space="preserve"> and social </w:t>
      </w:r>
      <w:r w:rsidRPr="00DD2D90">
        <w:rPr>
          <w:rStyle w:val="StyleUnderline"/>
        </w:rPr>
        <w:t>services have been able to control</w:t>
      </w:r>
      <w:r w:rsidRPr="009278EB">
        <w:rPr>
          <w:sz w:val="16"/>
        </w:rPr>
        <w:t xml:space="preserve"> both </w:t>
      </w:r>
      <w:r w:rsidRPr="00DD2D90">
        <w:rPr>
          <w:rStyle w:val="StyleUnderline"/>
        </w:rPr>
        <w:t>the spread of the epidemic</w:t>
      </w:r>
      <w:r w:rsidRPr="009278EB">
        <w:rPr>
          <w:sz w:val="16"/>
        </w:rPr>
        <w:t xml:space="preserve"> and care for those with the disease. Equally, there are </w:t>
      </w:r>
      <w:r w:rsidRPr="00DD2D90">
        <w:rPr>
          <w:rStyle w:val="StyleUnderline"/>
          <w:highlight w:val="green"/>
        </w:rPr>
        <w:t>countries</w:t>
      </w:r>
      <w:r w:rsidRPr="009278EB">
        <w:rPr>
          <w:sz w:val="16"/>
        </w:rPr>
        <w:t xml:space="preserve"> </w:t>
      </w:r>
      <w:r w:rsidRPr="00DD2D90">
        <w:rPr>
          <w:rStyle w:val="StyleUnderline"/>
        </w:rPr>
        <w:t xml:space="preserve">that </w:t>
      </w:r>
      <w:r w:rsidRPr="00DD2D90">
        <w:rPr>
          <w:rStyle w:val="Emphasis"/>
          <w:highlight w:val="green"/>
        </w:rPr>
        <w:t>lack</w:t>
      </w:r>
      <w:r w:rsidRPr="009278EB">
        <w:rPr>
          <w:sz w:val="16"/>
        </w:rPr>
        <w:t xml:space="preserve"> some of </w:t>
      </w:r>
      <w:r w:rsidRPr="00DD2D90">
        <w:rPr>
          <w:rStyle w:val="StyleUnderline"/>
          <w:highlight w:val="green"/>
        </w:rPr>
        <w:t>these</w:t>
      </w:r>
      <w:r w:rsidRPr="009278EB">
        <w:rPr>
          <w:sz w:val="16"/>
        </w:rPr>
        <w:t xml:space="preserve"> </w:t>
      </w:r>
      <w:r w:rsidRPr="00DD2D90">
        <w:rPr>
          <w:rStyle w:val="StyleUnderline"/>
          <w:highlight w:val="green"/>
        </w:rPr>
        <w:t>characteristics as a</w:t>
      </w:r>
      <w:r w:rsidRPr="00DD2D90">
        <w:rPr>
          <w:rStyle w:val="StyleUnderline"/>
        </w:rPr>
        <w:t xml:space="preserve"> </w:t>
      </w:r>
      <w:r w:rsidRPr="00DD2D90">
        <w:rPr>
          <w:rStyle w:val="Emphasis"/>
          <w:highlight w:val="green"/>
        </w:rPr>
        <w:t>result</w:t>
      </w:r>
      <w:r w:rsidRPr="00DD2D90">
        <w:rPr>
          <w:rStyle w:val="StyleUnderline"/>
        </w:rPr>
        <w:t xml:space="preserve"> </w:t>
      </w:r>
      <w:r w:rsidRPr="00DD2D90">
        <w:rPr>
          <w:rStyle w:val="StyleUnderline"/>
          <w:highlight w:val="green"/>
        </w:rPr>
        <w:t>of</w:t>
      </w:r>
      <w:r w:rsidRPr="00DD2D90">
        <w:rPr>
          <w:rStyle w:val="StyleUnderline"/>
        </w:rPr>
        <w:t xml:space="preserve"> the </w:t>
      </w:r>
      <w:r w:rsidRPr="00DD2D90">
        <w:rPr>
          <w:rStyle w:val="Emphasis"/>
          <w:highlight w:val="green"/>
        </w:rPr>
        <w:t>neoliberal austerity</w:t>
      </w:r>
      <w:r w:rsidRPr="00DD2D90">
        <w:rPr>
          <w:rStyle w:val="StyleUnderline"/>
        </w:rPr>
        <w:t xml:space="preserve"> </w:t>
      </w:r>
      <w:r w:rsidRPr="00DD2D90">
        <w:rPr>
          <w:rStyle w:val="StyleUnderline"/>
          <w:highlight w:val="green"/>
        </w:rPr>
        <w:t>policies</w:t>
      </w:r>
      <w:r w:rsidRPr="00DD2D90">
        <w:rPr>
          <w:rStyle w:val="StyleUnderline"/>
        </w:rPr>
        <w:t xml:space="preserve"> put in place by their governments</w:t>
      </w:r>
      <w:r w:rsidRPr="009278EB">
        <w:rPr>
          <w:sz w:val="16"/>
        </w:rPr>
        <w:t xml:space="preserve">. In an article “We Need Strong Public Health Care to Contain the Global Corona Pandemic,” written by Wim De Ceukelaire and Chiara Bodini and published in the International Journal of Health Services in March 2020, it is indicated that </w:t>
      </w:r>
      <w:r w:rsidRPr="00DD2D90">
        <w:rPr>
          <w:rStyle w:val="StyleUnderline"/>
          <w:highlight w:val="green"/>
        </w:rPr>
        <w:t xml:space="preserve">the </w:t>
      </w:r>
      <w:r w:rsidRPr="00DD2D90">
        <w:rPr>
          <w:rStyle w:val="Emphasis"/>
          <w:highlight w:val="green"/>
        </w:rPr>
        <w:t>privatization</w:t>
      </w:r>
      <w:r w:rsidRPr="00DD2D90">
        <w:rPr>
          <w:rStyle w:val="StyleUnderline"/>
          <w:highlight w:val="green"/>
        </w:rPr>
        <w:t xml:space="preserve"> of public</w:t>
      </w:r>
      <w:r w:rsidRPr="00DD2D90">
        <w:rPr>
          <w:rStyle w:val="StyleUnderline"/>
        </w:rPr>
        <w:t xml:space="preserve"> </w:t>
      </w:r>
      <w:r w:rsidRPr="00DD2D90">
        <w:rPr>
          <w:rStyle w:val="StyleUnderline"/>
          <w:highlight w:val="green"/>
        </w:rPr>
        <w:t xml:space="preserve">services </w:t>
      </w:r>
      <w:r w:rsidRPr="009278EB">
        <w:rPr>
          <w:sz w:val="16"/>
        </w:rPr>
        <w:t xml:space="preserve">and cuts in spending on public medical care, public health, and social funds </w:t>
      </w:r>
      <w:r w:rsidRPr="00DD2D90">
        <w:rPr>
          <w:rStyle w:val="StyleUnderline"/>
        </w:rPr>
        <w:t xml:space="preserve">that have taken place </w:t>
      </w:r>
      <w:r w:rsidRPr="00DD2D90">
        <w:rPr>
          <w:rStyle w:val="StyleUnderline"/>
          <w:highlight w:val="green"/>
        </w:rPr>
        <w:t>in</w:t>
      </w:r>
      <w:r w:rsidRPr="009278EB">
        <w:rPr>
          <w:sz w:val="16"/>
        </w:rPr>
        <w:t xml:space="preserve"> </w:t>
      </w:r>
      <w:r w:rsidRPr="00DD2D90">
        <w:rPr>
          <w:rStyle w:val="StyleUnderline"/>
        </w:rPr>
        <w:t xml:space="preserve">many </w:t>
      </w:r>
      <w:r w:rsidRPr="00DD2D90">
        <w:rPr>
          <w:rStyle w:val="StyleUnderline"/>
          <w:highlight w:val="green"/>
        </w:rPr>
        <w:t>Eu</w:t>
      </w:r>
      <w:r w:rsidRPr="00DD2D90">
        <w:rPr>
          <w:rStyle w:val="StyleUnderline"/>
        </w:rPr>
        <w:t xml:space="preserve">ropean </w:t>
      </w:r>
      <w:r w:rsidRPr="00DD2D90">
        <w:rPr>
          <w:rStyle w:val="StyleUnderline"/>
          <w:highlight w:val="green"/>
        </w:rPr>
        <w:t>countries</w:t>
      </w:r>
      <w:r w:rsidRPr="00DD2D90">
        <w:rPr>
          <w:rStyle w:val="StyleUnderline"/>
        </w:rPr>
        <w:t xml:space="preserve"> have </w:t>
      </w:r>
      <w:r w:rsidRPr="00DD2D90">
        <w:rPr>
          <w:rStyle w:val="StyleUnderline"/>
          <w:highlight w:val="green"/>
        </w:rPr>
        <w:t xml:space="preserve">made </w:t>
      </w:r>
      <w:r w:rsidRPr="00DD2D90">
        <w:rPr>
          <w:rStyle w:val="StyleUnderline"/>
        </w:rPr>
        <w:t xml:space="preserve">the possibility of a quick </w:t>
      </w:r>
      <w:r w:rsidRPr="00DD2D90">
        <w:rPr>
          <w:rStyle w:val="Emphasis"/>
        </w:rPr>
        <w:t>recovery</w:t>
      </w:r>
      <w:r w:rsidRPr="00DD2D90">
        <w:rPr>
          <w:rStyle w:val="StyleUnderline"/>
        </w:rPr>
        <w:t xml:space="preserve"> from </w:t>
      </w:r>
      <w:r w:rsidRPr="00DD2D90">
        <w:rPr>
          <w:rStyle w:val="StyleUnderline"/>
          <w:highlight w:val="green"/>
        </w:rPr>
        <w:t>the pandemic</w:t>
      </w:r>
      <w:r w:rsidRPr="009278EB">
        <w:rPr>
          <w:sz w:val="16"/>
        </w:rPr>
        <w:t xml:space="preserve"> much more </w:t>
      </w:r>
      <w:r w:rsidRPr="00DD2D90">
        <w:rPr>
          <w:rStyle w:val="Emphasis"/>
          <w:highlight w:val="green"/>
        </w:rPr>
        <w:t>complicated</w:t>
      </w:r>
      <w:r w:rsidRPr="009278EB">
        <w:rPr>
          <w:sz w:val="16"/>
        </w:rPr>
        <w:t xml:space="preserve">. </w:t>
      </w:r>
      <w:r w:rsidRPr="00DD2D90">
        <w:rPr>
          <w:rStyle w:val="StyleUnderline"/>
          <w:highlight w:val="green"/>
        </w:rPr>
        <w:t xml:space="preserve">In </w:t>
      </w:r>
      <w:r w:rsidRPr="00DD2D90">
        <w:rPr>
          <w:rStyle w:val="Emphasis"/>
          <w:highlight w:val="green"/>
        </w:rPr>
        <w:t>Italy</w:t>
      </w:r>
      <w:r w:rsidRPr="009278EB">
        <w:rPr>
          <w:sz w:val="16"/>
        </w:rPr>
        <w:t xml:space="preserve">, for example, </w:t>
      </w:r>
      <w:r w:rsidRPr="00DD2D90">
        <w:rPr>
          <w:rStyle w:val="StyleUnderline"/>
          <w:highlight w:val="green"/>
        </w:rPr>
        <w:t xml:space="preserve">the </w:t>
      </w:r>
      <w:r w:rsidRPr="00DD2D90">
        <w:rPr>
          <w:rStyle w:val="Emphasis"/>
          <w:highlight w:val="green"/>
        </w:rPr>
        <w:t>absence</w:t>
      </w:r>
      <w:r w:rsidRPr="00DD2D90">
        <w:rPr>
          <w:rStyle w:val="StyleUnderline"/>
          <w:highlight w:val="green"/>
        </w:rPr>
        <w:t xml:space="preserve"> of</w:t>
      </w:r>
      <w:r w:rsidRPr="009278EB">
        <w:rPr>
          <w:sz w:val="16"/>
        </w:rPr>
        <w:t xml:space="preserve"> some of </w:t>
      </w:r>
      <w:r w:rsidRPr="00DD2D90">
        <w:rPr>
          <w:rStyle w:val="StyleUnderline"/>
          <w:highlight w:val="green"/>
        </w:rPr>
        <w:t>these conditions</w:t>
      </w:r>
      <w:r w:rsidRPr="00DD2D90">
        <w:rPr>
          <w:rStyle w:val="StyleUnderline"/>
        </w:rPr>
        <w:t xml:space="preserve"> has </w:t>
      </w:r>
      <w:r w:rsidRPr="00DD2D90">
        <w:rPr>
          <w:rStyle w:val="StyleUnderline"/>
          <w:highlight w:val="green"/>
        </w:rPr>
        <w:t>led to</w:t>
      </w:r>
      <w:r w:rsidRPr="00DD2D90">
        <w:rPr>
          <w:rStyle w:val="StyleUnderline"/>
        </w:rPr>
        <w:t xml:space="preserve"> </w:t>
      </w:r>
      <w:r w:rsidRPr="00DD2D90">
        <w:rPr>
          <w:rStyle w:val="StyleUnderline"/>
          <w:highlight w:val="green"/>
        </w:rPr>
        <w:t xml:space="preserve">the </w:t>
      </w:r>
      <w:r w:rsidRPr="00DD2D90">
        <w:rPr>
          <w:rStyle w:val="Emphasis"/>
          <w:highlight w:val="green"/>
        </w:rPr>
        <w:t>greatest collapse</w:t>
      </w:r>
      <w:r w:rsidRPr="009278EB">
        <w:rPr>
          <w:sz w:val="16"/>
          <w:highlight w:val="green"/>
        </w:rPr>
        <w:t xml:space="preserve"> </w:t>
      </w:r>
      <w:r w:rsidRPr="00DD2D90">
        <w:rPr>
          <w:rStyle w:val="StyleUnderline"/>
          <w:highlight w:val="green"/>
        </w:rPr>
        <w:t>we have seen in Europe</w:t>
      </w:r>
      <w:r w:rsidRPr="009278EB">
        <w:rPr>
          <w:sz w:val="16"/>
        </w:rPr>
        <w:t xml:space="preserve"> in recent years. The authors indicate that In Italy, the European country worst hit by the epidemic, </w:t>
      </w:r>
      <w:r w:rsidRPr="00DD2D90">
        <w:rPr>
          <w:rStyle w:val="StyleUnderline"/>
          <w:highlight w:val="green"/>
        </w:rPr>
        <w:t xml:space="preserve">the </w:t>
      </w:r>
      <w:r w:rsidRPr="00DD2D90">
        <w:rPr>
          <w:rStyle w:val="Emphasis"/>
          <w:highlight w:val="green"/>
        </w:rPr>
        <w:t>regionalization</w:t>
      </w:r>
      <w:r w:rsidRPr="00DD2D90">
        <w:rPr>
          <w:rStyle w:val="StyleUnderline"/>
        </w:rPr>
        <w:t xml:space="preserve"> </w:t>
      </w:r>
      <w:r w:rsidRPr="00DD2D90">
        <w:rPr>
          <w:rStyle w:val="StyleUnderline"/>
          <w:highlight w:val="green"/>
        </w:rPr>
        <w:t>of</w:t>
      </w:r>
      <w:r w:rsidRPr="00DD2D90">
        <w:rPr>
          <w:rStyle w:val="StyleUnderline"/>
        </w:rPr>
        <w:t xml:space="preserve"> </w:t>
      </w:r>
      <w:r w:rsidRPr="00DD2D90">
        <w:rPr>
          <w:rStyle w:val="StyleUnderline"/>
          <w:highlight w:val="green"/>
        </w:rPr>
        <w:t>health care</w:t>
      </w:r>
      <w:r w:rsidRPr="009278EB">
        <w:rPr>
          <w:sz w:val="16"/>
        </w:rPr>
        <w:t xml:space="preserve"> – very </w:t>
      </w:r>
      <w:r w:rsidRPr="00DD2D90">
        <w:rPr>
          <w:rStyle w:val="StyleUnderline"/>
        </w:rPr>
        <w:t xml:space="preserve">much </w:t>
      </w:r>
      <w:r w:rsidRPr="00DD2D90">
        <w:rPr>
          <w:rStyle w:val="StyleUnderline"/>
          <w:highlight w:val="green"/>
        </w:rPr>
        <w:t>part of a broader design to</w:t>
      </w:r>
      <w:r w:rsidRPr="00DD2D90">
        <w:rPr>
          <w:rStyle w:val="StyleUnderline"/>
        </w:rPr>
        <w:t xml:space="preserve"> progressively </w:t>
      </w:r>
      <w:r w:rsidRPr="00DD2D90">
        <w:rPr>
          <w:rStyle w:val="Emphasis"/>
          <w:highlight w:val="green"/>
        </w:rPr>
        <w:t>dismantle</w:t>
      </w:r>
      <w:r w:rsidRPr="00DD2D90">
        <w:rPr>
          <w:rStyle w:val="StyleUnderline"/>
          <w:highlight w:val="green"/>
        </w:rPr>
        <w:t xml:space="preserve"> and </w:t>
      </w:r>
      <w:r w:rsidRPr="00DD2D90">
        <w:rPr>
          <w:rStyle w:val="Emphasis"/>
          <w:highlight w:val="green"/>
        </w:rPr>
        <w:t>privatize</w:t>
      </w:r>
      <w:r w:rsidRPr="00DD2D90">
        <w:rPr>
          <w:rStyle w:val="StyleUnderline"/>
          <w:highlight w:val="green"/>
        </w:rPr>
        <w:t xml:space="preserve"> the</w:t>
      </w:r>
      <w:r w:rsidRPr="009278EB">
        <w:rPr>
          <w:sz w:val="16"/>
        </w:rPr>
        <w:t xml:space="preserve"> national health care service (</w:t>
      </w:r>
      <w:r w:rsidRPr="00DD2D90">
        <w:rPr>
          <w:rStyle w:val="Emphasis"/>
          <w:highlight w:val="green"/>
        </w:rPr>
        <w:t>NHS</w:t>
      </w:r>
      <w:r w:rsidRPr="009278EB">
        <w:rPr>
          <w:sz w:val="16"/>
        </w:rPr>
        <w:t xml:space="preserve">) – has </w:t>
      </w:r>
      <w:r w:rsidRPr="00DD2D90">
        <w:rPr>
          <w:rStyle w:val="Emphasis"/>
          <w:highlight w:val="green"/>
        </w:rPr>
        <w:t>significantly</w:t>
      </w:r>
      <w:r w:rsidRPr="00DD2D90">
        <w:rPr>
          <w:rStyle w:val="StyleUnderline"/>
        </w:rPr>
        <w:t xml:space="preserve"> </w:t>
      </w:r>
      <w:r w:rsidRPr="00DD2D90">
        <w:rPr>
          <w:rStyle w:val="Emphasis"/>
          <w:highlight w:val="green"/>
        </w:rPr>
        <w:t>delayed</w:t>
      </w:r>
      <w:r w:rsidRPr="00DD2D90">
        <w:rPr>
          <w:rStyle w:val="StyleUnderline"/>
        </w:rPr>
        <w:t xml:space="preserve"> the adoption of coherent </w:t>
      </w:r>
      <w:r w:rsidRPr="00DD2D90">
        <w:rPr>
          <w:rStyle w:val="StyleUnderline"/>
          <w:highlight w:val="green"/>
        </w:rPr>
        <w:t>measures</w:t>
      </w:r>
      <w:r w:rsidRPr="009278EB">
        <w:rPr>
          <w:sz w:val="16"/>
          <w:highlight w:val="green"/>
        </w:rPr>
        <w:t xml:space="preserve"> </w:t>
      </w:r>
      <w:r w:rsidRPr="00DD2D90">
        <w:rPr>
          <w:rStyle w:val="StyleUnderline"/>
          <w:highlight w:val="green"/>
        </w:rPr>
        <w:t xml:space="preserve">to </w:t>
      </w:r>
      <w:r w:rsidRPr="00DD2D90">
        <w:rPr>
          <w:rStyle w:val="Emphasis"/>
          <w:highlight w:val="green"/>
        </w:rPr>
        <w:t>contain</w:t>
      </w:r>
      <w:r w:rsidRPr="00DD2D90">
        <w:rPr>
          <w:rStyle w:val="StyleUnderline"/>
        </w:rPr>
        <w:t xml:space="preserve"> the </w:t>
      </w:r>
      <w:r w:rsidRPr="00DD2D90">
        <w:rPr>
          <w:rStyle w:val="StyleUnderline"/>
          <w:highlight w:val="green"/>
        </w:rPr>
        <w:t xml:space="preserve">disease and </w:t>
      </w:r>
      <w:r w:rsidRPr="00DD2D90">
        <w:rPr>
          <w:rStyle w:val="Emphasis"/>
          <w:highlight w:val="green"/>
        </w:rPr>
        <w:t>strengthen</w:t>
      </w:r>
      <w:r w:rsidRPr="00DD2D90">
        <w:rPr>
          <w:rStyle w:val="StyleUnderline"/>
          <w:highlight w:val="green"/>
        </w:rPr>
        <w:t xml:space="preserve"> the health</w:t>
      </w:r>
      <w:r w:rsidRPr="009278EB">
        <w:rPr>
          <w:sz w:val="16"/>
          <w:highlight w:val="green"/>
        </w:rPr>
        <w:t xml:space="preserve"> </w:t>
      </w:r>
      <w:r w:rsidRPr="00DD2D90">
        <w:rPr>
          <w:rStyle w:val="StyleUnderline"/>
          <w:highlight w:val="green"/>
        </w:rPr>
        <w:t>system</w:t>
      </w:r>
      <w:r w:rsidRPr="009278EB">
        <w:rPr>
          <w:sz w:val="16"/>
        </w:rPr>
        <w:t>.//As</w:t>
      </w:r>
      <w:r w:rsidRPr="00DD2D90">
        <w:rPr>
          <w:rStyle w:val="StyleUnderline"/>
        </w:rPr>
        <w:t xml:space="preserve"> </w:t>
      </w:r>
      <w:r w:rsidRPr="00DD2D90">
        <w:rPr>
          <w:rStyle w:val="StyleUnderline"/>
          <w:highlight w:val="green"/>
        </w:rPr>
        <w:t xml:space="preserve">their health systems are </w:t>
      </w:r>
      <w:r w:rsidRPr="00DD2D90">
        <w:rPr>
          <w:rStyle w:val="Emphasis"/>
          <w:highlight w:val="green"/>
        </w:rPr>
        <w:t>unable</w:t>
      </w:r>
      <w:r w:rsidRPr="00DD2D90">
        <w:rPr>
          <w:rStyle w:val="StyleUnderline"/>
        </w:rPr>
        <w:t xml:space="preserve"> </w:t>
      </w:r>
      <w:r w:rsidRPr="00DD2D90">
        <w:rPr>
          <w:rStyle w:val="StyleUnderline"/>
          <w:highlight w:val="green"/>
        </w:rPr>
        <w:t>to coordinate</w:t>
      </w:r>
      <w:r w:rsidRPr="00DD2D90">
        <w:rPr>
          <w:rStyle w:val="StyleUnderline"/>
        </w:rPr>
        <w:t xml:space="preserve"> adequate </w:t>
      </w:r>
      <w:r w:rsidRPr="00DD2D90">
        <w:rPr>
          <w:rStyle w:val="Emphasis"/>
          <w:highlight w:val="green"/>
        </w:rPr>
        <w:t>collective responses</w:t>
      </w:r>
      <w:r w:rsidRPr="009278EB">
        <w:rPr>
          <w:sz w:val="16"/>
        </w:rPr>
        <w:t xml:space="preserve">, it is not surprising that the </w:t>
      </w:r>
      <w:r w:rsidRPr="00DD2D90">
        <w:rPr>
          <w:rStyle w:val="StyleUnderline"/>
        </w:rPr>
        <w:t>measures taken by European governments are calling on people’s individual responsibilities</w:t>
      </w:r>
      <w:r w:rsidRPr="009278EB">
        <w:rPr>
          <w:sz w:val="16"/>
        </w:rPr>
        <w:t xml:space="preserve">. Social distancing has become the cornerstone of their COVID-19 mitigation plans. Indeed, the authors also indicate that even though </w:t>
      </w:r>
      <w:r w:rsidRPr="00DD2D90">
        <w:rPr>
          <w:rStyle w:val="StyleUnderline"/>
        </w:rPr>
        <w:t>measures that emphasize individual responsibility are</w:t>
      </w:r>
      <w:r w:rsidRPr="009278EB">
        <w:rPr>
          <w:sz w:val="16"/>
        </w:rPr>
        <w:t xml:space="preserve"> necessary, the fact is that they are </w:t>
      </w:r>
      <w:r w:rsidRPr="00DD2D90">
        <w:rPr>
          <w:rStyle w:val="StyleUnderline"/>
        </w:rPr>
        <w:t>insufficient</w:t>
      </w:r>
      <w:r w:rsidRPr="009278EB">
        <w:rPr>
          <w:sz w:val="16"/>
        </w:rPr>
        <w:t xml:space="preserve">. </w:t>
      </w:r>
      <w:r w:rsidRPr="00DD2D90">
        <w:rPr>
          <w:rStyle w:val="StyleUnderline"/>
        </w:rPr>
        <w:t>Collective interventions must be put in place</w:t>
      </w:r>
      <w:r w:rsidRPr="009278EB">
        <w:rPr>
          <w:sz w:val="16"/>
        </w:rPr>
        <w:t xml:space="preserve">, </w:t>
      </w:r>
      <w:r w:rsidRPr="00DD2D90">
        <w:rPr>
          <w:rStyle w:val="StyleUnderline"/>
        </w:rPr>
        <w:t>which should include</w:t>
      </w:r>
      <w:r w:rsidRPr="009278EB">
        <w:rPr>
          <w:sz w:val="16"/>
        </w:rPr>
        <w:t xml:space="preserve">: (1) </w:t>
      </w:r>
      <w:r w:rsidRPr="00DD2D90">
        <w:rPr>
          <w:rStyle w:val="StyleUnderline"/>
        </w:rPr>
        <w:t>the provision of universal health and social services</w:t>
      </w:r>
      <w:r w:rsidRPr="009278EB">
        <w:rPr>
          <w:sz w:val="16"/>
        </w:rPr>
        <w:t xml:space="preserve">, including family support services known as the fourth pillar of the welfare state (i.e., preschools and services for dependent individuals, such as the elderly), as well as (2) public interventions to guarantee labor and social rights of the population, due to the deterioration of the labor market created by the pandemic. The Spanish Response to the Epidemic </w:t>
      </w:r>
    </w:p>
    <w:p w14:paraId="5D985F48" w14:textId="77777777" w:rsidR="00CB4C07" w:rsidRPr="009278EB" w:rsidRDefault="00CB4C07" w:rsidP="00CB4C07">
      <w:pPr>
        <w:rPr>
          <w:sz w:val="16"/>
        </w:rPr>
      </w:pPr>
    </w:p>
    <w:p w14:paraId="4D8C7F9C" w14:textId="77777777" w:rsidR="00EA6776" w:rsidRPr="009278EB" w:rsidRDefault="00EA6776">
      <w:pPr>
        <w:rPr>
          <w:rFonts w:eastAsiaTheme="majorEastAsia" w:cstheme="majorBidi"/>
          <w:b/>
          <w:iCs/>
          <w:sz w:val="16"/>
        </w:rPr>
      </w:pPr>
      <w:r w:rsidRPr="009278EB">
        <w:rPr>
          <w:sz w:val="16"/>
        </w:rPr>
        <w:br w:type="page"/>
      </w:r>
    </w:p>
    <w:p w14:paraId="7A70AA5C" w14:textId="14564B1E" w:rsidR="00430E0B" w:rsidRPr="009278EB" w:rsidRDefault="00430E0B" w:rsidP="00430E0B">
      <w:pPr>
        <w:pStyle w:val="Heading4"/>
        <w:rPr>
          <w:szCs w:val="26"/>
        </w:rPr>
      </w:pPr>
      <w:r w:rsidRPr="009278EB">
        <w:rPr>
          <w:szCs w:val="26"/>
        </w:rPr>
        <w:t>Social medicine solves pharmaceutical shortages – less offshoring, monopolies, rationing, price gouging, and back-bone reserves</w:t>
      </w:r>
    </w:p>
    <w:p w14:paraId="4F448CD3" w14:textId="77777777" w:rsidR="00430E0B" w:rsidRPr="00DD2D90" w:rsidRDefault="00430E0B" w:rsidP="00430E0B">
      <w:r w:rsidRPr="009278EB">
        <w:rPr>
          <w:b/>
          <w:bCs/>
          <w:sz w:val="26"/>
          <w:szCs w:val="26"/>
        </w:rPr>
        <w:t>Kuttner 23</w:t>
      </w:r>
      <w:r w:rsidRPr="00DD2D90">
        <w:t xml:space="preserve"> [Robert Kuttner, professor at Brandeis University’s Heller School, 4-25-2023, "Drug Shortages as an Indictment of Capitalism", American Prospect, https://prospect.org/2023/04/25/2023-04-25-drug-shortages-indictment-capitalism/]/Kankee</w:t>
      </w:r>
    </w:p>
    <w:p w14:paraId="13DB48CE" w14:textId="77777777" w:rsidR="00430E0B" w:rsidRPr="009278EB" w:rsidRDefault="00430E0B" w:rsidP="00430E0B">
      <w:pPr>
        <w:rPr>
          <w:sz w:val="16"/>
        </w:rPr>
      </w:pPr>
      <w:r w:rsidRPr="009278EB">
        <w:rPr>
          <w:sz w:val="16"/>
        </w:rPr>
        <w:t xml:space="preserve">You have probably been reading about the shortage of Adderall and other medications used to treat attention deficit hyperactivity disorder (ADHD) and other neurological conditions. The artificial scarcity of these drugs is just one part of a much larger story. At the end of 2022, the FDA reported some 295 drugs in short supply, including cancer treatments, antibiotics, heart medications, and psychoactive medicines. I find four distinct causes for these drug shortages, all of which reinforce each other. But </w:t>
      </w:r>
      <w:r w:rsidRPr="00DD2D90">
        <w:rPr>
          <w:rStyle w:val="StyleUnderline"/>
        </w:rPr>
        <w:t>the underlying cause is monopoly power tolerated by government</w:t>
      </w:r>
      <w:r w:rsidRPr="009278EB">
        <w:rPr>
          <w:sz w:val="16"/>
        </w:rPr>
        <w:t xml:space="preserve">. At bottom, we have a story of markets run amok. </w:t>
      </w:r>
      <w:r w:rsidRPr="00DD2D90">
        <w:rPr>
          <w:rStyle w:val="StyleUnderline"/>
        </w:rPr>
        <w:t>Instead of producing innovation</w:t>
      </w:r>
      <w:r w:rsidRPr="009278EB">
        <w:rPr>
          <w:sz w:val="16"/>
        </w:rPr>
        <w:t xml:space="preserve">, consumer choice, and price competition as in economic textbooks, </w:t>
      </w:r>
      <w:r w:rsidRPr="00DD2D90">
        <w:rPr>
          <w:rStyle w:val="StyleUnderline"/>
        </w:rPr>
        <w:t>drug companies</w:t>
      </w:r>
      <w:r w:rsidRPr="009278EB">
        <w:rPr>
          <w:sz w:val="16"/>
        </w:rPr>
        <w:t xml:space="preserve">, drug wholesalers, and middlemen known as group purchasing organizations (GPOs) </w:t>
      </w:r>
      <w:r w:rsidRPr="00DD2D90">
        <w:rPr>
          <w:rStyle w:val="StyleUnderline"/>
        </w:rPr>
        <w:t>create price-gouging, monopoly profits, and scarcity</w:t>
      </w:r>
      <w:r w:rsidRPr="009278EB">
        <w:rPr>
          <w:sz w:val="16"/>
        </w:rPr>
        <w:t xml:space="preserve">. This is all compounded by offshoring. In the 20th century, most of the raw materials that go into drugs, known as active pharmaceutical ingredients (APIs), were manufactured in the USA. To increase their profits, U.S. drugmakers increasingly went to China and India. The pandemic revealed these supply chain vulnerabilities. It’s hard to resist the conclusion that this is an industry beyond repair. It would be far more cost-effective for government or government-sponsored nonprofits to research, develop, produce, and distribute drugs. That may sound far-fetched, but as the Prospect has reported, the state of </w:t>
      </w:r>
      <w:r w:rsidRPr="00DD2D90">
        <w:rPr>
          <w:rStyle w:val="StyleUnderline"/>
          <w:highlight w:val="green"/>
        </w:rPr>
        <w:t>California has gone into the business of</w:t>
      </w:r>
      <w:r w:rsidRPr="00DD2D90">
        <w:rPr>
          <w:rStyle w:val="StyleUnderline"/>
        </w:rPr>
        <w:t xml:space="preserve"> </w:t>
      </w:r>
      <w:r w:rsidRPr="00DD2D90">
        <w:rPr>
          <w:rStyle w:val="StyleUnderline"/>
          <w:highlight w:val="green"/>
        </w:rPr>
        <w:t>manufacturing</w:t>
      </w:r>
      <w:r w:rsidRPr="00DD2D90">
        <w:rPr>
          <w:rStyle w:val="StyleUnderline"/>
        </w:rPr>
        <w:t xml:space="preserve"> and selling inexpensive </w:t>
      </w:r>
      <w:r w:rsidRPr="00DD2D90">
        <w:rPr>
          <w:rStyle w:val="StyleUnderline"/>
          <w:highlight w:val="green"/>
        </w:rPr>
        <w:t>generic insulin</w:t>
      </w:r>
      <w:r w:rsidRPr="009278EB">
        <w:rPr>
          <w:sz w:val="16"/>
        </w:rPr>
        <w:t xml:space="preserve">. </w:t>
      </w:r>
      <w:r w:rsidRPr="00DD2D90">
        <w:rPr>
          <w:rStyle w:val="StyleUnderline"/>
          <w:highlight w:val="green"/>
        </w:rPr>
        <w:t>The state is</w:t>
      </w:r>
      <w:r w:rsidRPr="009278EB">
        <w:rPr>
          <w:sz w:val="16"/>
        </w:rPr>
        <w:t xml:space="preserve"> also </w:t>
      </w:r>
      <w:r w:rsidRPr="00DD2D90">
        <w:rPr>
          <w:rStyle w:val="StyleUnderline"/>
          <w:highlight w:val="green"/>
        </w:rPr>
        <w:t>considering manufacturing naloxone</w:t>
      </w:r>
      <w:r w:rsidRPr="009278EB">
        <w:rPr>
          <w:sz w:val="16"/>
        </w:rPr>
        <w:t xml:space="preserve">, which reverses the effects of opioid overdoses. And Washington state, looking at court decisions restricting medication abortions, has purchased a three-year supply of mifepristone. </w:t>
      </w:r>
      <w:r w:rsidRPr="00DD2D90">
        <w:rPr>
          <w:rStyle w:val="StyleUnderline"/>
          <w:highlight w:val="green"/>
        </w:rPr>
        <w:t>Government can distribute prescription drugs far more efficiently, reliably, and cheaply than private monopolies</w:t>
      </w:r>
      <w:r w:rsidRPr="009278EB">
        <w:rPr>
          <w:sz w:val="16"/>
        </w:rPr>
        <w:t xml:space="preserve">. Here’s the larger story. 1. Adderall and Monopoly Wholesalers. Drugs that can be abused, such as opioids and medications for ADHD, are now often hard to get. Parents whose kids depend on these drugs are now frantic. Physicians who prescribe opiates as urgently needed painkillers often find them hard to obtain. You might think that this scarcity occurred because government overreacted to the abuses of OxyContin and prescription stimulant medication that is also a street drug, like Adderall. But think again. The fact is that pharmacies that stock these drugs have trouble getting them because monopoly distributors overreacted and cut corners. Instead of spending the money to devise distribution systems to sort out legitimate drugstores from those allowing these drugs to be sold to excess, the big three producers just cut back supply across the board. The </w:t>
      </w:r>
      <w:r w:rsidRPr="00DD2D90">
        <w:rPr>
          <w:rStyle w:val="StyleUnderline"/>
          <w:highlight w:val="green"/>
        </w:rPr>
        <w:t>monopoly wholesalers</w:t>
      </w:r>
      <w:r w:rsidRPr="009278EB">
        <w:rPr>
          <w:sz w:val="16"/>
        </w:rPr>
        <w:t xml:space="preserve"> are McKesson, AmerisourceBergen, and Cardinal Health. They </w:t>
      </w:r>
      <w:r w:rsidRPr="00DD2D90">
        <w:rPr>
          <w:rStyle w:val="StyleUnderline"/>
          <w:highlight w:val="green"/>
        </w:rPr>
        <w:t>control</w:t>
      </w:r>
      <w:r w:rsidRPr="009278EB">
        <w:rPr>
          <w:sz w:val="16"/>
        </w:rPr>
        <w:t xml:space="preserve"> 85 to </w:t>
      </w:r>
      <w:r w:rsidRPr="00DD2D90">
        <w:rPr>
          <w:rStyle w:val="Emphasis"/>
          <w:highlight w:val="green"/>
        </w:rPr>
        <w:t>90</w:t>
      </w:r>
      <w:r w:rsidRPr="00DD2D90">
        <w:rPr>
          <w:rStyle w:val="StyleUnderline"/>
          <w:highlight w:val="green"/>
        </w:rPr>
        <w:t xml:space="preserve"> </w:t>
      </w:r>
      <w:r w:rsidRPr="00DD2D90">
        <w:rPr>
          <w:rStyle w:val="Emphasis"/>
          <w:highlight w:val="green"/>
        </w:rPr>
        <w:t>percent</w:t>
      </w:r>
      <w:r w:rsidRPr="00DD2D90">
        <w:rPr>
          <w:rStyle w:val="StyleUnderline"/>
          <w:highlight w:val="green"/>
        </w:rPr>
        <w:t xml:space="preserve"> of the</w:t>
      </w:r>
      <w:r w:rsidRPr="00DD2D90">
        <w:rPr>
          <w:rStyle w:val="StyleUnderline"/>
        </w:rPr>
        <w:t xml:space="preserve"> wholesale </w:t>
      </w:r>
      <w:r w:rsidRPr="00DD2D90">
        <w:rPr>
          <w:rStyle w:val="StyleUnderline"/>
          <w:highlight w:val="green"/>
        </w:rPr>
        <w:t>market</w:t>
      </w:r>
      <w:r w:rsidRPr="009278EB">
        <w:rPr>
          <w:sz w:val="16"/>
        </w:rPr>
        <w:t xml:space="preserve">. The best summary of this appalling saga was told by Matt Stoller in this explainer piece. As Stoller recounts the story, Cardinal was repeatedly caught distributing oxycodone pills to fronts for organized crime. After the crackdown, Cardinal and the others restricted supply of potentially abusive drugs with legitimate uses to pharmacies across the board. Why are these monopoly wholesalers tolerated at all? 2. Group Purchasing Organizations. A second source of widely abused monopoly power is GPOs. Ironically, GPOs were created by hospitals more than a century ago to use their bulk purchasing power to cut costs. But armed with an antitrust exemption created in 1996, GPOs have become laws unto themselves. As David Dayen explained in this Prospect piece adapted from his 2020 book, Monopolized, four companies—Vizient, Premier, Healthtrust, and Intalere—control nearly all GPO purchasing, about $300 billion for 5,000 different health systems. About </w:t>
      </w:r>
      <w:r w:rsidRPr="00DD2D90">
        <w:rPr>
          <w:rStyle w:val="StyleUnderline"/>
        </w:rPr>
        <w:t xml:space="preserve">98 percent of all hospitals use a </w:t>
      </w:r>
      <w:r w:rsidRPr="00DD2D90">
        <w:rPr>
          <w:rStyle w:val="StyleUnderline"/>
          <w:highlight w:val="green"/>
        </w:rPr>
        <w:t>GPO</w:t>
      </w:r>
      <w:r w:rsidRPr="00DD2D90">
        <w:rPr>
          <w:rStyle w:val="StyleUnderline"/>
        </w:rPr>
        <w:t>, and</w:t>
      </w:r>
      <w:r w:rsidRPr="009278EB">
        <w:rPr>
          <w:sz w:val="16"/>
        </w:rPr>
        <w:t xml:space="preserve"> </w:t>
      </w:r>
      <w:r w:rsidRPr="00DD2D90">
        <w:rPr>
          <w:rStyle w:val="StyleUnderline"/>
        </w:rPr>
        <w:t xml:space="preserve">the top four </w:t>
      </w:r>
      <w:r w:rsidRPr="00DD2D90">
        <w:rPr>
          <w:rStyle w:val="StyleUnderline"/>
          <w:highlight w:val="green"/>
        </w:rPr>
        <w:t xml:space="preserve">account for </w:t>
      </w:r>
      <w:r w:rsidRPr="00DD2D90">
        <w:rPr>
          <w:rStyle w:val="Emphasis"/>
          <w:highlight w:val="green"/>
        </w:rPr>
        <w:t>90 percent</w:t>
      </w:r>
      <w:r w:rsidRPr="00DD2D90">
        <w:rPr>
          <w:rStyle w:val="StyleUnderline"/>
          <w:highlight w:val="green"/>
        </w:rPr>
        <w:t xml:space="preserve"> of the</w:t>
      </w:r>
      <w:r w:rsidRPr="00DD2D90">
        <w:rPr>
          <w:rStyle w:val="StyleUnderline"/>
        </w:rPr>
        <w:t xml:space="preserve"> </w:t>
      </w:r>
      <w:r w:rsidRPr="00DD2D90">
        <w:rPr>
          <w:rStyle w:val="StyleUnderline"/>
          <w:highlight w:val="green"/>
        </w:rPr>
        <w:t>market</w:t>
      </w:r>
      <w:r w:rsidRPr="009278EB">
        <w:rPr>
          <w:sz w:val="16"/>
        </w:rPr>
        <w:t xml:space="preserve">. If </w:t>
      </w:r>
      <w:r w:rsidRPr="00DD2D90">
        <w:rPr>
          <w:rStyle w:val="StyleUnderline"/>
          <w:highlight w:val="green"/>
        </w:rPr>
        <w:t xml:space="preserve">GPOs have become </w:t>
      </w:r>
      <w:r w:rsidRPr="00DD2D90">
        <w:rPr>
          <w:rStyle w:val="Emphasis"/>
          <w:highlight w:val="green"/>
        </w:rPr>
        <w:t>abusive</w:t>
      </w:r>
      <w:r w:rsidRPr="00DD2D90">
        <w:rPr>
          <w:rStyle w:val="StyleUnderline"/>
          <w:highlight w:val="green"/>
        </w:rPr>
        <w:t xml:space="preserve"> and </w:t>
      </w:r>
      <w:r w:rsidRPr="00DD2D90">
        <w:rPr>
          <w:rStyle w:val="Emphasis"/>
          <w:highlight w:val="green"/>
        </w:rPr>
        <w:t>counterproductive</w:t>
      </w:r>
      <w:r w:rsidRPr="009278EB">
        <w:rPr>
          <w:sz w:val="16"/>
        </w:rPr>
        <w:t xml:space="preserve">, why use them? Because hospitals get kickbacks to give GPOs sole-source contracts. </w:t>
      </w:r>
      <w:r w:rsidRPr="00DD2D90">
        <w:rPr>
          <w:rStyle w:val="StyleUnderline"/>
          <w:highlight w:val="green"/>
        </w:rPr>
        <w:t>GPOs cut</w:t>
      </w:r>
      <w:r w:rsidRPr="00DD2D90">
        <w:rPr>
          <w:rStyle w:val="StyleUnderline"/>
        </w:rPr>
        <w:t xml:space="preserve"> their own </w:t>
      </w:r>
      <w:r w:rsidRPr="00DD2D90">
        <w:rPr>
          <w:rStyle w:val="StyleUnderline"/>
          <w:highlight w:val="green"/>
        </w:rPr>
        <w:t>costs</w:t>
      </w:r>
      <w:r w:rsidRPr="00DD2D90">
        <w:rPr>
          <w:rStyle w:val="StyleUnderline"/>
        </w:rPr>
        <w:t xml:space="preserve"> and maximize profits </w:t>
      </w:r>
      <w:r w:rsidRPr="00DD2D90">
        <w:rPr>
          <w:rStyle w:val="StyleUnderline"/>
          <w:highlight w:val="green"/>
        </w:rPr>
        <w:t>by keeping inventories lean</w:t>
      </w:r>
      <w:r w:rsidRPr="00DD2D90">
        <w:rPr>
          <w:rStyle w:val="StyleUnderline"/>
        </w:rPr>
        <w:t xml:space="preserve">. Because of this fragile system, </w:t>
      </w:r>
      <w:r w:rsidRPr="00DD2D90">
        <w:rPr>
          <w:rStyle w:val="StyleUnderline"/>
          <w:highlight w:val="green"/>
        </w:rPr>
        <w:t>the slightest disruption in production creates shortages</w:t>
      </w:r>
      <w:r w:rsidRPr="009278EB">
        <w:rPr>
          <w:sz w:val="16"/>
        </w:rPr>
        <w:t xml:space="preserve">. If a given GPO runs out of drugs or medical supplies, the hospital is unable to seek needed medical products elsewhere. </w:t>
      </w:r>
      <w:r w:rsidRPr="00DD2D90">
        <w:rPr>
          <w:rStyle w:val="StyleUnderline"/>
        </w:rPr>
        <w:t xml:space="preserve">It’s another case of </w:t>
      </w:r>
      <w:r w:rsidRPr="00DD2D90">
        <w:rPr>
          <w:rStyle w:val="Emphasis"/>
          <w:highlight w:val="green"/>
        </w:rPr>
        <w:t>concentration</w:t>
      </w:r>
      <w:r w:rsidRPr="00DD2D90">
        <w:rPr>
          <w:rStyle w:val="StyleUnderline"/>
          <w:highlight w:val="green"/>
        </w:rPr>
        <w:t xml:space="preserve"> married to </w:t>
      </w:r>
      <w:r w:rsidRPr="00DD2D90">
        <w:rPr>
          <w:rStyle w:val="Emphasis"/>
          <w:highlight w:val="green"/>
        </w:rPr>
        <w:t>corruption</w:t>
      </w:r>
      <w:r w:rsidRPr="009278EB">
        <w:rPr>
          <w:sz w:val="16"/>
        </w:rPr>
        <w:t xml:space="preserve">. 3. Continued Dependence on Foreign Sources of Pharmaceutical Ingredients. In 2020, Americans suddenly became aware of a previously obscure concept: supply chains. The U.S. was suddenly short of the most basic medical supplies such as masks and hospital gowns. </w:t>
      </w:r>
      <w:r w:rsidRPr="00DD2D90">
        <w:rPr>
          <w:rStyle w:val="StyleUnderline"/>
        </w:rPr>
        <w:t>Upwards</w:t>
      </w:r>
      <w:r w:rsidRPr="009278EB">
        <w:rPr>
          <w:sz w:val="16"/>
        </w:rPr>
        <w:t xml:space="preserve"> </w:t>
      </w:r>
      <w:r w:rsidRPr="00DD2D90">
        <w:rPr>
          <w:rStyle w:val="StyleUnderline"/>
        </w:rPr>
        <w:t xml:space="preserve">of </w:t>
      </w:r>
      <w:r w:rsidRPr="00DD2D90">
        <w:rPr>
          <w:rStyle w:val="Emphasis"/>
          <w:highlight w:val="green"/>
        </w:rPr>
        <w:t>80 percent</w:t>
      </w:r>
      <w:r w:rsidRPr="00DD2D90">
        <w:rPr>
          <w:rStyle w:val="StyleUnderline"/>
        </w:rPr>
        <w:t xml:space="preserve"> </w:t>
      </w:r>
      <w:r w:rsidRPr="00DD2D90">
        <w:rPr>
          <w:rStyle w:val="StyleUnderline"/>
          <w:highlight w:val="green"/>
        </w:rPr>
        <w:t>of</w:t>
      </w:r>
      <w:r w:rsidRPr="00DD2D90">
        <w:rPr>
          <w:rStyle w:val="StyleUnderline"/>
        </w:rPr>
        <w:t xml:space="preserve"> </w:t>
      </w:r>
      <w:r w:rsidRPr="00DD2D90">
        <w:rPr>
          <w:rStyle w:val="StyleUnderline"/>
          <w:highlight w:val="green"/>
        </w:rPr>
        <w:t>a</w:t>
      </w:r>
      <w:r w:rsidRPr="00DD2D90">
        <w:rPr>
          <w:rStyle w:val="StyleUnderline"/>
        </w:rPr>
        <w:t xml:space="preserve">ctive </w:t>
      </w:r>
      <w:r w:rsidRPr="00DD2D90">
        <w:rPr>
          <w:rStyle w:val="StyleUnderline"/>
          <w:highlight w:val="green"/>
        </w:rPr>
        <w:t>p</w:t>
      </w:r>
      <w:r w:rsidRPr="00DD2D90">
        <w:rPr>
          <w:rStyle w:val="StyleUnderline"/>
        </w:rPr>
        <w:t xml:space="preserve">harmaceutical </w:t>
      </w:r>
      <w:r w:rsidRPr="00DD2D90">
        <w:rPr>
          <w:rStyle w:val="StyleUnderline"/>
          <w:highlight w:val="green"/>
        </w:rPr>
        <w:t>i</w:t>
      </w:r>
      <w:r w:rsidRPr="00DD2D90">
        <w:rPr>
          <w:rStyle w:val="StyleUnderline"/>
        </w:rPr>
        <w:t>ngredient</w:t>
      </w:r>
      <w:r w:rsidRPr="00DD2D90">
        <w:rPr>
          <w:rStyle w:val="StyleUnderline"/>
          <w:highlight w:val="green"/>
        </w:rPr>
        <w:t>s</w:t>
      </w:r>
      <w:r w:rsidRPr="009278EB">
        <w:rPr>
          <w:sz w:val="16"/>
        </w:rPr>
        <w:t xml:space="preserve">, we learned, </w:t>
      </w:r>
      <w:r w:rsidRPr="00DD2D90">
        <w:rPr>
          <w:rStyle w:val="StyleUnderline"/>
          <w:highlight w:val="green"/>
        </w:rPr>
        <w:t>were made offshore</w:t>
      </w:r>
      <w:r w:rsidRPr="009278EB">
        <w:rPr>
          <w:sz w:val="16"/>
        </w:rPr>
        <w:t xml:space="preserve">, mostly in China. Under Trump, the government launched a crash program under a division of the FDA called the Biomedical Advanced Research and Development Authority (BARDA). But most of BARDA’s efforts went to subsidize production of COVID vaccines, under Operation Warp Speed. BARDA’s efforts to bring back some production of active pharmaceutical ingredients were set back when its director, a respected career virologist named Dr. Rick Bright, was fired after raising objections to President Trump’s promotion of hydroxychloroquine and other problems of corruption at BARDA. Bright later settled with the government for wrongful dismissal. More recently, BARDA has worked with both startups and established companies to increase production of </w:t>
      </w:r>
      <w:r w:rsidRPr="00DD2D90">
        <w:rPr>
          <w:rStyle w:val="StyleUnderline"/>
          <w:highlight w:val="green"/>
        </w:rPr>
        <w:t>APIs</w:t>
      </w:r>
      <w:r w:rsidRPr="009278EB">
        <w:rPr>
          <w:sz w:val="16"/>
        </w:rPr>
        <w:t xml:space="preserve"> in the U.S., including Eli Lilly. But this activity </w:t>
      </w:r>
      <w:r w:rsidRPr="00DD2D90">
        <w:rPr>
          <w:rStyle w:val="StyleUnderline"/>
          <w:highlight w:val="green"/>
        </w:rPr>
        <w:t>is less profitable than</w:t>
      </w:r>
      <w:r w:rsidRPr="00DD2D90">
        <w:rPr>
          <w:rStyle w:val="StyleUnderline"/>
        </w:rPr>
        <w:t xml:space="preserve"> the quest for new </w:t>
      </w:r>
      <w:r w:rsidRPr="00DD2D90">
        <w:rPr>
          <w:rStyle w:val="StyleUnderline"/>
          <w:highlight w:val="green"/>
        </w:rPr>
        <w:t>blockbuster</w:t>
      </w:r>
      <w:r w:rsidRPr="00DD2D90">
        <w:rPr>
          <w:rStyle w:val="StyleUnderline"/>
        </w:rPr>
        <w:t xml:space="preserve"> drugs, and the percentage of APIs sourced offshore has not changed much</w:t>
      </w:r>
      <w:r w:rsidRPr="009278EB">
        <w:rPr>
          <w:sz w:val="16"/>
        </w:rPr>
        <w:t xml:space="preserve">. 4. </w:t>
      </w:r>
      <w:r w:rsidRPr="00DD2D90">
        <w:rPr>
          <w:rStyle w:val="StyleUnderline"/>
          <w:highlight w:val="green"/>
        </w:rPr>
        <w:t>Generics Are Not Profitable to Manufacture</w:t>
      </w:r>
      <w:r w:rsidRPr="009278EB">
        <w:rPr>
          <w:sz w:val="16"/>
        </w:rPr>
        <w:t xml:space="preserve">. Another underlying cause of drug shortages is that in a concentrated, for-profit system accustomed to very high rates of return, generic drugs are low-profit items. For drugs used in hospitals, which are particularly low-margin, </w:t>
      </w:r>
      <w:r w:rsidRPr="00DD2D90">
        <w:rPr>
          <w:rStyle w:val="StyleUnderline"/>
        </w:rPr>
        <w:t>without a contract from</w:t>
      </w:r>
      <w:r w:rsidRPr="009278EB">
        <w:rPr>
          <w:sz w:val="16"/>
        </w:rPr>
        <w:t xml:space="preserve"> one of the big four </w:t>
      </w:r>
      <w:r w:rsidRPr="00DD2D90">
        <w:rPr>
          <w:rStyle w:val="StyleUnderline"/>
        </w:rPr>
        <w:t>GPOs, there’s no way to gain enough market share to justify production</w:t>
      </w:r>
      <w:r w:rsidRPr="009278EB">
        <w:rPr>
          <w:sz w:val="16"/>
        </w:rPr>
        <w:t xml:space="preserve">. Therefore </w:t>
      </w:r>
      <w:r w:rsidRPr="00DD2D90">
        <w:rPr>
          <w:rStyle w:val="StyleUnderline"/>
        </w:rPr>
        <w:t>few companies manufacture</w:t>
      </w:r>
      <w:r w:rsidRPr="009278EB">
        <w:rPr>
          <w:sz w:val="16"/>
        </w:rPr>
        <w:t xml:space="preserve"> a wide array of these </w:t>
      </w:r>
      <w:r w:rsidRPr="00DD2D90">
        <w:rPr>
          <w:rStyle w:val="StyleUnderline"/>
        </w:rPr>
        <w:t xml:space="preserve">generic drugs, </w:t>
      </w:r>
      <w:r w:rsidRPr="00DD2D90">
        <w:rPr>
          <w:rStyle w:val="StyleUnderline"/>
          <w:highlight w:val="green"/>
        </w:rPr>
        <w:t>making them prone to shortages</w:t>
      </w:r>
      <w:r w:rsidRPr="009278EB">
        <w:rPr>
          <w:sz w:val="16"/>
        </w:rPr>
        <w:t xml:space="preserve">. For other drugs, the giant members of </w:t>
      </w:r>
      <w:r w:rsidRPr="00DD2D90">
        <w:rPr>
          <w:rStyle w:val="StyleUnderline"/>
          <w:highlight w:val="green"/>
        </w:rPr>
        <w:t>PhRMA</w:t>
      </w:r>
      <w:r w:rsidRPr="009278EB">
        <w:rPr>
          <w:sz w:val="16"/>
        </w:rPr>
        <w:t xml:space="preserve">, the industry trade group, have compounded the problem by either </w:t>
      </w:r>
      <w:r w:rsidRPr="00DD2D90">
        <w:rPr>
          <w:rStyle w:val="StyleUnderline"/>
          <w:highlight w:val="green"/>
        </w:rPr>
        <w:t>buy</w:t>
      </w:r>
      <w:r w:rsidRPr="009278EB">
        <w:rPr>
          <w:sz w:val="16"/>
        </w:rPr>
        <w:t xml:space="preserve">ing </w:t>
      </w:r>
      <w:r w:rsidRPr="00DD2D90">
        <w:rPr>
          <w:rStyle w:val="StyleUnderline"/>
          <w:highlight w:val="green"/>
        </w:rPr>
        <w:t>up makers of generics or driving them out of business</w:t>
      </w:r>
      <w:r w:rsidRPr="009278EB">
        <w:rPr>
          <w:sz w:val="16"/>
        </w:rPr>
        <w:t xml:space="preserve">, as well as creating very expensive “new” drugs, as in the case of insulin, that are actually close equivalents of generics that then become difficult to obtain. A comprehensive staff report by the Senate Committee on Homeland Security and Governmental Affairs released last month, titled “Short Supply,” found that </w:t>
      </w:r>
      <w:r w:rsidRPr="00DD2D90">
        <w:rPr>
          <w:rStyle w:val="StyleUnderline"/>
          <w:highlight w:val="green"/>
        </w:rPr>
        <w:t>drug shortages</w:t>
      </w:r>
      <w:r w:rsidRPr="009278EB">
        <w:rPr>
          <w:sz w:val="16"/>
        </w:rPr>
        <w:t xml:space="preserve"> from these several sources “</w:t>
      </w:r>
      <w:r w:rsidRPr="00DD2D90">
        <w:rPr>
          <w:rStyle w:val="StyleUnderline"/>
          <w:highlight w:val="green"/>
        </w:rPr>
        <w:t>are</w:t>
      </w:r>
      <w:r w:rsidRPr="009278EB">
        <w:rPr>
          <w:sz w:val="16"/>
        </w:rPr>
        <w:t xml:space="preserve"> </w:t>
      </w:r>
      <w:r w:rsidRPr="00DD2D90">
        <w:rPr>
          <w:rStyle w:val="StyleUnderline"/>
          <w:highlight w:val="green"/>
        </w:rPr>
        <w:t>increasing, lasting longer, and impacting patient care</w:t>
      </w:r>
      <w:r w:rsidRPr="009278EB">
        <w:rPr>
          <w:sz w:val="16"/>
        </w:rPr>
        <w:t xml:space="preserve">.” The report found, “Although some generic drugs appear to have multiple and diverse drug suppliers, they in fact may rely on the same API source or manufacturer. As a result, </w:t>
      </w:r>
      <w:r w:rsidRPr="00DD2D90">
        <w:rPr>
          <w:rStyle w:val="StyleUnderline"/>
        </w:rPr>
        <w:t xml:space="preserve">the universe of actual </w:t>
      </w:r>
      <w:r w:rsidRPr="00DD2D90">
        <w:rPr>
          <w:rStyle w:val="StyleUnderline"/>
          <w:highlight w:val="green"/>
        </w:rPr>
        <w:t>suppliers</w:t>
      </w:r>
      <w:r w:rsidRPr="00DD2D90">
        <w:rPr>
          <w:rStyle w:val="StyleUnderline"/>
        </w:rPr>
        <w:t xml:space="preserve"> for a particular drug </w:t>
      </w:r>
      <w:r w:rsidRPr="00DD2D90">
        <w:rPr>
          <w:rStyle w:val="StyleUnderline"/>
          <w:highlight w:val="green"/>
        </w:rPr>
        <w:t>may be much smaller</w:t>
      </w:r>
      <w:r w:rsidRPr="00DD2D90">
        <w:rPr>
          <w:rStyle w:val="StyleUnderline"/>
        </w:rPr>
        <w:t xml:space="preserve"> </w:t>
      </w:r>
      <w:r w:rsidRPr="00DD2D90">
        <w:rPr>
          <w:rStyle w:val="StyleUnderline"/>
          <w:highlight w:val="green"/>
        </w:rPr>
        <w:t>than it appears, increasing the risk of shortage if that API source or manufacturer withdraws supply</w:t>
      </w:r>
      <w:r w:rsidRPr="009278EB">
        <w:rPr>
          <w:sz w:val="16"/>
        </w:rPr>
        <w:t xml:space="preserve">.” Underlying all of this is another form of monopoly power: </w:t>
      </w:r>
      <w:r w:rsidRPr="00DD2D90">
        <w:rPr>
          <w:rStyle w:val="StyleUnderline"/>
        </w:rPr>
        <w:t xml:space="preserve">the excessively long </w:t>
      </w:r>
      <w:r w:rsidRPr="00DD2D90">
        <w:rPr>
          <w:rStyle w:val="StyleUnderline"/>
          <w:highlight w:val="green"/>
        </w:rPr>
        <w:t>patent terms</w:t>
      </w:r>
      <w:r w:rsidRPr="00DD2D90">
        <w:rPr>
          <w:rStyle w:val="StyleUnderline"/>
        </w:rPr>
        <w:t xml:space="preserve"> granted to </w:t>
      </w:r>
      <w:r w:rsidRPr="009278EB">
        <w:rPr>
          <w:sz w:val="16"/>
        </w:rPr>
        <w:t>giant</w:t>
      </w:r>
      <w:r w:rsidRPr="00DD2D90">
        <w:rPr>
          <w:rStyle w:val="StyleUnderline"/>
        </w:rPr>
        <w:t xml:space="preserve"> pharmaceutical companies</w:t>
      </w:r>
      <w:r w:rsidRPr="009278EB">
        <w:rPr>
          <w:sz w:val="16"/>
        </w:rPr>
        <w:t xml:space="preserve"> that </w:t>
      </w:r>
      <w:r w:rsidRPr="00DD2D90">
        <w:rPr>
          <w:rStyle w:val="StyleUnderline"/>
          <w:highlight w:val="green"/>
        </w:rPr>
        <w:t>produce</w:t>
      </w:r>
      <w:r w:rsidRPr="009278EB">
        <w:rPr>
          <w:sz w:val="16"/>
        </w:rPr>
        <w:t xml:space="preserve"> a different form of scarcity, namely </w:t>
      </w:r>
      <w:r w:rsidRPr="00DD2D90">
        <w:rPr>
          <w:rStyle w:val="StyleUnderline"/>
          <w:highlight w:val="green"/>
        </w:rPr>
        <w:t>rationing by exorbitant pricing</w:t>
      </w:r>
      <w:r w:rsidRPr="009278EB">
        <w:rPr>
          <w:sz w:val="16"/>
        </w:rPr>
        <w:t xml:space="preserve">. Far too much of the innovation that the big drug companies brag about is actually creation of me-too drugs that allow for longer patent protection and higher pricing. </w:t>
      </w:r>
      <w:r w:rsidRPr="00DD2D90">
        <w:rPr>
          <w:rStyle w:val="StyleUnderline"/>
        </w:rPr>
        <w:t>Given that so much of the biomedical “research” that produces new drugs is underwritten by government agencies, and the fact that more than half of all drugs are purchased directly or indirectly by Medicare, Medicaid, or the VA, it would be far more cost-effective</w:t>
      </w:r>
      <w:r w:rsidRPr="009278EB">
        <w:rPr>
          <w:sz w:val="16"/>
        </w:rPr>
        <w:t xml:space="preserve">, as economist Dean Baker has long argued, </w:t>
      </w:r>
      <w:r w:rsidRPr="00DD2D90">
        <w:rPr>
          <w:rStyle w:val="StyleUnderline"/>
          <w:highlight w:val="green"/>
        </w:rPr>
        <w:t>to</w:t>
      </w:r>
      <w:r w:rsidRPr="009278EB">
        <w:rPr>
          <w:sz w:val="16"/>
        </w:rPr>
        <w:t xml:space="preserve"> put all drugs in the public domain and make them all generics. If that were done, it would also make sense to emulate California, and </w:t>
      </w:r>
      <w:r w:rsidRPr="00DD2D90">
        <w:rPr>
          <w:rStyle w:val="StyleUnderline"/>
          <w:highlight w:val="green"/>
        </w:rPr>
        <w:t>have government work with nonprofits to produce and distribute drugs as well</w:t>
      </w:r>
      <w:r w:rsidRPr="009278EB">
        <w:rPr>
          <w:sz w:val="16"/>
        </w:rPr>
        <w:t xml:space="preserve">. The combination of </w:t>
      </w:r>
      <w:r w:rsidRPr="00DD2D90">
        <w:rPr>
          <w:rStyle w:val="StyleUnderline"/>
        </w:rPr>
        <w:t>monopoly abuses</w:t>
      </w:r>
      <w:r w:rsidRPr="009278EB">
        <w:rPr>
          <w:sz w:val="16"/>
        </w:rPr>
        <w:t xml:space="preserve"> by private wholesalers and purchasing organizations, coupled with abuses by drug companies granted patent monopolies, </w:t>
      </w:r>
      <w:r w:rsidRPr="00DD2D90">
        <w:rPr>
          <w:rStyle w:val="StyleUnderline"/>
        </w:rPr>
        <w:t xml:space="preserve">makes an eloquent case for </w:t>
      </w:r>
      <w:r w:rsidRPr="00DD2D90">
        <w:rPr>
          <w:rStyle w:val="Emphasis"/>
        </w:rPr>
        <w:t>socializing</w:t>
      </w:r>
      <w:r w:rsidRPr="00DD2D90">
        <w:rPr>
          <w:rStyle w:val="StyleUnderline"/>
        </w:rPr>
        <w:t xml:space="preserve"> the entire pharmaceutical sector</w:t>
      </w:r>
      <w:r w:rsidRPr="009278EB">
        <w:rPr>
          <w:sz w:val="16"/>
        </w:rPr>
        <w:t xml:space="preserve">. </w:t>
      </w:r>
    </w:p>
    <w:p w14:paraId="37B0087A" w14:textId="77777777" w:rsidR="00EA6776" w:rsidRPr="009278EB" w:rsidRDefault="00EA6776">
      <w:pPr>
        <w:rPr>
          <w:rFonts w:eastAsiaTheme="majorEastAsia" w:cstheme="majorBidi"/>
          <w:b/>
          <w:iCs/>
          <w:sz w:val="16"/>
          <w:szCs w:val="26"/>
        </w:rPr>
      </w:pPr>
      <w:r w:rsidRPr="009278EB">
        <w:rPr>
          <w:sz w:val="16"/>
          <w:szCs w:val="26"/>
        </w:rPr>
        <w:br w:type="page"/>
      </w:r>
    </w:p>
    <w:p w14:paraId="31277C73" w14:textId="220868FA" w:rsidR="0082453E" w:rsidRPr="009278EB" w:rsidRDefault="0082453E" w:rsidP="0082453E">
      <w:pPr>
        <w:pStyle w:val="Heading4"/>
        <w:rPr>
          <w:szCs w:val="26"/>
        </w:rPr>
      </w:pPr>
      <w:r w:rsidRPr="009278EB">
        <w:rPr>
          <w:szCs w:val="26"/>
        </w:rPr>
        <w:t>Better worker wellbeing increases productivity and spurs the economy</w:t>
      </w:r>
    </w:p>
    <w:p w14:paraId="52DE0F55" w14:textId="77777777" w:rsidR="0082453E" w:rsidRPr="00DD2D90" w:rsidRDefault="0082453E" w:rsidP="0082453E">
      <w:r w:rsidRPr="009278EB">
        <w:rPr>
          <w:b/>
          <w:bCs/>
          <w:sz w:val="26"/>
          <w:szCs w:val="26"/>
        </w:rPr>
        <w:t>WEF 23</w:t>
      </w:r>
      <w:r w:rsidRPr="00DD2D90">
        <w:rPr>
          <w:b/>
          <w:bCs/>
        </w:rPr>
        <w:t xml:space="preserve"> </w:t>
      </w:r>
      <w:r w:rsidRPr="00DD2D90">
        <w:t>[World Economic Forum, 07-19-2023, “A healthy workforce is good for business. Here's why,” WEF, https://www.weforum.org/stories/2023/07/business-benefits-of-boosting-employee-health-and-well-being/]/Kankee</w:t>
      </w:r>
    </w:p>
    <w:p w14:paraId="2BFF1BA1" w14:textId="77777777" w:rsidR="0082453E" w:rsidRPr="009278EB" w:rsidRDefault="0082453E" w:rsidP="0082453E">
      <w:pPr>
        <w:rPr>
          <w:sz w:val="16"/>
        </w:rPr>
      </w:pPr>
      <w:r w:rsidRPr="00DD2D90">
        <w:rPr>
          <w:u w:val="single"/>
        </w:rPr>
        <w:t>Poor employee health is expensive</w:t>
      </w:r>
      <w:r w:rsidRPr="009278EB">
        <w:rPr>
          <w:sz w:val="16"/>
        </w:rPr>
        <w:t xml:space="preserve">. </w:t>
      </w:r>
      <w:r w:rsidRPr="00DD2D90">
        <w:rPr>
          <w:u w:val="single"/>
        </w:rPr>
        <w:t>Estimates</w:t>
      </w:r>
      <w:r w:rsidRPr="009278EB">
        <w:rPr>
          <w:sz w:val="16"/>
        </w:rPr>
        <w:t xml:space="preserve"> </w:t>
      </w:r>
      <w:r w:rsidRPr="00DD2D90">
        <w:rPr>
          <w:u w:val="single"/>
        </w:rPr>
        <w:t>reveal</w:t>
      </w:r>
      <w:r w:rsidRPr="009278EB">
        <w:rPr>
          <w:sz w:val="16"/>
        </w:rPr>
        <w:t xml:space="preserve"> that annual </w:t>
      </w:r>
      <w:r w:rsidRPr="00DD2D90">
        <w:rPr>
          <w:highlight w:val="green"/>
          <w:u w:val="single"/>
        </w:rPr>
        <w:t>health-related productivity losses cost</w:t>
      </w:r>
      <w:r w:rsidRPr="009278EB">
        <w:rPr>
          <w:sz w:val="16"/>
        </w:rPr>
        <w:t xml:space="preserve"> employers </w:t>
      </w:r>
      <w:r w:rsidRPr="00DD2D90">
        <w:rPr>
          <w:highlight w:val="green"/>
          <w:u w:val="single"/>
        </w:rPr>
        <w:t>$530 billion</w:t>
      </w:r>
      <w:r w:rsidRPr="009278EB">
        <w:rPr>
          <w:sz w:val="16"/>
        </w:rPr>
        <w:t xml:space="preserve">, and </w:t>
      </w:r>
      <w:r w:rsidRPr="00DD2D90">
        <w:rPr>
          <w:highlight w:val="green"/>
          <w:u w:val="single"/>
        </w:rPr>
        <w:t>lost production is the main cost</w:t>
      </w:r>
      <w:r w:rsidRPr="009278EB">
        <w:rPr>
          <w:sz w:val="16"/>
        </w:rPr>
        <w:t xml:space="preserve"> arising from adverse employee health. </w:t>
      </w:r>
      <w:r w:rsidRPr="00DD2D90">
        <w:rPr>
          <w:highlight w:val="green"/>
          <w:u w:val="single"/>
        </w:rPr>
        <w:t>Healthcare</w:t>
      </w:r>
      <w:r w:rsidRPr="009278EB">
        <w:rPr>
          <w:sz w:val="16"/>
        </w:rPr>
        <w:t xml:space="preserve"> also </w:t>
      </w:r>
      <w:r w:rsidRPr="00DD2D90">
        <w:rPr>
          <w:highlight w:val="green"/>
          <w:u w:val="single"/>
        </w:rPr>
        <w:t>represents a staggering cost to companies</w:t>
      </w:r>
      <w:r w:rsidRPr="009278EB">
        <w:rPr>
          <w:sz w:val="16"/>
        </w:rPr>
        <w:t>,</w:t>
      </w:r>
      <w:r w:rsidRPr="00DD2D90">
        <w:rPr>
          <w:u w:val="single"/>
        </w:rPr>
        <w:t xml:space="preserve"> with a substantial escalation throughout the last decade.  </w:t>
      </w:r>
      <w:r w:rsidRPr="009278EB">
        <w:rPr>
          <w:sz w:val="16"/>
        </w:rPr>
        <w:t xml:space="preserve">Because of this, </w:t>
      </w:r>
      <w:r w:rsidRPr="00DD2D90">
        <w:rPr>
          <w:u w:val="single"/>
        </w:rPr>
        <w:t>healthcare</w:t>
      </w:r>
      <w:r w:rsidRPr="009278EB">
        <w:rPr>
          <w:sz w:val="16"/>
        </w:rPr>
        <w:t xml:space="preserve"> costs </w:t>
      </w:r>
      <w:r w:rsidRPr="00DD2D90">
        <w:rPr>
          <w:u w:val="single"/>
        </w:rPr>
        <w:t>have been termed the “real corporate tax</w:t>
      </w:r>
      <w:r w:rsidRPr="009278EB">
        <w:rPr>
          <w:sz w:val="16"/>
        </w:rPr>
        <w:t xml:space="preserve">”. What’s more, data from the UK show that </w:t>
      </w:r>
      <w:r w:rsidRPr="00DD2D90">
        <w:rPr>
          <w:u w:val="single"/>
        </w:rPr>
        <w:t>an estimated 141 million working days were lost because of sickness or injury</w:t>
      </w:r>
      <w:r w:rsidRPr="009278EB">
        <w:rPr>
          <w:sz w:val="16"/>
        </w:rPr>
        <w:t xml:space="preserve"> in 2018 (</w:t>
      </w:r>
      <w:r w:rsidRPr="00DD2D90">
        <w:rPr>
          <w:u w:val="single"/>
        </w:rPr>
        <w:t>pre-COVID</w:t>
      </w:r>
      <w:r w:rsidRPr="009278EB">
        <w:rPr>
          <w:sz w:val="16"/>
        </w:rPr>
        <w:t xml:space="preserve"> figures) and reports suggest that poor mental health in the workplace charges businesses up to £45 billion annually. A critical matter for organizations therefore relates to what managers can do to support and maintain employee health and well-being at work. </w:t>
      </w:r>
      <w:r w:rsidRPr="00DD2D90">
        <w:rPr>
          <w:u w:val="single"/>
        </w:rPr>
        <w:t>Considering that most of us spend about half of our waking hours working and that workers bring vital competencies that employers need to achieve their corporate goals,</w:t>
      </w:r>
      <w:r w:rsidRPr="009278EB">
        <w:rPr>
          <w:sz w:val="16"/>
        </w:rPr>
        <w:t xml:space="preserve"> </w:t>
      </w:r>
      <w:r w:rsidRPr="00DD2D90">
        <w:rPr>
          <w:highlight w:val="green"/>
          <w:u w:val="single"/>
        </w:rPr>
        <w:t>it is important that business leaders</w:t>
      </w:r>
      <w:r w:rsidRPr="009278EB">
        <w:rPr>
          <w:sz w:val="16"/>
        </w:rPr>
        <w:t xml:space="preserve"> now more than ever pay attention to their ability to </w:t>
      </w:r>
      <w:r w:rsidRPr="00DD2D90">
        <w:rPr>
          <w:highlight w:val="green"/>
          <w:u w:val="single"/>
        </w:rPr>
        <w:t>accommodate</w:t>
      </w:r>
      <w:r w:rsidRPr="009278EB">
        <w:rPr>
          <w:sz w:val="16"/>
        </w:rPr>
        <w:t xml:space="preserve"> the </w:t>
      </w:r>
      <w:r w:rsidRPr="00DD2D90">
        <w:rPr>
          <w:highlight w:val="green"/>
          <w:u w:val="single"/>
        </w:rPr>
        <w:t>health</w:t>
      </w:r>
      <w:r w:rsidRPr="009278EB">
        <w:rPr>
          <w:sz w:val="16"/>
        </w:rPr>
        <w:t xml:space="preserve"> and well-being </w:t>
      </w:r>
      <w:r w:rsidRPr="00DD2D90">
        <w:rPr>
          <w:highlight w:val="green"/>
          <w:u w:val="single"/>
        </w:rPr>
        <w:t>of</w:t>
      </w:r>
      <w:r w:rsidRPr="009278EB">
        <w:rPr>
          <w:sz w:val="16"/>
        </w:rPr>
        <w:t xml:space="preserve"> their </w:t>
      </w:r>
      <w:r w:rsidRPr="00DD2D90">
        <w:rPr>
          <w:highlight w:val="green"/>
          <w:u w:val="single"/>
        </w:rPr>
        <w:t>employees</w:t>
      </w:r>
      <w:r w:rsidRPr="009278EB">
        <w:rPr>
          <w:sz w:val="16"/>
        </w:rPr>
        <w:t xml:space="preserve">.  A healthy workforce is good for business Research shows that business efforts supporting a </w:t>
      </w:r>
      <w:r w:rsidRPr="00DD2D90">
        <w:rPr>
          <w:highlight w:val="green"/>
          <w:u w:val="single"/>
        </w:rPr>
        <w:t>culture of health</w:t>
      </w:r>
      <w:r w:rsidRPr="00DD2D90">
        <w:rPr>
          <w:u w:val="single"/>
        </w:rPr>
        <w:t>, safety and well-being</w:t>
      </w:r>
      <w:r w:rsidRPr="00DD2D90">
        <w:rPr>
          <w:highlight w:val="green"/>
          <w:u w:val="single"/>
        </w:rPr>
        <w:t xml:space="preserve"> pay off</w:t>
      </w:r>
      <w:r w:rsidRPr="009278EB">
        <w:rPr>
          <w:sz w:val="16"/>
        </w:rPr>
        <w:t xml:space="preserve">. An extensive pool of research demonstrates that a </w:t>
      </w:r>
      <w:r w:rsidRPr="00DD2D90">
        <w:rPr>
          <w:highlight w:val="green"/>
          <w:u w:val="single"/>
        </w:rPr>
        <w:t>healthy workforce generates fewer health costs and higher productivity</w:t>
      </w:r>
      <w:r w:rsidRPr="009278EB">
        <w:rPr>
          <w:sz w:val="16"/>
        </w:rPr>
        <w:t xml:space="preserve">, and many studies connect employee health and well-being to business metrics suggesting that </w:t>
      </w:r>
      <w:r w:rsidRPr="00DD2D90">
        <w:rPr>
          <w:highlight w:val="green"/>
          <w:u w:val="single"/>
        </w:rPr>
        <w:t>poor employee health</w:t>
      </w:r>
      <w:r w:rsidRPr="009278EB">
        <w:rPr>
          <w:sz w:val="16"/>
        </w:rPr>
        <w:t xml:space="preserve"> and well-being can </w:t>
      </w:r>
      <w:r w:rsidRPr="00DD2D90">
        <w:rPr>
          <w:highlight w:val="green"/>
          <w:u w:val="single"/>
        </w:rPr>
        <w:t>heighten costs</w:t>
      </w:r>
      <w:r w:rsidRPr="009278EB">
        <w:rPr>
          <w:sz w:val="16"/>
        </w:rPr>
        <w:t xml:space="preserve"> and reduce revenue for organizations.  </w:t>
      </w:r>
      <w:r w:rsidRPr="00DD2D90">
        <w:rPr>
          <w:u w:val="single"/>
        </w:rPr>
        <w:t>Case studies</w:t>
      </w:r>
      <w:r w:rsidRPr="009278EB">
        <w:rPr>
          <w:sz w:val="16"/>
        </w:rPr>
        <w:t xml:space="preserve"> also </w:t>
      </w:r>
      <w:r w:rsidRPr="00DD2D90">
        <w:rPr>
          <w:u w:val="single"/>
        </w:rPr>
        <w:t>show that companies with</w:t>
      </w:r>
      <w:r w:rsidRPr="00DD2D90">
        <w:rPr>
          <w:highlight w:val="green"/>
          <w:u w:val="single"/>
        </w:rPr>
        <w:t xml:space="preserve"> happy and healthy employees can be more profitable than competitors,</w:t>
      </w:r>
      <w:r w:rsidRPr="009278EB">
        <w:rPr>
          <w:sz w:val="16"/>
        </w:rPr>
        <w:t xml:space="preserve"> and firms committed to their workforce’s health and well-being demonstrate superior stock performance. </w:t>
      </w:r>
      <w:r w:rsidRPr="00DD2D90">
        <w:rPr>
          <w:u w:val="single"/>
        </w:rPr>
        <w:t>For instance, firms that have received awards for their health, safety and well-being initiatives had a 115% growth in earnings per share compared with the 27% earnings per share seen in their competitors.</w:t>
      </w:r>
      <w:r w:rsidRPr="009278EB">
        <w:rPr>
          <w:sz w:val="16"/>
        </w:rPr>
        <w:t xml:space="preserve"> It stands to reason then that prioritizing employee health and well-being gives a competitive business advantage.  Having a healthy workforce largely depends on working conditions and work environment – two affordable workplace factors easily available to managers. To reap the business benefits, all initiatives aimed at employee health and well-being need to be supported by visible management dedication. To do so, an appropriate, affordable, and accessible point of departure is to take advantage of the raft of resources that already exist in the workplace. To this end, scientific evidence demonstrates that efforts to prevent illness and boost occupational health and well-being will benefit from a more comprehensive account of work-related factors in general, and psychosocial work environment factors in particular.   How resources can help tackle work pressures At work we often have to deal with time pressure, work pressure, frequent change and a bundle of demands and requirements. This is not necessarily bad for us. Being busy resolving exciting and meaningful tasks can boost work engagement, feelings of accomplishment, and job satisfaction– all of which are important health promoting factors. However, the demands and requirements can become too many and too big for too long, there might be overwhelming time-shortages, job roles and responsibilities can become blurry, and feelings of overload and failure can accumulate as a result. This is how work often leads to negative stress, </w:t>
      </w:r>
      <w:r w:rsidRPr="00DD2D90">
        <w:rPr>
          <w:highlight w:val="green"/>
          <w:u w:val="single"/>
        </w:rPr>
        <w:t>burnout, ailments and</w:t>
      </w:r>
      <w:r w:rsidRPr="009278EB">
        <w:rPr>
          <w:sz w:val="16"/>
        </w:rPr>
        <w:t xml:space="preserve"> ultimately </w:t>
      </w:r>
      <w:r w:rsidRPr="00DD2D90">
        <w:rPr>
          <w:highlight w:val="green"/>
          <w:u w:val="single"/>
        </w:rPr>
        <w:t>sickness</w:t>
      </w:r>
      <w:r w:rsidRPr="009278EB">
        <w:rPr>
          <w:sz w:val="16"/>
        </w:rPr>
        <w:t xml:space="preserve"> absence and exit from the labour market, and such conditions </w:t>
      </w:r>
      <w:r w:rsidRPr="00DD2D90">
        <w:rPr>
          <w:highlight w:val="green"/>
          <w:u w:val="single"/>
        </w:rPr>
        <w:t>influence productivity</w:t>
      </w:r>
      <w:r w:rsidRPr="00DD2D90">
        <w:rPr>
          <w:u w:val="single"/>
        </w:rPr>
        <w:t xml:space="preserve"> and profit </w:t>
      </w:r>
      <w:r w:rsidRPr="00DD2D90">
        <w:rPr>
          <w:highlight w:val="green"/>
          <w:u w:val="single"/>
        </w:rPr>
        <w:t>negatively</w:t>
      </w:r>
      <w:r w:rsidRPr="009278EB">
        <w:rPr>
          <w:sz w:val="16"/>
        </w:rPr>
        <w:t xml:space="preserve">.  To do something about this, demands at work need to be met </w:t>
      </w:r>
      <w:r w:rsidRPr="00DD2D90">
        <w:rPr>
          <w:u w:val="single"/>
        </w:rPr>
        <w:t>with</w:t>
      </w:r>
      <w:r w:rsidRPr="009278EB">
        <w:rPr>
          <w:sz w:val="16"/>
        </w:rPr>
        <w:t xml:space="preserve"> </w:t>
      </w:r>
      <w:r w:rsidRPr="00DD2D90">
        <w:rPr>
          <w:u w:val="single"/>
        </w:rPr>
        <w:t>resources</w:t>
      </w:r>
      <w:r w:rsidRPr="009278EB">
        <w:rPr>
          <w:sz w:val="16"/>
        </w:rPr>
        <w:t>. Job resources comprise aspects of work that are functional for goal achievement, they can promote growth, and reduce the psychological and physiological costs associated with job demands. Through resources, workers accumulate capacity to deal with job demands and the potential adverse effects stemming from them will be alleviated. This, in turn,</w:t>
      </w:r>
      <w:r w:rsidRPr="00DD2D90">
        <w:rPr>
          <w:u w:val="single"/>
        </w:rPr>
        <w:t xml:space="preserve"> reduces work-related stress, helps prevent illness and absence, promotes employee health and well-being at work and maintains the balance between efforts required and rewards received.  </w:t>
      </w:r>
      <w:r w:rsidRPr="009278EB">
        <w:rPr>
          <w:sz w:val="16"/>
        </w:rPr>
        <w:t>What can be considered a resource, however, varies between workplaces and it is therefore crucial that leaders tailor strategies to their organization. In some workplaces, autonomy and flexibility are the most important factors. In others, social support and organizational culture are key drivers. Additional resources include, but are not limited to, job security, management support, co-determination, procedural justice, rewards, career prospects, acknowledgements, and feedback.  Building</w:t>
      </w:r>
      <w:r w:rsidRPr="00DD2D90">
        <w:rPr>
          <w:u w:val="single"/>
        </w:rPr>
        <w:t xml:space="preserve"> a culture that prioritises health and well-bein</w:t>
      </w:r>
      <w:r w:rsidRPr="009278EB">
        <w:rPr>
          <w:sz w:val="16"/>
        </w:rPr>
        <w:t xml:space="preserve">g While many business leaders are concerned with </w:t>
      </w:r>
      <w:r w:rsidRPr="00DD2D90">
        <w:rPr>
          <w:u w:val="single"/>
        </w:rPr>
        <w:t>economic growth</w:t>
      </w:r>
      <w:r w:rsidRPr="009278EB">
        <w:rPr>
          <w:sz w:val="16"/>
        </w:rPr>
        <w:t xml:space="preserve">, it can be easy to forget that </w:t>
      </w:r>
      <w:r w:rsidRPr="00DD2D90">
        <w:rPr>
          <w:highlight w:val="green"/>
          <w:u w:val="single"/>
        </w:rPr>
        <w:t>workforce health is an important productivity issue</w:t>
      </w:r>
      <w:r w:rsidRPr="009278EB">
        <w:rPr>
          <w:sz w:val="16"/>
        </w:rPr>
        <w:t xml:space="preserve"> and that </w:t>
      </w:r>
      <w:r w:rsidRPr="00DD2D90">
        <w:rPr>
          <w:highlight w:val="green"/>
          <w:u w:val="single"/>
        </w:rPr>
        <w:t>lower productivity stemming from employee ailments eats into profits</w:t>
      </w:r>
      <w:r w:rsidRPr="009278EB">
        <w:rPr>
          <w:sz w:val="16"/>
        </w:rPr>
        <w:t xml:space="preserve">. Organizations that prioritize employee health, safety and well-being are not only likely to reduce costs and increase revenue - they also foster the development of a supporting culture that strengthens employee engagement, motivation, and commitment to the company’s goals and success. In doing so, these employers improve their branding and appeal, in turn enabling them to attract, recruit, and retain top-performing talent.  The </w:t>
      </w:r>
      <w:r w:rsidRPr="00DD2D90">
        <w:rPr>
          <w:u w:val="single"/>
        </w:rPr>
        <w:t>potential</w:t>
      </w:r>
      <w:r w:rsidRPr="009278EB">
        <w:rPr>
          <w:sz w:val="16"/>
        </w:rPr>
        <w:t xml:space="preserve"> business </w:t>
      </w:r>
      <w:r w:rsidRPr="00DD2D90">
        <w:rPr>
          <w:u w:val="single"/>
        </w:rPr>
        <w:t>benefits of boosting health</w:t>
      </w:r>
      <w:r w:rsidRPr="009278EB">
        <w:rPr>
          <w:sz w:val="16"/>
        </w:rPr>
        <w:t xml:space="preserve"> and well-being at work should therefore </w:t>
      </w:r>
      <w:r w:rsidRPr="00DD2D90">
        <w:rPr>
          <w:u w:val="single"/>
        </w:rPr>
        <w:t>loom large</w:t>
      </w:r>
      <w:r w:rsidRPr="009278EB">
        <w:rPr>
          <w:sz w:val="16"/>
        </w:rPr>
        <w:t xml:space="preserve"> in the minds of managers. One of the best, most visible and affordable tools to harness the power of these benefits and bring them to scale is readily available to leaders in every organization. </w:t>
      </w:r>
    </w:p>
    <w:p w14:paraId="74D3AA9B" w14:textId="0889C54B" w:rsidR="00212B64" w:rsidRPr="009278EB" w:rsidRDefault="00212B64">
      <w:pPr>
        <w:rPr>
          <w:sz w:val="16"/>
        </w:rPr>
      </w:pPr>
      <w:r w:rsidRPr="009278EB">
        <w:rPr>
          <w:sz w:val="16"/>
        </w:rPr>
        <w:br w:type="page"/>
      </w:r>
    </w:p>
    <w:p w14:paraId="7C0A8C04" w14:textId="7741F8FF" w:rsidR="0082453E" w:rsidRPr="009278EB" w:rsidRDefault="0082453E" w:rsidP="0082453E">
      <w:pPr>
        <w:pStyle w:val="Heading4"/>
        <w:rPr>
          <w:szCs w:val="26"/>
        </w:rPr>
      </w:pPr>
      <w:r w:rsidRPr="009278EB">
        <w:rPr>
          <w:szCs w:val="26"/>
        </w:rPr>
        <w:t>Bad health causes inequality – public healthcare solves both</w:t>
      </w:r>
    </w:p>
    <w:p w14:paraId="3BAA6C4A" w14:textId="77777777" w:rsidR="0082453E" w:rsidRPr="00DD2D90" w:rsidRDefault="0082453E" w:rsidP="0082453E">
      <w:r w:rsidRPr="009278EB">
        <w:rPr>
          <w:b/>
          <w:bCs/>
          <w:sz w:val="26"/>
          <w:szCs w:val="26"/>
        </w:rPr>
        <w:t>Currie 24</w:t>
      </w:r>
      <w:r w:rsidRPr="00DD2D90">
        <w:t xml:space="preserve"> [Janet Currie, Economics researcher at Princeton University, 7-17-2024, "Health and inequality", OUP Academic, https://academic.oup.com/ooec/article/3/Supplement_1/i549/7708087]/Kankee</w:t>
      </w:r>
    </w:p>
    <w:p w14:paraId="14093006" w14:textId="77777777" w:rsidR="0082453E" w:rsidRPr="009278EB" w:rsidRDefault="0082453E" w:rsidP="0082453E">
      <w:pPr>
        <w:rPr>
          <w:sz w:val="16"/>
        </w:rPr>
      </w:pPr>
      <w:r w:rsidRPr="009278EB">
        <w:rPr>
          <w:sz w:val="16"/>
        </w:rPr>
        <w:t xml:space="preserve">Does bad health lead to economic inequality? Of the questions posed here, this is the simplest to answer. There are many examples of </w:t>
      </w:r>
      <w:r w:rsidRPr="00DD2D90">
        <w:rPr>
          <w:rStyle w:val="StyleUnderline"/>
          <w:highlight w:val="green"/>
        </w:rPr>
        <w:t>health shocks</w:t>
      </w:r>
      <w:r w:rsidRPr="009278EB">
        <w:rPr>
          <w:sz w:val="16"/>
        </w:rPr>
        <w:t xml:space="preserve"> that </w:t>
      </w:r>
      <w:r w:rsidRPr="00DD2D90">
        <w:rPr>
          <w:rStyle w:val="StyleUnderline"/>
          <w:highlight w:val="green"/>
        </w:rPr>
        <w:t>lead to reductions in</w:t>
      </w:r>
      <w:r w:rsidRPr="00DD2D90">
        <w:rPr>
          <w:rStyle w:val="StyleUnderline"/>
        </w:rPr>
        <w:t xml:space="preserve"> income for affected individuals</w:t>
      </w:r>
      <w:r w:rsidRPr="009278EB">
        <w:rPr>
          <w:sz w:val="16"/>
        </w:rPr>
        <w:t xml:space="preserve">. For example, Smith (1999) uses the United States Health and Retirement Survey to look at people aged 55 and older </w:t>
      </w:r>
      <w:r w:rsidRPr="00DD2D90">
        <w:rPr>
          <w:rStyle w:val="StyleUnderline"/>
        </w:rPr>
        <w:t>after they received a new diagnosis of a chronic condition</w:t>
      </w:r>
      <w:r w:rsidRPr="009278EB">
        <w:rPr>
          <w:sz w:val="16"/>
        </w:rPr>
        <w:t xml:space="preserve">. He </w:t>
      </w:r>
      <w:r w:rsidRPr="00DD2D90">
        <w:rPr>
          <w:rStyle w:val="StyleUnderline"/>
        </w:rPr>
        <w:t xml:space="preserve">finds a sharp drop in </w:t>
      </w:r>
      <w:r w:rsidRPr="00DD2D90">
        <w:rPr>
          <w:rStyle w:val="StyleUnderline"/>
          <w:highlight w:val="green"/>
        </w:rPr>
        <w:t>labour supply, leading to lower incomes</w:t>
      </w:r>
      <w:r w:rsidRPr="009278EB">
        <w:rPr>
          <w:sz w:val="16"/>
        </w:rPr>
        <w:t xml:space="preserve">. Moreover, </w:t>
      </w:r>
      <w:r w:rsidRPr="00DD2D90">
        <w:rPr>
          <w:rStyle w:val="StyleUnderline"/>
        </w:rPr>
        <w:t xml:space="preserve">there is a drop in wealth that is </w:t>
      </w:r>
      <w:r w:rsidRPr="00DD2D90">
        <w:rPr>
          <w:rStyle w:val="StyleUnderline"/>
          <w:highlight w:val="green"/>
        </w:rPr>
        <w:t>greater</w:t>
      </w:r>
      <w:r w:rsidRPr="00DD2D90">
        <w:rPr>
          <w:rStyle w:val="StyleUnderline"/>
        </w:rPr>
        <w:t xml:space="preserve"> than can be accounted for by either </w:t>
      </w:r>
      <w:r w:rsidRPr="00DD2D90">
        <w:rPr>
          <w:rStyle w:val="StyleUnderline"/>
          <w:highlight w:val="green"/>
        </w:rPr>
        <w:t>out-of-pocket</w:t>
      </w:r>
      <w:r w:rsidRPr="00DD2D90">
        <w:rPr>
          <w:rStyle w:val="StyleUnderline"/>
        </w:rPr>
        <w:t xml:space="preserve"> medical </w:t>
      </w:r>
      <w:r w:rsidRPr="00DD2D90">
        <w:rPr>
          <w:rStyle w:val="StyleUnderline"/>
          <w:highlight w:val="green"/>
        </w:rPr>
        <w:t>costs or reduced work effort</w:t>
      </w:r>
      <w:r w:rsidRPr="009278EB">
        <w:rPr>
          <w:sz w:val="16"/>
        </w:rPr>
        <w:t xml:space="preserve">, and </w:t>
      </w:r>
      <w:r w:rsidRPr="00DD2D90">
        <w:rPr>
          <w:rStyle w:val="StyleUnderline"/>
        </w:rPr>
        <w:t>which may reflect greater non-medical consumption necessitated by illness</w:t>
      </w:r>
      <w:r w:rsidRPr="009278EB">
        <w:rPr>
          <w:sz w:val="16"/>
        </w:rPr>
        <w:t xml:space="preserve"> (e.g. higher transportation costs). More recently, Blundell et al. (2021) have looked at older adults in both the USA and England and find that </w:t>
      </w:r>
      <w:r w:rsidRPr="00DD2D90">
        <w:rPr>
          <w:rStyle w:val="StyleUnderline"/>
          <w:highlight w:val="green"/>
        </w:rPr>
        <w:t>declining health</w:t>
      </w:r>
      <w:r w:rsidRPr="00DD2D90">
        <w:rPr>
          <w:rStyle w:val="StyleUnderline"/>
        </w:rPr>
        <w:t xml:space="preserve"> </w:t>
      </w:r>
      <w:r w:rsidRPr="00DD2D90">
        <w:rPr>
          <w:rStyle w:val="StyleUnderline"/>
          <w:highlight w:val="green"/>
        </w:rPr>
        <w:t>explains</w:t>
      </w:r>
      <w:r w:rsidRPr="00DD2D90">
        <w:rPr>
          <w:rStyle w:val="StyleUnderline"/>
        </w:rPr>
        <w:t xml:space="preserve"> up to </w:t>
      </w:r>
      <w:r w:rsidRPr="00DD2D90">
        <w:rPr>
          <w:rStyle w:val="Emphasis"/>
          <w:highlight w:val="green"/>
        </w:rPr>
        <w:t>15%</w:t>
      </w:r>
      <w:r w:rsidRPr="00DD2D90">
        <w:rPr>
          <w:rStyle w:val="StyleUnderline"/>
          <w:highlight w:val="green"/>
        </w:rPr>
        <w:t xml:space="preserve"> of the decline in employment between </w:t>
      </w:r>
      <w:r w:rsidRPr="00DD2D90">
        <w:rPr>
          <w:rStyle w:val="StyleUnderline"/>
        </w:rPr>
        <w:t xml:space="preserve">ages </w:t>
      </w:r>
      <w:r w:rsidRPr="00DD2D90">
        <w:rPr>
          <w:rStyle w:val="StyleUnderline"/>
          <w:highlight w:val="green"/>
        </w:rPr>
        <w:t>50 and 70</w:t>
      </w:r>
      <w:r w:rsidRPr="009278EB">
        <w:rPr>
          <w:sz w:val="16"/>
        </w:rPr>
        <w:t xml:space="preserve">. They find that </w:t>
      </w:r>
      <w:r w:rsidRPr="00DD2D90">
        <w:rPr>
          <w:rStyle w:val="StyleUnderline"/>
        </w:rPr>
        <w:t xml:space="preserve">these </w:t>
      </w:r>
      <w:r w:rsidRPr="00DD2D90">
        <w:rPr>
          <w:rStyle w:val="StyleUnderline"/>
          <w:highlight w:val="green"/>
        </w:rPr>
        <w:t xml:space="preserve">effects are </w:t>
      </w:r>
      <w:r w:rsidRPr="00DD2D90">
        <w:rPr>
          <w:rStyle w:val="Emphasis"/>
          <w:highlight w:val="green"/>
        </w:rPr>
        <w:t>larger</w:t>
      </w:r>
      <w:r w:rsidRPr="00DD2D90">
        <w:rPr>
          <w:rStyle w:val="StyleUnderline"/>
          <w:highlight w:val="green"/>
        </w:rPr>
        <w:t xml:space="preserve"> in the USA</w:t>
      </w:r>
      <w:r w:rsidRPr="009278EB">
        <w:rPr>
          <w:sz w:val="16"/>
        </w:rPr>
        <w:t xml:space="preserve"> and among less educated workers. Moving from older adults to the very young, we also know that </w:t>
      </w:r>
      <w:r w:rsidRPr="00DD2D90">
        <w:rPr>
          <w:rStyle w:val="StyleUnderline"/>
          <w:highlight w:val="green"/>
        </w:rPr>
        <w:t>health shocks</w:t>
      </w:r>
      <w:r w:rsidRPr="00DD2D90">
        <w:rPr>
          <w:rStyle w:val="StyleUnderline"/>
        </w:rPr>
        <w:t xml:space="preserve"> in utero or early </w:t>
      </w:r>
      <w:r w:rsidRPr="00DD2D90">
        <w:rPr>
          <w:rStyle w:val="StyleUnderline"/>
          <w:highlight w:val="green"/>
        </w:rPr>
        <w:t>in childhood have</w:t>
      </w:r>
      <w:r w:rsidRPr="00DD2D90">
        <w:rPr>
          <w:rStyle w:val="StyleUnderline"/>
        </w:rPr>
        <w:t xml:space="preserve"> </w:t>
      </w:r>
      <w:r w:rsidRPr="00DD2D90">
        <w:rPr>
          <w:rStyle w:val="StyleUnderline"/>
          <w:highlight w:val="green"/>
        </w:rPr>
        <w:t>negative</w:t>
      </w:r>
      <w:r w:rsidRPr="00DD2D90">
        <w:rPr>
          <w:rStyle w:val="StyleUnderline"/>
        </w:rPr>
        <w:t xml:space="preserve"> </w:t>
      </w:r>
      <w:r w:rsidRPr="00DD2D90">
        <w:rPr>
          <w:rStyle w:val="StyleUnderline"/>
          <w:highlight w:val="green"/>
        </w:rPr>
        <w:t>long-term effects</w:t>
      </w:r>
      <w:r w:rsidRPr="00DD2D90">
        <w:rPr>
          <w:rStyle w:val="StyleUnderline"/>
        </w:rPr>
        <w:t xml:space="preserve"> including reductions </w:t>
      </w:r>
      <w:r w:rsidRPr="00DD2D90">
        <w:rPr>
          <w:rStyle w:val="StyleUnderline"/>
          <w:highlight w:val="green"/>
        </w:rPr>
        <w:t>in</w:t>
      </w:r>
      <w:r w:rsidRPr="00DD2D90">
        <w:rPr>
          <w:rStyle w:val="StyleUnderline"/>
        </w:rPr>
        <w:t xml:space="preserve"> adult </w:t>
      </w:r>
      <w:r w:rsidRPr="00DD2D90">
        <w:rPr>
          <w:rStyle w:val="StyleUnderline"/>
          <w:highlight w:val="green"/>
        </w:rPr>
        <w:t>income</w:t>
      </w:r>
      <w:r w:rsidRPr="009278EB">
        <w:rPr>
          <w:sz w:val="16"/>
        </w:rPr>
        <w:t xml:space="preserve">. This literature is voluminous and has been extensively surveyed (see, e.g. Almond and Currie 2011; Case and Paxson 2011; Almond et al. 2018). The types of </w:t>
      </w:r>
      <w:r w:rsidRPr="00DD2D90">
        <w:rPr>
          <w:rStyle w:val="StyleUnderline"/>
        </w:rPr>
        <w:t>health shocks</w:t>
      </w:r>
      <w:r w:rsidRPr="009278EB">
        <w:rPr>
          <w:sz w:val="16"/>
        </w:rPr>
        <w:t xml:space="preserve"> that </w:t>
      </w:r>
      <w:r w:rsidRPr="00DD2D90">
        <w:rPr>
          <w:rStyle w:val="StyleUnderline"/>
        </w:rPr>
        <w:t>have</w:t>
      </w:r>
      <w:r w:rsidRPr="009278EB">
        <w:rPr>
          <w:sz w:val="16"/>
        </w:rPr>
        <w:t xml:space="preserve"> been shown to have </w:t>
      </w:r>
      <w:r w:rsidRPr="00DD2D90">
        <w:rPr>
          <w:rStyle w:val="StyleUnderline"/>
        </w:rPr>
        <w:t>long-term effects include nutritional deprivation, exposure to pollution, exposure to infectious diseases such as influenza</w:t>
      </w:r>
      <w:r w:rsidRPr="009278EB">
        <w:rPr>
          <w:sz w:val="16"/>
        </w:rPr>
        <w:t xml:space="preserve"> (</w:t>
      </w:r>
      <w:r w:rsidRPr="00DD2D90">
        <w:rPr>
          <w:rStyle w:val="StyleUnderline"/>
        </w:rPr>
        <w:t>and</w:t>
      </w:r>
      <w:r w:rsidRPr="009278EB">
        <w:rPr>
          <w:sz w:val="16"/>
        </w:rPr>
        <w:t xml:space="preserve"> perhaps </w:t>
      </w:r>
      <w:r w:rsidRPr="00DD2D90">
        <w:rPr>
          <w:rStyle w:val="StyleUnderline"/>
        </w:rPr>
        <w:t>COVID</w:t>
      </w:r>
      <w:r w:rsidRPr="009278EB">
        <w:rPr>
          <w:sz w:val="16"/>
        </w:rPr>
        <w:t xml:space="preserve">-19), </w:t>
      </w:r>
      <w:r w:rsidRPr="00DD2D90">
        <w:rPr>
          <w:rStyle w:val="StyleUnderline"/>
        </w:rPr>
        <w:t xml:space="preserve">maternal stress, and lack of access to </w:t>
      </w:r>
      <w:r w:rsidRPr="00DD2D90">
        <w:rPr>
          <w:rStyle w:val="Emphasis"/>
        </w:rPr>
        <w:t>health care</w:t>
      </w:r>
      <w:r w:rsidRPr="009278EB">
        <w:rPr>
          <w:sz w:val="16"/>
        </w:rPr>
        <w:t xml:space="preserve">. Much of the literature focuses on the potential effects of these shocks on children’s cognitive abilities—but </w:t>
      </w:r>
      <w:r w:rsidRPr="00DD2D90">
        <w:rPr>
          <w:rStyle w:val="StyleUnderline"/>
        </w:rPr>
        <w:t xml:space="preserve">there is </w:t>
      </w:r>
      <w:r w:rsidRPr="009278EB">
        <w:rPr>
          <w:sz w:val="16"/>
        </w:rPr>
        <w:t>also</w:t>
      </w:r>
      <w:r w:rsidRPr="00DD2D90">
        <w:rPr>
          <w:rStyle w:val="StyleUnderline"/>
        </w:rPr>
        <w:t xml:space="preserve"> a </w:t>
      </w:r>
      <w:r w:rsidRPr="00DD2D90">
        <w:rPr>
          <w:rStyle w:val="Emphasis"/>
        </w:rPr>
        <w:t>direct pathway</w:t>
      </w:r>
      <w:r w:rsidRPr="00DD2D90">
        <w:rPr>
          <w:rStyle w:val="StyleUnderline"/>
        </w:rPr>
        <w:t xml:space="preserve"> from childhood health to adult health</w:t>
      </w:r>
      <w:r w:rsidRPr="009278EB">
        <w:rPr>
          <w:sz w:val="16"/>
        </w:rPr>
        <w:t xml:space="preserve">. A common finding is that </w:t>
      </w:r>
      <w:r w:rsidRPr="00DD2D90">
        <w:rPr>
          <w:rStyle w:val="StyleUnderline"/>
        </w:rPr>
        <w:t xml:space="preserve">health shocks in early childhood increase the probability of disability and reduce future labour force participation. </w:t>
      </w:r>
      <w:r w:rsidRPr="009278EB">
        <w:rPr>
          <w:sz w:val="16"/>
        </w:rPr>
        <w:t xml:space="preserve">The discussion so far suggests that </w:t>
      </w:r>
      <w:r w:rsidRPr="00DD2D90">
        <w:rPr>
          <w:rStyle w:val="StyleUnderline"/>
        </w:rPr>
        <w:t>it is possible to harm a young child so that they become a less productive adult, and that older people who have a negative health shock may be forced to withdraw from the labour market, leading to lower incomes</w:t>
      </w:r>
      <w:r w:rsidRPr="009278EB">
        <w:rPr>
          <w:sz w:val="16"/>
        </w:rPr>
        <w:t xml:space="preserve">. Less is known about how frequently health shocks are responsible for loss of income among prime-aged workers. But there is reason to believe that losses in this age group are considerable, especially when we include the impacts of mental health conditions as well as physical health conditions on earnings. For example, Biasi et al. (2020) use Danish administrative data and show that </w:t>
      </w:r>
      <w:r w:rsidRPr="00DD2D90">
        <w:rPr>
          <w:rStyle w:val="StyleUnderline"/>
        </w:rPr>
        <w:t xml:space="preserve">the onset of depression, bipolar disorder, and schizophrenia are associated with earnings reductions of </w:t>
      </w:r>
      <w:r w:rsidRPr="00DD2D90">
        <w:rPr>
          <w:rStyle w:val="Emphasis"/>
        </w:rPr>
        <w:t>34%, 38%, and 74%,</w:t>
      </w:r>
      <w:r w:rsidRPr="00DD2D90">
        <w:rPr>
          <w:rStyle w:val="StyleUnderline"/>
        </w:rPr>
        <w:t xml:space="preserve"> respectively</w:t>
      </w:r>
      <w:r w:rsidRPr="009278EB">
        <w:rPr>
          <w:sz w:val="16"/>
        </w:rPr>
        <w:t xml:space="preserve">. Once again, much of the effect is </w:t>
      </w:r>
      <w:r w:rsidRPr="00DD2D90">
        <w:rPr>
          <w:rStyle w:val="StyleUnderline"/>
        </w:rPr>
        <w:t>through reduced participation in the labour market</w:t>
      </w:r>
      <w:r w:rsidRPr="009278EB">
        <w:rPr>
          <w:sz w:val="16"/>
        </w:rPr>
        <w:t xml:space="preserve">. Because conditions such as depression are extremely common (affecting about 12% of American adults at any point in time), the negative impact of poor health on income is likely to be correspondingly large. However, in their data, Biasi et al. show that the employment and wage penalty associated with mental illness has grown smaller over time. This positive development may reflect a combination of better treatments and legislative changes that increasingly protect people with mental illness from discrimination. Does income inequality harm health? </w:t>
      </w:r>
      <w:r w:rsidRPr="00DD2D90">
        <w:rPr>
          <w:rStyle w:val="StyleUnderline"/>
        </w:rPr>
        <w:t>Material deprivations</w:t>
      </w:r>
      <w:r w:rsidRPr="009278EB">
        <w:rPr>
          <w:sz w:val="16"/>
        </w:rPr>
        <w:t>—</w:t>
      </w:r>
      <w:r w:rsidRPr="00DD2D90">
        <w:rPr>
          <w:rStyle w:val="StyleUnderline"/>
        </w:rPr>
        <w:t>such as</w:t>
      </w:r>
      <w:r w:rsidRPr="009278EB">
        <w:rPr>
          <w:sz w:val="16"/>
        </w:rPr>
        <w:t xml:space="preserve"> hunger or poor food quality, </w:t>
      </w:r>
      <w:r w:rsidRPr="00DD2D90">
        <w:rPr>
          <w:rStyle w:val="StyleUnderline"/>
        </w:rPr>
        <w:t>lack of medical care</w:t>
      </w:r>
      <w:r w:rsidRPr="009278EB">
        <w:rPr>
          <w:sz w:val="16"/>
        </w:rPr>
        <w:t xml:space="preserve">, lack of heat in winter, lack of cooling in hot weather, inadequate clothing, infestations of vermin, and other types of substandard housing conditions, such as lead paint—can all </w:t>
      </w:r>
      <w:r w:rsidRPr="00DD2D90">
        <w:rPr>
          <w:rStyle w:val="StyleUnderline"/>
        </w:rPr>
        <w:t>harm people’s health</w:t>
      </w:r>
      <w:r w:rsidRPr="009278EB">
        <w:rPr>
          <w:sz w:val="16"/>
        </w:rPr>
        <w:t xml:space="preserve">, both directly and </w:t>
      </w:r>
      <w:r w:rsidRPr="00DD2D90">
        <w:rPr>
          <w:rStyle w:val="StyleUnderline"/>
        </w:rPr>
        <w:t>through raising stress levels. Places with more income inequality tend to have higher levels of material deprivation among their poor, which leads to greater health inequality</w:t>
      </w:r>
      <w:r w:rsidRPr="009278EB">
        <w:rPr>
          <w:sz w:val="16"/>
        </w:rPr>
        <w:t xml:space="preserve">. Yet, there is a conceptual distinction between places with high levels of material deprivation and places with high levels of inequality. In principal, one could start off with a society in which everyone was perfectly comfortable and increase inequality by giving more to some people. Would that harm the health of those who found themselves at the bottom of the new income distribution? The leading hypothesis about why inequality per se might matter is that people compare themselves with a reference group and are stressed if they have low status relative to this group. Still, Deaton and Paxson (2001) argue that there can be no presumption that the effect of such comparisons is always negative. Everyone except for the lowest person in the distribution can compare themselves with someone even lower in the ranking rather than someone who is higher. Hence, individuals may see their relative status as either better or worse than that of relevant others. Moreover, if my reference group is people of my own cohort and the data are aggregated to the cohort level, then even if income strongly predicts health at the individual level, only income inequality will predict health in the aggregated data. Using US data, Deaton and Paxson show that between 1975 and 1995, inequality rose but mortality fell. Over the same period, the positive correlation between levels of income and health remained strong. They conclude that income matters for health, but that inequality per se is not an important determinant of health. In further work, Deaton and Lubotsky (2003) found that when they controlled for the fraction of Black people, there was no relationship between mortality and income inequality at the state, city, or county level in the USA. This suggests that racism, and the resulting inadequacies of the US safety net, is a more important cause of ill health than income inequality in the USA. Case and Paxson (2011) re-examine data from the famous Whitehall II study spearheaded by Sir Michael Marmot. Along with the original Whitehall study of British civil servants, this research showed that people in higher job grades were healthier in ways that could not be explained by observable health behaviours and medical risk factors. These findings are often interpreted as evidence that a person’s ranking in a social hierarchy matters for their health. In their re-analysis, Case and Paxson showed that healthier people were more likely to be placed in a higher job grade to begin with and were also more likely to be promoted. They found little evidence that job grade affected subsequent health conditional on a person’s early health. These findings point to the outsized impact of material deprivation when it occurs in early life. Case et al. (2002) document that, in the USA, </w:t>
      </w:r>
      <w:r w:rsidRPr="00DD2D90">
        <w:rPr>
          <w:rStyle w:val="StyleUnderline"/>
        </w:rPr>
        <w:t>the positive relationship between child health and family income is present at birth but strengthens as children age</w:t>
      </w:r>
      <w:r w:rsidRPr="009278EB">
        <w:rPr>
          <w:sz w:val="16"/>
        </w:rPr>
        <w:t xml:space="preserve">. Currie and Stabile (2003) examine the mechanisms underlying this steepening gradient using Canadian data. They show that </w:t>
      </w:r>
      <w:r w:rsidRPr="00DD2D90">
        <w:rPr>
          <w:rStyle w:val="StyleUnderline"/>
          <w:highlight w:val="green"/>
        </w:rPr>
        <w:t>the relationship between income and</w:t>
      </w:r>
      <w:r w:rsidRPr="00DD2D90">
        <w:rPr>
          <w:rStyle w:val="StyleUnderline"/>
        </w:rPr>
        <w:t xml:space="preserve"> child </w:t>
      </w:r>
      <w:r w:rsidRPr="00DD2D90">
        <w:rPr>
          <w:rStyle w:val="StyleUnderline"/>
          <w:highlight w:val="green"/>
        </w:rPr>
        <w:t>health is weaker in Canada than</w:t>
      </w:r>
      <w:r w:rsidRPr="00DD2D90">
        <w:rPr>
          <w:rStyle w:val="StyleUnderline"/>
        </w:rPr>
        <w:t xml:space="preserve"> in </w:t>
      </w:r>
      <w:r w:rsidRPr="00DD2D90">
        <w:rPr>
          <w:rStyle w:val="StyleUnderline"/>
          <w:highlight w:val="green"/>
        </w:rPr>
        <w:t>the USA</w:t>
      </w:r>
      <w:r w:rsidRPr="009278EB">
        <w:rPr>
          <w:sz w:val="16"/>
        </w:rPr>
        <w:t xml:space="preserve">, but still present. In Canada, this pattern emerges because poor children have more negative shocks. Condliffe and Link (2008) show that poor US children not only suffer from more health shocks but also recover from each one more slowly, which likely contributes to the stronger income–health gradient for US children. This comparison between the USA and its close neighbour Canada suggests that the policy environment can mediate and mitigate the relationship between income and health. </w:t>
      </w:r>
      <w:r w:rsidRPr="00DD2D90">
        <w:rPr>
          <w:rStyle w:val="StyleUnderline"/>
        </w:rPr>
        <w:t xml:space="preserve">In </w:t>
      </w:r>
      <w:r w:rsidRPr="00DD2D90">
        <w:rPr>
          <w:rStyle w:val="StyleUnderline"/>
          <w:highlight w:val="green"/>
        </w:rPr>
        <w:t>Canada</w:t>
      </w:r>
      <w:r w:rsidRPr="00DD2D90">
        <w:rPr>
          <w:rStyle w:val="StyleUnderline"/>
        </w:rPr>
        <w:t xml:space="preserve">, universal health </w:t>
      </w:r>
      <w:r w:rsidRPr="00DD2D90">
        <w:rPr>
          <w:rStyle w:val="StyleUnderline"/>
          <w:highlight w:val="green"/>
        </w:rPr>
        <w:t>insurance likely results in flatter income–health gradients and more rapid recovery</w:t>
      </w:r>
      <w:r w:rsidRPr="00DD2D90">
        <w:rPr>
          <w:rStyle w:val="StyleUnderline"/>
        </w:rPr>
        <w:t xml:space="preserve"> </w:t>
      </w:r>
      <w:r w:rsidRPr="00DD2D90">
        <w:rPr>
          <w:rStyle w:val="StyleUnderline"/>
          <w:highlight w:val="green"/>
        </w:rPr>
        <w:t>from</w:t>
      </w:r>
      <w:r w:rsidRPr="00DD2D90">
        <w:rPr>
          <w:rStyle w:val="StyleUnderline"/>
        </w:rPr>
        <w:t xml:space="preserve"> episodes of </w:t>
      </w:r>
      <w:r w:rsidRPr="00DD2D90">
        <w:rPr>
          <w:rStyle w:val="StyleUnderline"/>
          <w:highlight w:val="green"/>
        </w:rPr>
        <w:t>bad health</w:t>
      </w:r>
      <w:r w:rsidRPr="00DD2D90">
        <w:rPr>
          <w:rStyle w:val="StyleUnderline"/>
        </w:rPr>
        <w:t xml:space="preserve"> among the poor</w:t>
      </w:r>
      <w:r w:rsidRPr="009278EB">
        <w:rPr>
          <w:sz w:val="16"/>
        </w:rPr>
        <w:t xml:space="preserve">. Similarly, </w:t>
      </w:r>
      <w:r w:rsidRPr="00DD2D90">
        <w:rPr>
          <w:rStyle w:val="StyleUnderline"/>
        </w:rPr>
        <w:t xml:space="preserve">US expansions of public health insurance for </w:t>
      </w:r>
      <w:r w:rsidRPr="00DD2D90">
        <w:rPr>
          <w:rStyle w:val="StyleUnderline"/>
          <w:highlight w:val="green"/>
        </w:rPr>
        <w:t>children</w:t>
      </w:r>
      <w:r w:rsidRPr="00DD2D90">
        <w:rPr>
          <w:rStyle w:val="StyleUnderline"/>
        </w:rPr>
        <w:t xml:space="preserve"> under the </w:t>
      </w:r>
      <w:r w:rsidRPr="00DD2D90">
        <w:rPr>
          <w:rStyle w:val="StyleUnderline"/>
          <w:highlight w:val="green"/>
        </w:rPr>
        <w:t>Medicaid</w:t>
      </w:r>
      <w:r w:rsidRPr="00DD2D90">
        <w:rPr>
          <w:rStyle w:val="StyleUnderline"/>
        </w:rPr>
        <w:t xml:space="preserve"> program </w:t>
      </w:r>
      <w:r w:rsidRPr="00DD2D90">
        <w:rPr>
          <w:rStyle w:val="StyleUnderline"/>
          <w:highlight w:val="green"/>
        </w:rPr>
        <w:t xml:space="preserve">have been associated with a </w:t>
      </w:r>
      <w:r w:rsidRPr="00DD2D90">
        <w:rPr>
          <w:rStyle w:val="StyleUnderline"/>
        </w:rPr>
        <w:t>flattening income–health gradient among children over time</w:t>
      </w:r>
      <w:r w:rsidRPr="009278EB">
        <w:rPr>
          <w:sz w:val="16"/>
        </w:rPr>
        <w:t xml:space="preserve"> (Currie et al. 2008) and </w:t>
      </w:r>
      <w:r w:rsidRPr="00DD2D90">
        <w:rPr>
          <w:rStyle w:val="StyleUnderline"/>
        </w:rPr>
        <w:t xml:space="preserve">with </w:t>
      </w:r>
      <w:r w:rsidRPr="00DD2D90">
        <w:rPr>
          <w:rStyle w:val="StyleUnderline"/>
          <w:highlight w:val="green"/>
        </w:rPr>
        <w:t>falling inequality in mortality</w:t>
      </w:r>
      <w:r w:rsidRPr="00DD2D90">
        <w:rPr>
          <w:rStyle w:val="StyleUnderline"/>
        </w:rPr>
        <w:t xml:space="preserve"> among children since 1990</w:t>
      </w:r>
      <w:r w:rsidRPr="009278EB">
        <w:rPr>
          <w:sz w:val="16"/>
        </w:rPr>
        <w:t xml:space="preserve"> (Currie and Schwandt 2016). The idea that </w:t>
      </w:r>
      <w:r w:rsidRPr="00DD2D90">
        <w:rPr>
          <w:rStyle w:val="StyleUnderline"/>
          <w:highlight w:val="green"/>
        </w:rPr>
        <w:t>public</w:t>
      </w:r>
      <w:r w:rsidRPr="00DD2D90">
        <w:rPr>
          <w:rStyle w:val="StyleUnderline"/>
        </w:rPr>
        <w:t xml:space="preserve"> health </w:t>
      </w:r>
      <w:r w:rsidRPr="00DD2D90">
        <w:rPr>
          <w:rStyle w:val="StyleUnderline"/>
          <w:highlight w:val="green"/>
        </w:rPr>
        <w:t>insurance</w:t>
      </w:r>
      <w:r w:rsidRPr="009278EB">
        <w:rPr>
          <w:sz w:val="16"/>
          <w:highlight w:val="green"/>
        </w:rPr>
        <w:t xml:space="preserve"> </w:t>
      </w:r>
      <w:r w:rsidRPr="00DD2D90">
        <w:rPr>
          <w:rStyle w:val="StyleUnderline"/>
          <w:highlight w:val="green"/>
        </w:rPr>
        <w:t>can</w:t>
      </w:r>
      <w:r w:rsidRPr="009278EB">
        <w:rPr>
          <w:sz w:val="16"/>
        </w:rPr>
        <w:t xml:space="preserve"> help to </w:t>
      </w:r>
      <w:r w:rsidRPr="00DD2D90">
        <w:rPr>
          <w:rStyle w:val="StyleUnderline"/>
          <w:highlight w:val="green"/>
        </w:rPr>
        <w:t>protect against the health consequences of low income</w:t>
      </w:r>
      <w:r w:rsidRPr="009278EB">
        <w:rPr>
          <w:sz w:val="16"/>
        </w:rPr>
        <w:t xml:space="preserve"> offers a possible explanation for the paradox posed in Banks et al. (2006), who show that </w:t>
      </w:r>
      <w:r w:rsidRPr="00DD2D90">
        <w:rPr>
          <w:rStyle w:val="StyleUnderline"/>
        </w:rPr>
        <w:t xml:space="preserve">adult </w:t>
      </w:r>
      <w:r w:rsidRPr="00DD2D90">
        <w:rPr>
          <w:rStyle w:val="StyleUnderline"/>
          <w:highlight w:val="green"/>
        </w:rPr>
        <w:t>Americans are in worse health</w:t>
      </w:r>
      <w:r w:rsidRPr="00DD2D90">
        <w:rPr>
          <w:rStyle w:val="StyleUnderline"/>
        </w:rPr>
        <w:t xml:space="preserve"> </w:t>
      </w:r>
      <w:r w:rsidRPr="00DD2D90">
        <w:rPr>
          <w:rStyle w:val="StyleUnderline"/>
          <w:highlight w:val="green"/>
        </w:rPr>
        <w:t xml:space="preserve">than </w:t>
      </w:r>
      <w:r w:rsidRPr="00DD2D90">
        <w:rPr>
          <w:rStyle w:val="StyleUnderline"/>
        </w:rPr>
        <w:t xml:space="preserve">adult </w:t>
      </w:r>
      <w:r w:rsidRPr="00DD2D90">
        <w:rPr>
          <w:rStyle w:val="StyleUnderline"/>
          <w:highlight w:val="green"/>
        </w:rPr>
        <w:t>Britons</w:t>
      </w:r>
      <w:r w:rsidRPr="00DD2D90">
        <w:rPr>
          <w:rStyle w:val="StyleUnderline"/>
        </w:rPr>
        <w:t xml:space="preserve"> even </w:t>
      </w:r>
      <w:r w:rsidRPr="00DD2D90">
        <w:rPr>
          <w:rStyle w:val="StyleUnderline"/>
          <w:highlight w:val="green"/>
        </w:rPr>
        <w:t>though the British smoke and drink more</w:t>
      </w:r>
      <w:r w:rsidRPr="00DD2D90">
        <w:rPr>
          <w:rStyle w:val="StyleUnderline"/>
        </w:rPr>
        <w:t xml:space="preserve"> and are almost as likely as Americans to be overweight</w:t>
      </w:r>
      <w:r w:rsidRPr="009278EB">
        <w:rPr>
          <w:sz w:val="16"/>
        </w:rPr>
        <w:t xml:space="preserve">. Possibly, </w:t>
      </w:r>
      <w:r w:rsidRPr="00DD2D90">
        <w:rPr>
          <w:rStyle w:val="StyleUnderline"/>
        </w:rPr>
        <w:t>Britons are protected by having had access to medical care through the</w:t>
      </w:r>
      <w:r w:rsidRPr="009278EB">
        <w:rPr>
          <w:sz w:val="16"/>
        </w:rPr>
        <w:t xml:space="preserve"> National Health Service (</w:t>
      </w:r>
      <w:r w:rsidRPr="00DD2D90">
        <w:rPr>
          <w:rStyle w:val="StyleUnderline"/>
        </w:rPr>
        <w:t>NHS</w:t>
      </w:r>
      <w:r w:rsidRPr="009278EB">
        <w:rPr>
          <w:sz w:val="16"/>
        </w:rPr>
        <w:t xml:space="preserve">) from an early age. Many currently middle-aged and older Americans did not have this protection. To summarize, there is strong evidence that </w:t>
      </w:r>
      <w:r w:rsidRPr="00DD2D90">
        <w:rPr>
          <w:rStyle w:val="StyleUnderline"/>
        </w:rPr>
        <w:t>material deprivation, especially in early life, can cause reductions in income primarily by increasing disability and reducing work</w:t>
      </w:r>
      <w:r w:rsidRPr="009278EB">
        <w:rPr>
          <w:sz w:val="16"/>
        </w:rPr>
        <w:t xml:space="preserve">. There is little evidence that inequality per se, unaccompanied by deprivation, has negative effects on health. And there is evidence, discussed further below, that </w:t>
      </w:r>
      <w:r w:rsidRPr="00DD2D90">
        <w:rPr>
          <w:rStyle w:val="StyleUnderline"/>
        </w:rPr>
        <w:t>the negative health effects of low income can be offset</w:t>
      </w:r>
      <w:r w:rsidRPr="009278EB">
        <w:rPr>
          <w:sz w:val="16"/>
        </w:rPr>
        <w:t xml:space="preserve">, at least to some extent, </w:t>
      </w:r>
      <w:r w:rsidRPr="00DD2D90">
        <w:rPr>
          <w:rStyle w:val="StyleUnderline"/>
        </w:rPr>
        <w:t>by social policies such as public health insurance</w:t>
      </w:r>
      <w:r w:rsidRPr="009278EB">
        <w:rPr>
          <w:sz w:val="16"/>
        </w:rPr>
        <w:t xml:space="preserve">. Have recent increases in economic inequality led to a surge in deaths of despair? The preceding review brings us to the most topical and controversial question posed here, which is whether the run-up in income inequality in recent decades has led to the surge in deaths of despair that we are currently witnessing in countries such as the USA and the UK. It seems clear at this point that there is no systematic contemporaneous relationship between income losses and deaths of despair. If deaths of despair simply reflected contemporaneous economic status or one’s place in a ranking of socio-economic status, then it would be puzzling that African–Americans have been less affected than non-Hispanic White people until quite recently, given historically higher rates of poverty and unemployment among African–Americans. There should be no presumption that contemporaneous income inequality and health inequality always move in the same direction. As discussed above, US mortality rates continued on their downward path through the mid-1990s even after several decades of rising income inequality and stagnating wages at the bottom of the income distribution. And inequality in mortality fell sharply for children between 1990 and 2010, even while it increased for adults (Currie and Schwandt 2016). Another striking example is the former East Germany, where mortality rates fell dramatically after German reunification even though income inequality increased equally dramatically—although income levels in the East also rose considerably relative to incomes in the West (Redler et al. 2021). Banks et al. (2021b) discuss the fact that </w:t>
      </w:r>
      <w:r w:rsidRPr="00DD2D90">
        <w:rPr>
          <w:rStyle w:val="StyleUnderline"/>
          <w:highlight w:val="green"/>
        </w:rPr>
        <w:t>mortality rates</w:t>
      </w:r>
      <w:r w:rsidRPr="00DD2D90">
        <w:rPr>
          <w:rStyle w:val="StyleUnderline"/>
        </w:rPr>
        <w:t xml:space="preserve"> continued to </w:t>
      </w:r>
      <w:r w:rsidRPr="00DD2D90">
        <w:rPr>
          <w:rStyle w:val="StyleUnderline"/>
          <w:highlight w:val="green"/>
        </w:rPr>
        <w:t>fall in Europe</w:t>
      </w:r>
      <w:r w:rsidRPr="00DD2D90">
        <w:rPr>
          <w:rStyle w:val="StyleUnderline"/>
        </w:rPr>
        <w:t xml:space="preserve"> and to converge to rates </w:t>
      </w:r>
      <w:r w:rsidRPr="00DD2D90">
        <w:rPr>
          <w:rStyle w:val="Emphasis"/>
        </w:rPr>
        <w:t>much lower</w:t>
      </w:r>
      <w:r w:rsidRPr="00DD2D90">
        <w:rPr>
          <w:rStyle w:val="StyleUnderline"/>
        </w:rPr>
        <w:t xml:space="preserve"> than in the USA through the Great Recession, </w:t>
      </w:r>
      <w:r w:rsidRPr="00DD2D90">
        <w:rPr>
          <w:rStyle w:val="StyleUnderline"/>
          <w:highlight w:val="green"/>
        </w:rPr>
        <w:t>despite increases in income inequality</w:t>
      </w:r>
      <w:r w:rsidRPr="009278EB">
        <w:rPr>
          <w:sz w:val="16"/>
        </w:rPr>
        <w:t xml:space="preserve"> driven by huge employment losses in countries such as Spain and Portugal. There are cases such as the Czech Republic that experienced spikes in mortality among middle-aged men after the Velvet Revolution, which brought the fall of communism (Bertoli and Grembi 2021). Because income inequality also increased, one might argue that the increase in income inequality caused the increase in mortality. But surely this would be simplistic, given that the cohorts who saw increases in mortality also endured the sudden collapse of society as they knew it. It could not have been easy to pivot from decades of life under communism to finding a place in a new free market system. Younger cohorts did not experience this dislocation and showed improvements in their health despite rising income inequality. In their pathbreaking book, Deaths of Despair and the Future of Capitalism, Case and Deaton (2020) highlight exactly this mechanism: social disintegration among those who are moving downward through the income distribution leading to deaths of despair. They point to the loss of social connection, identity, and feelings of self-worth among people affected by decades of losing ground to rising inequality. In a sense, income inequality is a stand-in for a host of societal problems in this narrative. It might take years or even decades for economic disadvantage and socio-economic decline to translate into sickness and death. Several recent studies have taken a longer term perspective—either by focusing on structural economic changes from import competition and automatization or by following unlucky cohorts of people who entered the labour market during recessions. Both approaches find that socio-economic decline is linked to significant increases in mortality over the longer term. One of the largest sources of dislocation and downward social mobility in the USA has been the decline of ‘good’ manufacturing jobs due to automation and trade. Autor et al. (2013) focus on import competition from China and show that it led to dramatic declines in US manufacturing jobs. Autor et al. (2019) find that, over the decades, these reductions in manufacturing jobs increased mortality due to drug and alcohol poisonings. Similarly, Pierce and Schott (2020) show that the US granting of permanent normal trade relations to China in 2000 led to increases in mortality over the next 12 years. These effects are only present for non-Hispanic White people and are stronger for males than females, which is consistent with men being more likely to be employed in manufacturing. All deaths of despair are important, but in the USA, the largest contributor is the opioid epidemic. Mortality from opioid overdoses is so great that without these deaths, US life expectancy would have continued to rise after 2014 instead of falling for 3 years in a row (Currie and Schwandt 2021). Again, there is little evidence that contemporaneous economic shocks predict opioid deaths: the opioid epidemic first gained a foothold in the USA in the prosperous period before the recession of 2008. The Great Recession itself had almost no impact on the death toll. Unemployment was at its lowest level in decades as the epidemic peaked in 2017–18 (although it has reached new peaks in the current pandemic). Currie et al. (2019) do not find any evidence of a negative contemporaneous relationship between employment and the prescribing of prescription opioids in the USA between 2006 and 2014 in quarterly models that include county fixed effects.1 Charles et al. (2019) use shift-share instruments to analyse the longer term impacts of all of the shocks that affected US manufacturing activity and find significant effects on drug abuse and overdose deaths. Adda and Fawaz (2020) document increases in illness and chronic pain in addition to increases in mortality. Venkataramani et al. (2020) found that areas where car plants had shut down experienced increases in opioid overdoses that became statistically significant by 5 years after the closing. They argue that it is the persistence of these structural economic shocks over long periods of time that makes them deadly. It is clear that manufacturing decline led to deaths of despair, and especially to overdose deaths. But is that the whole story? Pierce and Schott’s (2020) estimates imply that a shift from the 25th to the 75th percentile of trade exposure can explain only up to 11.5% of overall drug overdose deaths in 2017.2Charles et al. (2019) caution that there may be confounding factors that they do not account for in their estimates. Ruhm (2019) does examine the role of confounding factors in estimating the relationship between economic decline and rising opioid deaths at the county level. He finds that after adding controls for counties’ age and education structure, long-term changes in economic conditions explain at most one-ninth of the growth in overall drug-related mortality rates. Also looking specifically at US opioid deaths, Bloom et al. (2019) show that the West Coast and New England benefited from Chinese import competition, but New Hampshire and Massachusetts have still been hit hard by opioids (Stopka et al. 2019). The opioid epidemic has not been limited to areas experiencing negative structural change but has also raged in other parts of the country. Schwandt and von Wachter (2020) find that cohorts who entered the labour market during recessions (and can therefore expect to have lower future earnings) initially have lower mortality because they have fewer traffic deaths and workplace accidents (see also Ruhm 2000; Miller et al. 2009; Strumpf et al. 2017). But around 15 years after labour market entry, the effects of entering during a recession on mortality turn positive: there is a 2% increase in deaths of despair for every one percentage point increase in the unemployment rate at a labour market entry. The results are reminiscent of those of Sullivan and von Wachter (2009), who also showed that men who lost their jobs due to plant closings had higher rates of deaths of despair over the long term. However, although economically important, the impacts of entering the labour market in a recession can explain only a small share of the overall increases in drug overdose deaths. Even if all cohorts experienced a strong recession at labour market entry, Schwandt and von Wachter (2020) calculate that the resulting increase in opioid mortality would account for only an eighth of the increase in overall opioid mortality over the past 2 decades. Clearly, other aspects of the policy environment have played an outside role in the US opioid epidemic, as discussed below. What aspects of the policy environment matter? There are many policies that have improved the health of younger cohorts of Americans relative to older ones. For example, the long and many-pronged fight against smoking in the last decades of the 20th century is expected to yield health benefits in the affected cohorts that will last for decades (Preston et al. 2009). This past success makes the rise of youth vaping in the USA in the past 10 years all the more disappointing (Wang et al. 2020). Similarly, the Clean Air Act of 1970 ushered in an era of environmental regulation that has seen huge improvements in air quality, with many attendant public health benefits. Isen et al. (2017) use US administrative records on the earnings histories of young adults and identify individuals who benefited from pollution reductions in their county of birth because of the implementation of the Clean Air Act. They find that cleaning the air young children were exposed to increased their labour force participation and earnings as young adults. These findings about the long-term effects of early life exposure to pollution complement research about the morbidity and mortality effects on adults (see Zivin and Neidell 2012; Deryugina et al. 2019). The role of the safety net In the USA, </w:t>
      </w:r>
      <w:r w:rsidRPr="00DD2D90">
        <w:rPr>
          <w:rStyle w:val="StyleUnderline"/>
        </w:rPr>
        <w:t>the two age groups that have continued to see mortality declines since 2010 are those aged older than 65 and the very young, which may point to</w:t>
      </w:r>
      <w:r w:rsidRPr="009278EB">
        <w:rPr>
          <w:sz w:val="16"/>
        </w:rPr>
        <w:t xml:space="preserve"> more specifically targeted policies. These are, for instance, the two groups who have the most extensive </w:t>
      </w:r>
      <w:r w:rsidRPr="00DD2D90">
        <w:rPr>
          <w:rStyle w:val="StyleUnderline"/>
        </w:rPr>
        <w:t>public health insurance coverage under the Medicare and Medicaid</w:t>
      </w:r>
      <w:r w:rsidRPr="009278EB">
        <w:rPr>
          <w:sz w:val="16"/>
        </w:rPr>
        <w:t xml:space="preserve"> programs, respectively. </w:t>
      </w:r>
      <w:r w:rsidRPr="00DD2D90">
        <w:rPr>
          <w:rStyle w:val="StyleUnderline"/>
        </w:rPr>
        <w:t>Expansions of public health insurance to pregnant women and children over the 1990s and 2000s led to immediate declines in infant and child mortality</w:t>
      </w:r>
      <w:r w:rsidRPr="009278EB">
        <w:rPr>
          <w:sz w:val="16"/>
        </w:rPr>
        <w:t xml:space="preserve"> (Currie and Gruber 1996a, 1996b). </w:t>
      </w:r>
      <w:r w:rsidRPr="00DD2D90">
        <w:rPr>
          <w:rStyle w:val="StyleUnderline"/>
        </w:rPr>
        <w:t>Cohorts</w:t>
      </w:r>
      <w:r w:rsidRPr="009278EB">
        <w:rPr>
          <w:sz w:val="16"/>
        </w:rPr>
        <w:t xml:space="preserve"> who became </w:t>
      </w:r>
      <w:r w:rsidRPr="00DD2D90">
        <w:rPr>
          <w:rStyle w:val="StyleUnderline"/>
        </w:rPr>
        <w:t>eligible for Medicaid in utero or in early childhood have been healthier as young adults than slightly older cohorts who were ineligible</w:t>
      </w:r>
      <w:r w:rsidRPr="009278EB">
        <w:rPr>
          <w:sz w:val="16"/>
        </w:rPr>
        <w:t xml:space="preserve">. Eligible cohorts have higher educational attainment, earnings, and self-reported health, and lower mortality and hospitalization rates (Levine and Schanzenbach 2009; Cohodes et al. 2016; Wherry and Meyer 2016; Miller and Wherry 2019; Brown et al. 2020). </w:t>
      </w:r>
      <w:r w:rsidRPr="00DD2D90">
        <w:rPr>
          <w:rStyle w:val="StyleUnderline"/>
        </w:rPr>
        <w:t>New mothers who were covered by Medicaid as infants because of the expansions are giving birth to healthier children today</w:t>
      </w:r>
      <w:r w:rsidRPr="009278EB">
        <w:rPr>
          <w:sz w:val="16"/>
        </w:rPr>
        <w:t xml:space="preserve"> (East et al. 2017). Studies of the initial ‘</w:t>
      </w:r>
      <w:r w:rsidRPr="00DD2D90">
        <w:rPr>
          <w:rStyle w:val="StyleUnderline"/>
        </w:rPr>
        <w:t xml:space="preserve">rollout’ of </w:t>
      </w:r>
      <w:r w:rsidRPr="00DD2D90">
        <w:rPr>
          <w:rStyle w:val="StyleUnderline"/>
          <w:highlight w:val="green"/>
        </w:rPr>
        <w:t>Medicaid</w:t>
      </w:r>
      <w:r w:rsidRPr="009278EB">
        <w:rPr>
          <w:sz w:val="16"/>
        </w:rPr>
        <w:t xml:space="preserve"> find that </w:t>
      </w:r>
      <w:r w:rsidRPr="00DD2D90">
        <w:rPr>
          <w:rStyle w:val="StyleUnderline"/>
        </w:rPr>
        <w:t>there were large initial mortality</w:t>
      </w:r>
      <w:r w:rsidRPr="009278EB">
        <w:rPr>
          <w:sz w:val="16"/>
        </w:rPr>
        <w:t xml:space="preserve"> </w:t>
      </w:r>
      <w:r w:rsidRPr="00DD2D90">
        <w:rPr>
          <w:rStyle w:val="StyleUnderline"/>
        </w:rPr>
        <w:t>declines</w:t>
      </w:r>
      <w:r w:rsidRPr="009278EB">
        <w:rPr>
          <w:sz w:val="16"/>
        </w:rPr>
        <w:t xml:space="preserve"> (Goodman-Bacon 2021). Fifty years later, </w:t>
      </w:r>
      <w:r w:rsidRPr="00DD2D90">
        <w:rPr>
          <w:rStyle w:val="StyleUnderline"/>
          <w:highlight w:val="green"/>
        </w:rPr>
        <w:t xml:space="preserve">rates of disability were lower and labour force participation was higher </w:t>
      </w:r>
      <w:r w:rsidRPr="00DD2D90">
        <w:rPr>
          <w:rStyle w:val="StyleUnderline"/>
        </w:rPr>
        <w:t>in the affected cohorts</w:t>
      </w:r>
      <w:r w:rsidRPr="009278EB">
        <w:rPr>
          <w:sz w:val="16"/>
        </w:rPr>
        <w:t xml:space="preserve"> (Boudreaux et al. 2016). </w:t>
      </w:r>
      <w:r w:rsidRPr="00DD2D90">
        <w:rPr>
          <w:rStyle w:val="StyleUnderline"/>
          <w:highlight w:val="green"/>
        </w:rPr>
        <w:t>Medicare</w:t>
      </w:r>
      <w:r w:rsidRPr="009278EB">
        <w:rPr>
          <w:sz w:val="16"/>
        </w:rPr>
        <w:t xml:space="preserve">, which </w:t>
      </w:r>
      <w:r w:rsidRPr="00DD2D90">
        <w:rPr>
          <w:rStyle w:val="StyleUnderline"/>
        </w:rPr>
        <w:t>provides universal coverage for the elderly in the USA</w:t>
      </w:r>
      <w:r w:rsidRPr="009278EB">
        <w:rPr>
          <w:sz w:val="16"/>
        </w:rPr>
        <w:t xml:space="preserve">, has also had positive effects on health. For example, Card et al. (2009) exploit the sharp discontinuity in Medicare eligibility at age 65 and show that among severely ill patients admitted to hospital, </w:t>
      </w:r>
      <w:r w:rsidRPr="00DD2D90">
        <w:rPr>
          <w:rStyle w:val="StyleUnderline"/>
          <w:highlight w:val="green"/>
        </w:rPr>
        <w:t xml:space="preserve">there is a </w:t>
      </w:r>
      <w:r w:rsidRPr="00DD2D90">
        <w:rPr>
          <w:rStyle w:val="Emphasis"/>
          <w:highlight w:val="green"/>
        </w:rPr>
        <w:t>20%</w:t>
      </w:r>
      <w:r w:rsidRPr="00DD2D90">
        <w:rPr>
          <w:rStyle w:val="StyleUnderline"/>
          <w:highlight w:val="green"/>
        </w:rPr>
        <w:t xml:space="preserve"> drop in mortality</w:t>
      </w:r>
      <w:r w:rsidRPr="00DD2D90">
        <w:rPr>
          <w:rStyle w:val="StyleUnderline"/>
        </w:rPr>
        <w:t xml:space="preserve"> in the group just above the 65-year threshold compared with patients just below that threshold</w:t>
      </w:r>
      <w:r w:rsidRPr="009278EB">
        <w:rPr>
          <w:sz w:val="16"/>
        </w:rPr>
        <w:t xml:space="preserve">. </w:t>
      </w:r>
      <w:r w:rsidRPr="00DD2D90">
        <w:rPr>
          <w:rStyle w:val="StyleUnderline"/>
        </w:rPr>
        <w:t>This mortality reduction persists for at least 9 months after the admission</w:t>
      </w:r>
      <w:r w:rsidRPr="009278EB">
        <w:rPr>
          <w:sz w:val="16"/>
        </w:rPr>
        <w:t xml:space="preserve">, which indicates that the </w:t>
      </w:r>
      <w:r w:rsidRPr="00DD2D90">
        <w:rPr>
          <w:rStyle w:val="StyleUnderline"/>
        </w:rPr>
        <w:t>additional services paid for by Medicare are successful in saving the lives of critically ill people</w:t>
      </w:r>
      <w:r w:rsidRPr="009278EB">
        <w:rPr>
          <w:sz w:val="16"/>
        </w:rPr>
        <w:t xml:space="preserve">. McWilliams et al. (2009) report that </w:t>
      </w:r>
      <w:r w:rsidRPr="00DD2D90">
        <w:rPr>
          <w:rStyle w:val="StyleUnderline"/>
          <w:highlight w:val="green"/>
        </w:rPr>
        <w:t>differences between Black and White Americans</w:t>
      </w:r>
      <w:r w:rsidRPr="00DD2D90">
        <w:rPr>
          <w:rStyle w:val="StyleUnderline"/>
        </w:rPr>
        <w:t xml:space="preserve">, and between less educated and more educated adults in </w:t>
      </w:r>
      <w:r w:rsidRPr="009278EB">
        <w:rPr>
          <w:sz w:val="16"/>
        </w:rPr>
        <w:t>systolic</w:t>
      </w:r>
      <w:r w:rsidRPr="00DD2D90">
        <w:rPr>
          <w:rStyle w:val="StyleUnderline"/>
        </w:rPr>
        <w:t xml:space="preserve"> blood pressure and</w:t>
      </w:r>
      <w:r w:rsidRPr="009278EB">
        <w:rPr>
          <w:sz w:val="16"/>
        </w:rPr>
        <w:t xml:space="preserve"> haemoglobin A1c levels (used to track </w:t>
      </w:r>
      <w:r w:rsidRPr="00DD2D90">
        <w:rPr>
          <w:rStyle w:val="StyleUnderline"/>
        </w:rPr>
        <w:t>diabetes</w:t>
      </w:r>
      <w:r w:rsidRPr="009278EB">
        <w:rPr>
          <w:sz w:val="16"/>
        </w:rPr>
        <w:t xml:space="preserve">) also </w:t>
      </w:r>
      <w:r w:rsidRPr="00DD2D90">
        <w:rPr>
          <w:rStyle w:val="StyleUnderline"/>
          <w:highlight w:val="green"/>
        </w:rPr>
        <w:t>narrow after age</w:t>
      </w:r>
      <w:r w:rsidRPr="009278EB">
        <w:rPr>
          <w:sz w:val="16"/>
          <w:highlight w:val="green"/>
        </w:rPr>
        <w:t xml:space="preserve"> </w:t>
      </w:r>
      <w:r w:rsidRPr="00DD2D90">
        <w:rPr>
          <w:rStyle w:val="StyleUnderline"/>
          <w:highlight w:val="green"/>
        </w:rPr>
        <w:t>65</w:t>
      </w:r>
      <w:r w:rsidRPr="009278EB">
        <w:rPr>
          <w:sz w:val="16"/>
          <w:highlight w:val="green"/>
        </w:rPr>
        <w:t>.</w:t>
      </w:r>
      <w:r w:rsidRPr="009278EB">
        <w:rPr>
          <w:sz w:val="16"/>
        </w:rPr>
        <w:t xml:space="preserve"> These findings suggest that </w:t>
      </w:r>
      <w:r w:rsidRPr="00DD2D90">
        <w:rPr>
          <w:rStyle w:val="StyleUnderline"/>
        </w:rPr>
        <w:t xml:space="preserve">universal health insurance among those aged 65 and older helps to narrow disparities in health between individuals. </w:t>
      </w:r>
      <w:r w:rsidRPr="009278EB">
        <w:rPr>
          <w:sz w:val="16"/>
        </w:rPr>
        <w:t xml:space="preserve">Finkelstein (2007) investigates the effects of the introduction of the </w:t>
      </w:r>
      <w:r w:rsidRPr="00DD2D90">
        <w:rPr>
          <w:rStyle w:val="StyleUnderline"/>
        </w:rPr>
        <w:t>Medicare</w:t>
      </w:r>
      <w:r w:rsidRPr="009278EB">
        <w:rPr>
          <w:sz w:val="16"/>
        </w:rPr>
        <w:t xml:space="preserve"> programme in 1965 on the entire system of medical care. She suggests that the </w:t>
      </w:r>
      <w:r w:rsidRPr="00DD2D90">
        <w:rPr>
          <w:rStyle w:val="StyleUnderline"/>
        </w:rPr>
        <w:t>market-level effects are much greater than those that would be predicted by looking at the effects of health insurance coverage on individuals</w:t>
      </w:r>
      <w:r w:rsidRPr="009278EB">
        <w:rPr>
          <w:sz w:val="16"/>
        </w:rPr>
        <w:t xml:space="preserve">. </w:t>
      </w:r>
      <w:r w:rsidRPr="00DD2D90">
        <w:rPr>
          <w:rStyle w:val="StyleUnderline"/>
          <w:highlight w:val="green"/>
        </w:rPr>
        <w:t>These</w:t>
      </w:r>
      <w:r w:rsidRPr="00DD2D90">
        <w:rPr>
          <w:rStyle w:val="StyleUnderline"/>
        </w:rPr>
        <w:t xml:space="preserve"> larger effects </w:t>
      </w:r>
      <w:r w:rsidRPr="00DD2D90">
        <w:rPr>
          <w:rStyle w:val="StyleUnderline"/>
          <w:highlight w:val="green"/>
        </w:rPr>
        <w:t>are due to provider responses to increased demand</w:t>
      </w:r>
      <w:r w:rsidRPr="00DD2D90">
        <w:rPr>
          <w:rStyle w:val="StyleUnderline"/>
        </w:rPr>
        <w:t xml:space="preserve">. Once every elderly adult became a ‘paying customer’, it increased the incentives of providers to offer services for them. </w:t>
      </w:r>
      <w:r w:rsidRPr="009278EB">
        <w:rPr>
          <w:sz w:val="16"/>
        </w:rPr>
        <w:t xml:space="preserve">Evidence about the effectiveness of health insurance for prime-aged people is more ambiguous. Sommers et al. (2017) offer a succinct summary of the recent literature focusing on the US </w:t>
      </w:r>
      <w:r w:rsidRPr="00DD2D90">
        <w:rPr>
          <w:rStyle w:val="StyleUnderline"/>
        </w:rPr>
        <w:t>Affordable Care Act’s</w:t>
      </w:r>
      <w:r w:rsidRPr="009278EB">
        <w:rPr>
          <w:sz w:val="16"/>
        </w:rPr>
        <w:t xml:space="preserve"> 2014 </w:t>
      </w:r>
      <w:r w:rsidRPr="00DD2D90">
        <w:rPr>
          <w:rStyle w:val="StyleUnderline"/>
        </w:rPr>
        <w:t>expansions</w:t>
      </w:r>
      <w:r w:rsidRPr="009278EB">
        <w:rPr>
          <w:sz w:val="16"/>
        </w:rPr>
        <w:t xml:space="preserve"> of public health insurance to non-elderly adults. There were </w:t>
      </w:r>
      <w:r w:rsidRPr="00DD2D90">
        <w:rPr>
          <w:rStyle w:val="StyleUnderline"/>
        </w:rPr>
        <w:t>clear improvements in the use of screening and in the treatment of chronic conditions, improvements in mental health, and improvements in self-reported health</w:t>
      </w:r>
      <w:r w:rsidRPr="009278EB">
        <w:rPr>
          <w:sz w:val="16"/>
        </w:rPr>
        <w:t xml:space="preserve">, but little evidence of effects on health markers such as blood pressure. Courtemanche and Zapata (2014) focus on the earlier </w:t>
      </w:r>
      <w:r w:rsidRPr="00DD2D90">
        <w:rPr>
          <w:rStyle w:val="StyleUnderline"/>
          <w:highlight w:val="green"/>
        </w:rPr>
        <w:t>Massachusetts</w:t>
      </w:r>
      <w:r w:rsidRPr="009278EB">
        <w:rPr>
          <w:sz w:val="16"/>
        </w:rPr>
        <w:t xml:space="preserve"> </w:t>
      </w:r>
      <w:r w:rsidRPr="00DD2D90">
        <w:rPr>
          <w:rStyle w:val="StyleUnderline"/>
          <w:highlight w:val="green"/>
        </w:rPr>
        <w:t>health</w:t>
      </w:r>
      <w:r w:rsidRPr="00DD2D90">
        <w:rPr>
          <w:rStyle w:val="StyleUnderline"/>
        </w:rPr>
        <w:t xml:space="preserve"> care reform</w:t>
      </w:r>
      <w:r w:rsidRPr="009278EB">
        <w:rPr>
          <w:sz w:val="16"/>
        </w:rPr>
        <w:t xml:space="preserve">, which </w:t>
      </w:r>
      <w:r w:rsidRPr="00DD2D90">
        <w:rPr>
          <w:rStyle w:val="StyleUnderline"/>
        </w:rPr>
        <w:t>achieved almost universal coverage</w:t>
      </w:r>
      <w:r w:rsidRPr="009278EB">
        <w:rPr>
          <w:sz w:val="16"/>
        </w:rPr>
        <w:t xml:space="preserve"> through mechanisms similar to the Affordable Care Act. Using data from the Behavioral Risk Factor Surveillance System, they also </w:t>
      </w:r>
      <w:r w:rsidRPr="00DD2D90">
        <w:rPr>
          <w:rStyle w:val="StyleUnderline"/>
        </w:rPr>
        <w:t>show improvements in self-reported health and utilization of care</w:t>
      </w:r>
      <w:r w:rsidRPr="009278EB">
        <w:rPr>
          <w:sz w:val="16"/>
        </w:rPr>
        <w:t xml:space="preserve">. However, in addition, </w:t>
      </w:r>
      <w:r w:rsidRPr="00DD2D90">
        <w:rPr>
          <w:rStyle w:val="StyleUnderline"/>
        </w:rPr>
        <w:t>they find improvements in several markers of physical and mental health, including reductions in functional limitations, joint disorders, and body mass index</w:t>
      </w:r>
      <w:r w:rsidRPr="009278EB">
        <w:rPr>
          <w:sz w:val="16"/>
        </w:rPr>
        <w:t xml:space="preserve">. </w:t>
      </w:r>
      <w:r w:rsidRPr="00DD2D90">
        <w:rPr>
          <w:rStyle w:val="StyleUnderline"/>
        </w:rPr>
        <w:t xml:space="preserve">These health </w:t>
      </w:r>
      <w:r w:rsidRPr="00DD2D90">
        <w:rPr>
          <w:rStyle w:val="StyleUnderline"/>
          <w:highlight w:val="green"/>
        </w:rPr>
        <w:t>improvements</w:t>
      </w:r>
      <w:r w:rsidRPr="00DD2D90">
        <w:rPr>
          <w:rStyle w:val="StyleUnderline"/>
        </w:rPr>
        <w:t xml:space="preserve"> </w:t>
      </w:r>
      <w:r w:rsidRPr="00DD2D90">
        <w:rPr>
          <w:rStyle w:val="StyleUnderline"/>
          <w:highlight w:val="green"/>
        </w:rPr>
        <w:t>were strongest in the groups</w:t>
      </w:r>
      <w:r w:rsidRPr="00DD2D90">
        <w:rPr>
          <w:rStyle w:val="StyleUnderline"/>
        </w:rPr>
        <w:t xml:space="preserve"> who were </w:t>
      </w:r>
      <w:r w:rsidRPr="00DD2D90">
        <w:rPr>
          <w:rStyle w:val="StyleUnderline"/>
          <w:highlight w:val="green"/>
        </w:rPr>
        <w:t>most likely to gain coverage</w:t>
      </w:r>
      <w:r w:rsidRPr="00DD2D90">
        <w:rPr>
          <w:rStyle w:val="StyleUnderline"/>
        </w:rPr>
        <w:t>, including those with low incomes, non-White people, near-elderly adults and women, suggesting that the health insurance expansions reduced health inequalities</w:t>
      </w:r>
      <w:r w:rsidRPr="009278EB">
        <w:rPr>
          <w:sz w:val="16"/>
        </w:rPr>
        <w:t xml:space="preserve">. There is also extensive evidence that broader expansions of the social safety net to families with young children through programmes such as Food Stamps, the Earned Income Tax Credit, and high-quality preschool have both improved child health in the short term, and had longer term effects on adult health as the children aged. For example, Almond et al. (2011) investigate the rollout of the Food Stamp programme between 1961 and 1975. Using county-level variation in when the programme was introduced, they find that women exposed to the programme in the last trimester of pregnancy had babies with higher birth weight births. The largest gains were at the lowest end of the birth weight distribution, reducing inequalities in this important index of newborn health. Hoynes et al. (2016) follow the affected cohorts using data from the Panel Study of Income Dynamics. They link adult health and economic outcomes to information about where people lived in early childhood. They find that early childhood access to food stamps reduced later adult metabolic syndrome, a cluster of disorders linked to higher morbidity and mortality. Hoynes et al. (2015) investigate the effects of cash transfers to families under the Earned Income Tax Credit (EITC) by taking advantage of a programme change that increased payments to some families. They found that the EITC reduced low birth weight, perhaps through associated increases in prenatal care and a reduction in smoking. Again, these changes were largest for those demographic categories that were most at risk for low-birth weight births so that health inequality was reduced. Evans and Garthwaite (2014) examine the effect of expansions in the EITC on mothers. Using data from the Behavioral Risk Factors Surveillance Survey, they found improvements in self-reported health. Using data from the National Health and Nutrition Examination Survey, they also found reductions in biomarkers associated with inflammation and future higher disease probabilities. Campbell et al. (2014) show that, in addition to their documented effects reducing crime, raising earnings, and increasing education, high-quality early childhood programmes have important health benefits. They follow children who were involved in the Carolina Abecedarian Project, a randomized controlled trial of an early childhood intervention among disadvantaged children. They found that treated children had a significantly lower prevalence of risk factors for cardiovascular and metabolic diseases in their mid-30s, especially among males. In particular, adults who received the program as children had lower blood pressure and were less likely to experience metabolic syndrome. These studies lend credence to a really obvious idea, which is </w:t>
      </w:r>
      <w:r w:rsidRPr="009278EB">
        <w:rPr>
          <w:sz w:val="16"/>
          <w:highlight w:val="green"/>
        </w:rPr>
        <w:t>that</w:t>
      </w:r>
      <w:r w:rsidRPr="009278EB">
        <w:rPr>
          <w:sz w:val="16"/>
        </w:rPr>
        <w:t xml:space="preserve"> </w:t>
      </w:r>
      <w:r w:rsidRPr="00DD2D90">
        <w:rPr>
          <w:rStyle w:val="StyleUnderline"/>
        </w:rPr>
        <w:t xml:space="preserve">the main </w:t>
      </w:r>
      <w:r w:rsidRPr="00DD2D90">
        <w:rPr>
          <w:rStyle w:val="StyleUnderline"/>
          <w:highlight w:val="green"/>
        </w:rPr>
        <w:t>reason</w:t>
      </w:r>
      <w:r w:rsidRPr="00DD2D90">
        <w:rPr>
          <w:rStyle w:val="StyleUnderline"/>
        </w:rPr>
        <w:t xml:space="preserve"> that </w:t>
      </w:r>
      <w:r w:rsidRPr="00DD2D90">
        <w:rPr>
          <w:rStyle w:val="StyleUnderline"/>
          <w:highlight w:val="green"/>
        </w:rPr>
        <w:t>life expectancy is low in the USA</w:t>
      </w:r>
      <w:r w:rsidRPr="009278EB">
        <w:rPr>
          <w:sz w:val="16"/>
        </w:rPr>
        <w:t xml:space="preserve"> relative to other rich countries is not because </w:t>
      </w:r>
      <w:r w:rsidRPr="009278EB">
        <w:rPr>
          <w:sz w:val="16"/>
          <w:highlight w:val="green"/>
        </w:rPr>
        <w:t>there</w:t>
      </w:r>
      <w:r w:rsidRPr="009278EB">
        <w:rPr>
          <w:sz w:val="16"/>
        </w:rPr>
        <w:t xml:space="preserve"> </w:t>
      </w:r>
      <w:r w:rsidRPr="00DD2D90">
        <w:rPr>
          <w:rStyle w:val="StyleUnderline"/>
        </w:rPr>
        <w:t>is</w:t>
      </w:r>
      <w:r w:rsidRPr="009278EB">
        <w:rPr>
          <w:sz w:val="16"/>
        </w:rPr>
        <w:t xml:space="preserve"> more income inequality per se, but </w:t>
      </w:r>
      <w:r w:rsidRPr="00DD2D90">
        <w:rPr>
          <w:rStyle w:val="StyleUnderline"/>
          <w:highlight w:val="green"/>
        </w:rPr>
        <w:t>because the USA lacks an adequate social safety net</w:t>
      </w:r>
      <w:r w:rsidRPr="009278EB">
        <w:rPr>
          <w:sz w:val="16"/>
        </w:rPr>
        <w:t xml:space="preserve">. Canada and most </w:t>
      </w:r>
      <w:r w:rsidRPr="00DD2D90">
        <w:rPr>
          <w:rStyle w:val="StyleUnderline"/>
        </w:rPr>
        <w:t>European countries have established</w:t>
      </w:r>
      <w:r w:rsidRPr="009278EB">
        <w:rPr>
          <w:sz w:val="16"/>
        </w:rPr>
        <w:t xml:space="preserve"> welfare states with </w:t>
      </w:r>
      <w:r w:rsidRPr="00DD2D90">
        <w:rPr>
          <w:rStyle w:val="StyleUnderline"/>
        </w:rPr>
        <w:t>publicly funded health and social insurance systems</w:t>
      </w:r>
      <w:r w:rsidRPr="009278EB">
        <w:rPr>
          <w:sz w:val="16"/>
        </w:rPr>
        <w:t xml:space="preserve"> that are available to all. Banks et al. (2021b) point out that </w:t>
      </w:r>
      <w:r w:rsidRPr="00DD2D90">
        <w:rPr>
          <w:rStyle w:val="StyleUnderline"/>
          <w:highlight w:val="green"/>
        </w:rPr>
        <w:t>Norway and</w:t>
      </w:r>
      <w:r w:rsidRPr="00DD2D90">
        <w:rPr>
          <w:rStyle w:val="StyleUnderline"/>
        </w:rPr>
        <w:t xml:space="preserve"> </w:t>
      </w:r>
      <w:r w:rsidRPr="00DD2D90">
        <w:rPr>
          <w:rStyle w:val="StyleUnderline"/>
          <w:highlight w:val="green"/>
        </w:rPr>
        <w:t>Finland have</w:t>
      </w:r>
      <w:r w:rsidRPr="00DD2D90">
        <w:rPr>
          <w:rStyle w:val="StyleUnderline"/>
        </w:rPr>
        <w:t xml:space="preserve"> among </w:t>
      </w:r>
      <w:r w:rsidRPr="00DD2D90">
        <w:rPr>
          <w:rStyle w:val="StyleUnderline"/>
          <w:highlight w:val="green"/>
        </w:rPr>
        <w:t>the lowest and most evenly distributed mortality rates in the</w:t>
      </w:r>
      <w:r w:rsidRPr="00DD2D90">
        <w:rPr>
          <w:rStyle w:val="StyleUnderline"/>
        </w:rPr>
        <w:t xml:space="preserve"> </w:t>
      </w:r>
      <w:r w:rsidRPr="00DD2D90">
        <w:rPr>
          <w:rStyle w:val="StyleUnderline"/>
          <w:highlight w:val="green"/>
        </w:rPr>
        <w:t>world</w:t>
      </w:r>
      <w:r w:rsidRPr="009278EB">
        <w:rPr>
          <w:sz w:val="16"/>
        </w:rPr>
        <w:t xml:space="preserve">. Butikofer et al. (2021) show that, </w:t>
      </w:r>
      <w:r w:rsidRPr="00DD2D90">
        <w:rPr>
          <w:rStyle w:val="StyleUnderline"/>
        </w:rPr>
        <w:t xml:space="preserve">in Norway, the rollout of </w:t>
      </w:r>
      <w:r w:rsidRPr="00DD2D90">
        <w:rPr>
          <w:rStyle w:val="StyleUnderline"/>
          <w:highlight w:val="green"/>
        </w:rPr>
        <w:t>public</w:t>
      </w:r>
      <w:r w:rsidRPr="00DD2D90">
        <w:rPr>
          <w:rStyle w:val="StyleUnderline"/>
        </w:rPr>
        <w:t xml:space="preserve">ly funded </w:t>
      </w:r>
      <w:r w:rsidRPr="00DD2D90">
        <w:rPr>
          <w:rStyle w:val="StyleUnderline"/>
          <w:highlight w:val="green"/>
        </w:rPr>
        <w:t>infant care</w:t>
      </w:r>
      <w:r w:rsidRPr="00DD2D90">
        <w:rPr>
          <w:rStyle w:val="StyleUnderline"/>
        </w:rPr>
        <w:t xml:space="preserve"> centres in the 1960s virtually </w:t>
      </w:r>
      <w:r w:rsidRPr="00DD2D90">
        <w:rPr>
          <w:rStyle w:val="Emphasis"/>
          <w:highlight w:val="green"/>
        </w:rPr>
        <w:t>eliminated</w:t>
      </w:r>
      <w:r w:rsidRPr="00DD2D90">
        <w:rPr>
          <w:rStyle w:val="StyleUnderline"/>
          <w:highlight w:val="green"/>
        </w:rPr>
        <w:t xml:space="preserve"> inequality in infant mortality rates</w:t>
      </w:r>
      <w:r w:rsidRPr="00DD2D90">
        <w:rPr>
          <w:rStyle w:val="StyleUnderline"/>
        </w:rPr>
        <w:t xml:space="preserve"> between rich and poor municipalities</w:t>
      </w:r>
      <w:r w:rsidRPr="009278EB">
        <w:rPr>
          <w:sz w:val="16"/>
        </w:rPr>
        <w:t xml:space="preserve">. Banks et al. (2021a) find that </w:t>
      </w:r>
      <w:r w:rsidRPr="00DD2D90">
        <w:rPr>
          <w:rStyle w:val="StyleUnderline"/>
          <w:highlight w:val="green"/>
        </w:rPr>
        <w:t>most reductions in</w:t>
      </w:r>
      <w:r w:rsidRPr="00DD2D90">
        <w:rPr>
          <w:rStyle w:val="StyleUnderline"/>
        </w:rPr>
        <w:t xml:space="preserve"> age-specific </w:t>
      </w:r>
      <w:r w:rsidRPr="00DD2D90">
        <w:rPr>
          <w:rStyle w:val="StyleUnderline"/>
          <w:highlight w:val="green"/>
        </w:rPr>
        <w:t>mortality rates in the UK took place</w:t>
      </w:r>
      <w:r w:rsidRPr="00DD2D90">
        <w:rPr>
          <w:rStyle w:val="StyleUnderline"/>
        </w:rPr>
        <w:t xml:space="preserve"> in the first decade of the 21st century, </w:t>
      </w:r>
      <w:r w:rsidRPr="00DD2D90">
        <w:rPr>
          <w:rStyle w:val="StyleUnderline"/>
          <w:highlight w:val="green"/>
        </w:rPr>
        <w:t>when the</w:t>
      </w:r>
      <w:r w:rsidRPr="00DD2D90">
        <w:rPr>
          <w:rStyle w:val="StyleUnderline"/>
        </w:rPr>
        <w:t xml:space="preserve"> UK </w:t>
      </w:r>
      <w:r w:rsidRPr="00DD2D90">
        <w:rPr>
          <w:rStyle w:val="StyleUnderline"/>
          <w:highlight w:val="green"/>
        </w:rPr>
        <w:t>health system was well funded</w:t>
      </w:r>
      <w:r w:rsidRPr="009278EB">
        <w:rPr>
          <w:sz w:val="16"/>
        </w:rPr>
        <w:t xml:space="preserve">. </w:t>
      </w:r>
      <w:r w:rsidRPr="00DD2D90">
        <w:rPr>
          <w:rStyle w:val="StyleUnderline"/>
          <w:highlight w:val="green"/>
        </w:rPr>
        <w:t>In the aftermath of</w:t>
      </w:r>
      <w:r w:rsidRPr="009278EB">
        <w:rPr>
          <w:sz w:val="16"/>
        </w:rPr>
        <w:t xml:space="preserve"> financial crisis and subsequent </w:t>
      </w:r>
      <w:r w:rsidRPr="00DD2D90">
        <w:rPr>
          <w:rStyle w:val="StyleUnderline"/>
          <w:highlight w:val="green"/>
        </w:rPr>
        <w:t>funding</w:t>
      </w:r>
      <w:r w:rsidRPr="00DD2D90">
        <w:rPr>
          <w:rStyle w:val="StyleUnderline"/>
        </w:rPr>
        <w:t xml:space="preserve"> </w:t>
      </w:r>
      <w:r w:rsidRPr="00DD2D90">
        <w:rPr>
          <w:rStyle w:val="StyleUnderline"/>
          <w:highlight w:val="green"/>
        </w:rPr>
        <w:t>cuts</w:t>
      </w:r>
      <w:r w:rsidRPr="00DD2D90">
        <w:rPr>
          <w:rStyle w:val="StyleUnderline"/>
        </w:rPr>
        <w:t xml:space="preserve"> in the NHS, </w:t>
      </w:r>
      <w:r w:rsidRPr="00DD2D90">
        <w:rPr>
          <w:rStyle w:val="StyleUnderline"/>
          <w:highlight w:val="green"/>
        </w:rPr>
        <w:t>progress</w:t>
      </w:r>
      <w:r w:rsidRPr="00DD2D90">
        <w:rPr>
          <w:rStyle w:val="StyleUnderline"/>
        </w:rPr>
        <w:t xml:space="preserve"> in reducing mortality </w:t>
      </w:r>
      <w:r w:rsidRPr="00DD2D90">
        <w:rPr>
          <w:rStyle w:val="StyleUnderline"/>
          <w:highlight w:val="green"/>
        </w:rPr>
        <w:t>slowed</w:t>
      </w:r>
      <w:r w:rsidRPr="009278EB">
        <w:rPr>
          <w:sz w:val="16"/>
        </w:rPr>
        <w:t xml:space="preserve">. It is possible that the most pernicious effects of income inequality per se are in the political realm. </w:t>
      </w:r>
      <w:r w:rsidRPr="00DD2D90">
        <w:rPr>
          <w:rStyle w:val="StyleUnderline"/>
          <w:highlight w:val="green"/>
        </w:rPr>
        <w:t>If the wealthy can</w:t>
      </w:r>
      <w:r w:rsidRPr="009278EB">
        <w:rPr>
          <w:sz w:val="16"/>
          <w:highlight w:val="green"/>
        </w:rPr>
        <w:t xml:space="preserve"> </w:t>
      </w:r>
      <w:r w:rsidRPr="00DD2D90">
        <w:rPr>
          <w:rStyle w:val="StyleUnderline"/>
          <w:highlight w:val="green"/>
        </w:rPr>
        <w:t>purchase</w:t>
      </w:r>
      <w:r w:rsidRPr="009278EB">
        <w:rPr>
          <w:sz w:val="16"/>
        </w:rPr>
        <w:t xml:space="preserve"> their own schools, </w:t>
      </w:r>
      <w:r w:rsidRPr="00DD2D90">
        <w:rPr>
          <w:rStyle w:val="StyleUnderline"/>
        </w:rPr>
        <w:t xml:space="preserve">medical </w:t>
      </w:r>
      <w:r w:rsidRPr="00DD2D90">
        <w:rPr>
          <w:rStyle w:val="StyleUnderline"/>
          <w:highlight w:val="green"/>
        </w:rPr>
        <w:t>care</w:t>
      </w:r>
      <w:r w:rsidRPr="009278EB">
        <w:rPr>
          <w:sz w:val="16"/>
        </w:rPr>
        <w:t xml:space="preserve">, and even communities, </w:t>
      </w:r>
      <w:r w:rsidRPr="00DD2D90">
        <w:rPr>
          <w:rStyle w:val="StyleUnderline"/>
          <w:highlight w:val="green"/>
        </w:rPr>
        <w:t>they can</w:t>
      </w:r>
      <w:r w:rsidRPr="009278EB">
        <w:rPr>
          <w:sz w:val="16"/>
        </w:rPr>
        <w:t xml:space="preserve"> effectively </w:t>
      </w:r>
      <w:r w:rsidRPr="00DD2D90">
        <w:rPr>
          <w:rStyle w:val="Emphasis"/>
          <w:highlight w:val="green"/>
        </w:rPr>
        <w:t>insulate</w:t>
      </w:r>
      <w:r w:rsidRPr="009278EB">
        <w:rPr>
          <w:sz w:val="16"/>
          <w:highlight w:val="green"/>
        </w:rPr>
        <w:t xml:space="preserve"> </w:t>
      </w:r>
      <w:r w:rsidRPr="00DD2D90">
        <w:rPr>
          <w:rStyle w:val="StyleUnderline"/>
          <w:highlight w:val="green"/>
        </w:rPr>
        <w:t>themselves from</w:t>
      </w:r>
      <w:r w:rsidRPr="00DD2D90">
        <w:rPr>
          <w:rStyle w:val="StyleUnderline"/>
        </w:rPr>
        <w:t xml:space="preserve"> the</w:t>
      </w:r>
      <w:r w:rsidRPr="009278EB">
        <w:rPr>
          <w:sz w:val="16"/>
        </w:rPr>
        <w:t xml:space="preserve"> </w:t>
      </w:r>
      <w:r w:rsidRPr="00DD2D90">
        <w:rPr>
          <w:rStyle w:val="StyleUnderline"/>
        </w:rPr>
        <w:t xml:space="preserve">problems of </w:t>
      </w:r>
      <w:r w:rsidRPr="00DD2D90">
        <w:rPr>
          <w:rStyle w:val="StyleUnderline"/>
          <w:highlight w:val="green"/>
        </w:rPr>
        <w:t>poverty</w:t>
      </w:r>
      <w:r w:rsidRPr="00DD2D90">
        <w:rPr>
          <w:rStyle w:val="StyleUnderline"/>
        </w:rPr>
        <w:t>, which then reduces their support for the social safety net</w:t>
      </w:r>
      <w:r w:rsidRPr="009278EB">
        <w:rPr>
          <w:sz w:val="16"/>
        </w:rPr>
        <w:t>. It is probably no accident that US city dwellers overwhelmingly vote Democratic. When rich and poor live side by side, then it is harder to escape the moral imperative to assist poor neighbours and easier to see the benefits of doing so.</w:t>
      </w:r>
    </w:p>
    <w:p w14:paraId="1AF197D7" w14:textId="77777777" w:rsidR="00EA6776" w:rsidRPr="009278EB" w:rsidRDefault="00EA6776">
      <w:pPr>
        <w:rPr>
          <w:rFonts w:eastAsiaTheme="majorEastAsia" w:cstheme="majorBidi"/>
          <w:b/>
          <w:iCs/>
          <w:sz w:val="16"/>
        </w:rPr>
      </w:pPr>
      <w:r w:rsidRPr="009278EB">
        <w:rPr>
          <w:sz w:val="16"/>
        </w:rPr>
        <w:br w:type="page"/>
      </w:r>
    </w:p>
    <w:p w14:paraId="3AB7D535" w14:textId="06EBF5E6" w:rsidR="000F64BA" w:rsidRPr="009278EB" w:rsidRDefault="000F64BA" w:rsidP="000F64BA">
      <w:pPr>
        <w:pStyle w:val="Heading4"/>
        <w:rPr>
          <w:szCs w:val="26"/>
        </w:rPr>
      </w:pPr>
      <w:r w:rsidRPr="009278EB">
        <w:rPr>
          <w:szCs w:val="26"/>
        </w:rPr>
        <w:t>Math proves</w:t>
      </w:r>
      <w:r w:rsidR="00EA6776" w:rsidRPr="009278EB">
        <w:rPr>
          <w:szCs w:val="26"/>
        </w:rPr>
        <w:t xml:space="preserve"> future</w:t>
      </w:r>
      <w:r w:rsidRPr="009278EB">
        <w:rPr>
          <w:szCs w:val="26"/>
        </w:rPr>
        <w:t xml:space="preserve"> pandemics</w:t>
      </w:r>
      <w:r w:rsidR="00EA6776" w:rsidRPr="009278EB">
        <w:rPr>
          <w:szCs w:val="26"/>
        </w:rPr>
        <w:t xml:space="preserve"> like Covid-19</w:t>
      </w:r>
      <w:r w:rsidRPr="009278EB">
        <w:rPr>
          <w:szCs w:val="26"/>
        </w:rPr>
        <w:t xml:space="preserve"> are inevitable</w:t>
      </w:r>
      <w:r w:rsidR="00EA6776" w:rsidRPr="009278EB">
        <w:rPr>
          <w:szCs w:val="26"/>
        </w:rPr>
        <w:t xml:space="preserve"> – preparedness is key</w:t>
      </w:r>
    </w:p>
    <w:p w14:paraId="397B3263" w14:textId="55A5EF97" w:rsidR="000F64BA" w:rsidRPr="00DD2D90" w:rsidRDefault="000F64BA" w:rsidP="000F64BA">
      <w:r w:rsidRPr="009278EB">
        <w:rPr>
          <w:b/>
          <w:bCs/>
          <w:sz w:val="26"/>
          <w:szCs w:val="26"/>
        </w:rPr>
        <w:t>Penn 21</w:t>
      </w:r>
      <w:r w:rsidRPr="00DD2D90">
        <w:t xml:space="preserve"> [Michael Penn, 8-23-2021, "Statistics Say Large Pandemics Are More Likely Than We Thought", Duke Global Health Institute, https://globalhealth.duke.edu/news/statistics-say-large-pandemics-are-more-likely-we-thought]/Kankee</w:t>
      </w:r>
    </w:p>
    <w:p w14:paraId="4648DB87" w14:textId="77777777" w:rsidR="000F64BA" w:rsidRPr="00DD2D90" w:rsidRDefault="000F64BA" w:rsidP="000F64BA">
      <w:r w:rsidRPr="00DD2D90">
        <w:t>*NOTE: same paragraph repeated twice in original article</w:t>
      </w:r>
    </w:p>
    <w:p w14:paraId="741AA288" w14:textId="77777777" w:rsidR="000F64BA" w:rsidRPr="009278EB" w:rsidRDefault="000F64BA" w:rsidP="000F64BA">
      <w:pPr>
        <w:rPr>
          <w:sz w:val="16"/>
        </w:rPr>
      </w:pPr>
      <w:r w:rsidRPr="009278EB">
        <w:rPr>
          <w:sz w:val="16"/>
        </w:rPr>
        <w:t xml:space="preserve">The COVID-19 pandemic may be the deadliest viral outbreak the world has seen in more than a century. But statistically, such </w:t>
      </w:r>
      <w:r w:rsidRPr="00DD2D90">
        <w:rPr>
          <w:rStyle w:val="StyleUnderline"/>
          <w:highlight w:val="green"/>
        </w:rPr>
        <w:t>extreme events aren’t</w:t>
      </w:r>
      <w:r w:rsidRPr="00DD2D90">
        <w:rPr>
          <w:rStyle w:val="StyleUnderline"/>
        </w:rPr>
        <w:t xml:space="preserve"> as </w:t>
      </w:r>
      <w:r w:rsidRPr="00DD2D90">
        <w:rPr>
          <w:rStyle w:val="StyleUnderline"/>
          <w:highlight w:val="green"/>
        </w:rPr>
        <w:t>rare</w:t>
      </w:r>
      <w:r w:rsidRPr="00DD2D90">
        <w:rPr>
          <w:rStyle w:val="StyleUnderline"/>
        </w:rPr>
        <w:t xml:space="preserve"> as we may think</w:t>
      </w:r>
      <w:r w:rsidRPr="009278EB">
        <w:rPr>
          <w:sz w:val="16"/>
        </w:rPr>
        <w:t xml:space="preserve">, asserts a new analysis of novel disease outbreaks over the past 400 years. The study, appearing in the Proceedings of the National Academy of Sciences the week of Aug. 23, used a newly assembled record of past outbreaks to estimate the intensity of those events and the yearly probability of them recurring. It found </w:t>
      </w:r>
      <w:r w:rsidRPr="00DD2D90">
        <w:rPr>
          <w:rStyle w:val="StyleUnderline"/>
        </w:rPr>
        <w:t xml:space="preserve">the </w:t>
      </w:r>
      <w:r w:rsidRPr="00DD2D90">
        <w:rPr>
          <w:rStyle w:val="StyleUnderline"/>
          <w:highlight w:val="green"/>
        </w:rPr>
        <w:t>probability</w:t>
      </w:r>
      <w:r w:rsidRPr="00DD2D90">
        <w:rPr>
          <w:rStyle w:val="StyleUnderline"/>
        </w:rPr>
        <w:t xml:space="preserve"> of a </w:t>
      </w:r>
      <w:r w:rsidRPr="00DD2D90">
        <w:rPr>
          <w:rStyle w:val="StyleUnderline"/>
          <w:highlight w:val="green"/>
        </w:rPr>
        <w:t>pandemic</w:t>
      </w:r>
      <w:r w:rsidRPr="00DD2D90">
        <w:rPr>
          <w:rStyle w:val="StyleUnderline"/>
        </w:rPr>
        <w:t xml:space="preserve"> with </w:t>
      </w:r>
      <w:r w:rsidRPr="00DD2D90">
        <w:rPr>
          <w:rStyle w:val="StyleUnderline"/>
          <w:highlight w:val="green"/>
        </w:rPr>
        <w:t>similar</w:t>
      </w:r>
      <w:r w:rsidRPr="00DD2D90">
        <w:rPr>
          <w:rStyle w:val="StyleUnderline"/>
        </w:rPr>
        <w:t xml:space="preserve"> impact </w:t>
      </w:r>
      <w:r w:rsidRPr="00DD2D90">
        <w:rPr>
          <w:rStyle w:val="StyleUnderline"/>
          <w:highlight w:val="green"/>
        </w:rPr>
        <w:t>to</w:t>
      </w:r>
      <w:r w:rsidRPr="00DD2D90">
        <w:rPr>
          <w:rStyle w:val="StyleUnderline"/>
        </w:rPr>
        <w:t xml:space="preserve"> </w:t>
      </w:r>
      <w:r w:rsidRPr="00DD2D90">
        <w:rPr>
          <w:rStyle w:val="StyleUnderline"/>
          <w:highlight w:val="green"/>
        </w:rPr>
        <w:t>COVID</w:t>
      </w:r>
      <w:r w:rsidRPr="00DD2D90">
        <w:rPr>
          <w:rStyle w:val="StyleUnderline"/>
        </w:rPr>
        <w:t xml:space="preserve">-19 </w:t>
      </w:r>
      <w:r w:rsidRPr="00DD2D90">
        <w:rPr>
          <w:rStyle w:val="StyleUnderline"/>
          <w:highlight w:val="green"/>
        </w:rPr>
        <w:t>is</w:t>
      </w:r>
      <w:r w:rsidRPr="009278EB">
        <w:rPr>
          <w:sz w:val="16"/>
        </w:rPr>
        <w:t xml:space="preserve"> about </w:t>
      </w:r>
      <w:r w:rsidRPr="00DD2D90">
        <w:rPr>
          <w:rStyle w:val="Emphasis"/>
          <w:highlight w:val="green"/>
        </w:rPr>
        <w:t>2%</w:t>
      </w:r>
      <w:r w:rsidRPr="009278EB">
        <w:rPr>
          <w:sz w:val="16"/>
        </w:rPr>
        <w:t xml:space="preserve"> in any year, meaning that </w:t>
      </w:r>
      <w:r w:rsidRPr="00DD2D90">
        <w:rPr>
          <w:rStyle w:val="StyleUnderline"/>
          <w:highlight w:val="green"/>
        </w:rPr>
        <w:t>someone</w:t>
      </w:r>
      <w:r w:rsidRPr="00DD2D90">
        <w:rPr>
          <w:rStyle w:val="StyleUnderline"/>
        </w:rPr>
        <w:t xml:space="preserve"> </w:t>
      </w:r>
      <w:r w:rsidRPr="00DD2D90">
        <w:rPr>
          <w:rStyle w:val="StyleUnderline"/>
          <w:highlight w:val="green"/>
        </w:rPr>
        <w:t>born in</w:t>
      </w:r>
      <w:r w:rsidRPr="00DD2D90">
        <w:rPr>
          <w:rStyle w:val="StyleUnderline"/>
        </w:rPr>
        <w:t xml:space="preserve"> the year </w:t>
      </w:r>
      <w:r w:rsidRPr="00DD2D90">
        <w:rPr>
          <w:rStyle w:val="StyleUnderline"/>
          <w:highlight w:val="green"/>
        </w:rPr>
        <w:t>2000 would have</w:t>
      </w:r>
      <w:r w:rsidRPr="00DD2D90">
        <w:rPr>
          <w:rStyle w:val="StyleUnderline"/>
        </w:rPr>
        <w:t xml:space="preserve"> about </w:t>
      </w:r>
      <w:r w:rsidRPr="00DD2D90">
        <w:rPr>
          <w:rStyle w:val="StyleUnderline"/>
          <w:highlight w:val="green"/>
        </w:rPr>
        <w:t xml:space="preserve">a </w:t>
      </w:r>
      <w:r w:rsidRPr="00DD2D90">
        <w:rPr>
          <w:rStyle w:val="Emphasis"/>
          <w:highlight w:val="green"/>
        </w:rPr>
        <w:t xml:space="preserve">38% </w:t>
      </w:r>
      <w:r w:rsidRPr="00DD2D90">
        <w:rPr>
          <w:rStyle w:val="StyleUnderline"/>
          <w:highlight w:val="green"/>
        </w:rPr>
        <w:t>chance</w:t>
      </w:r>
      <w:r w:rsidRPr="00DD2D90">
        <w:rPr>
          <w:rStyle w:val="StyleUnderline"/>
        </w:rPr>
        <w:t xml:space="preserve"> of experiencing one by now</w:t>
      </w:r>
      <w:r w:rsidRPr="009278EB">
        <w:rPr>
          <w:sz w:val="16"/>
        </w:rPr>
        <w:t xml:space="preserve">. And that probability is only growing, which the authors say highlights the need to adjust perceptions of pandemic risks and expectations for preparedness. “The most important takeaway is that </w:t>
      </w:r>
      <w:r w:rsidRPr="00DD2D90">
        <w:rPr>
          <w:rStyle w:val="StyleUnderline"/>
          <w:highlight w:val="green"/>
        </w:rPr>
        <w:t>large pandemics</w:t>
      </w:r>
      <w:r w:rsidRPr="00DD2D90">
        <w:rPr>
          <w:rStyle w:val="StyleUnderline"/>
        </w:rPr>
        <w:t xml:space="preserve"> </w:t>
      </w:r>
      <w:r w:rsidRPr="00DD2D90">
        <w:rPr>
          <w:rStyle w:val="StyleUnderline"/>
          <w:highlight w:val="green"/>
        </w:rPr>
        <w:t>like</w:t>
      </w:r>
      <w:r w:rsidRPr="00DD2D90">
        <w:rPr>
          <w:rStyle w:val="StyleUnderline"/>
        </w:rPr>
        <w:t xml:space="preserve"> COVID-19 and </w:t>
      </w:r>
      <w:r w:rsidRPr="00DD2D90">
        <w:rPr>
          <w:rStyle w:val="StyleUnderline"/>
          <w:highlight w:val="green"/>
        </w:rPr>
        <w:t>the Spanish flu are</w:t>
      </w:r>
      <w:r w:rsidRPr="00DD2D90">
        <w:rPr>
          <w:rStyle w:val="StyleUnderline"/>
        </w:rPr>
        <w:t xml:space="preserve"> </w:t>
      </w:r>
      <w:r w:rsidRPr="009278EB">
        <w:rPr>
          <w:sz w:val="16"/>
        </w:rPr>
        <w:t>relatively</w:t>
      </w:r>
      <w:r w:rsidRPr="00DD2D90">
        <w:rPr>
          <w:rStyle w:val="StyleUnderline"/>
        </w:rPr>
        <w:t xml:space="preserve"> </w:t>
      </w:r>
      <w:r w:rsidRPr="00DD2D90">
        <w:rPr>
          <w:rStyle w:val="Emphasis"/>
          <w:highlight w:val="green"/>
        </w:rPr>
        <w:t>likely</w:t>
      </w:r>
      <w:r w:rsidRPr="009278EB">
        <w:rPr>
          <w:sz w:val="16"/>
        </w:rPr>
        <w:t xml:space="preserve">,” said William Pan, Ph.D., associate professor of global environmental health at Duke and one of the paper’s co-authors. </w:t>
      </w:r>
      <w:r w:rsidRPr="00DD2D90">
        <w:rPr>
          <w:rStyle w:val="StyleUnderline"/>
        </w:rPr>
        <w:t>Understand</w:t>
      </w:r>
      <w:r w:rsidRPr="009278EB">
        <w:rPr>
          <w:sz w:val="16"/>
        </w:rPr>
        <w:t xml:space="preserve">ing that </w:t>
      </w:r>
      <w:r w:rsidRPr="00DD2D90">
        <w:rPr>
          <w:rStyle w:val="StyleUnderline"/>
        </w:rPr>
        <w:t>pandemics aren’t so rare</w:t>
      </w:r>
      <w:r w:rsidRPr="009278EB">
        <w:rPr>
          <w:sz w:val="16"/>
        </w:rPr>
        <w:t xml:space="preserve"> should raise the priority of efforts to prevent and control them in the future, he said. The study, led by Marco Marani, Ph.D., of the University of Padua in Italy, used new statistical methods to measure the scale and frequency of disease outbreaks for which there was no immediate medical intervention over the past four centuries. Their analysis, which covered a murderer’s row of pathogens including plague, smallpox, cholera, typhus and novel influenza viruses, found considerable variability in the rate at which pandemics have occurred in the past. But they also identified patterns that allowed them to describe the probabilities of similar-scale events happening again. In the case of the deadliest pandemic in modern history – </w:t>
      </w:r>
      <w:r w:rsidRPr="00DD2D90">
        <w:rPr>
          <w:rStyle w:val="StyleUnderline"/>
        </w:rPr>
        <w:t>the Spanish flu</w:t>
      </w:r>
      <w:r w:rsidRPr="009278EB">
        <w:rPr>
          <w:sz w:val="16"/>
        </w:rPr>
        <w:t xml:space="preserve">, which </w:t>
      </w:r>
      <w:r w:rsidRPr="00DD2D90">
        <w:rPr>
          <w:rStyle w:val="StyleUnderline"/>
        </w:rPr>
        <w:t xml:space="preserve">killed more than </w:t>
      </w:r>
      <w:r w:rsidRPr="00DD2D90">
        <w:rPr>
          <w:rStyle w:val="Emphasis"/>
        </w:rPr>
        <w:t>30 million</w:t>
      </w:r>
      <w:r w:rsidRPr="00DD2D90">
        <w:rPr>
          <w:rStyle w:val="StyleUnderline"/>
        </w:rPr>
        <w:t xml:space="preserve"> people between 1918 and 1920</w:t>
      </w:r>
      <w:r w:rsidRPr="009278EB">
        <w:rPr>
          <w:sz w:val="16"/>
        </w:rPr>
        <w:t xml:space="preserve"> -- the probability of a pandemic of similar magnitude occurring ranged from 0.3% to 1.9% per year over the time period studied. Taken another way, those figures mean it is statistically likely that a pandemic of such extreme scale would occur within the next 400 years. In the case of the deadliest pandemic in modern history – the Spanish flu, which killed more than 30 million people between 1918 and 1920 -- the probability of a pandemic of similar magnitude occurring ranged from 0.3% to 1.9% per year over the time period studied. Taken another way, those figures mean it is statistically likely that a pandemic of such extreme scale would occur within the next 400 years. But the data also show </w:t>
      </w:r>
      <w:r w:rsidRPr="00DD2D90">
        <w:rPr>
          <w:rStyle w:val="StyleUnderline"/>
        </w:rPr>
        <w:t xml:space="preserve">the risk of intense outbreaks is growing </w:t>
      </w:r>
      <w:r w:rsidRPr="00DD2D90">
        <w:rPr>
          <w:rStyle w:val="Emphasis"/>
        </w:rPr>
        <w:t>rapidly</w:t>
      </w:r>
      <w:r w:rsidRPr="009278EB">
        <w:rPr>
          <w:sz w:val="16"/>
        </w:rPr>
        <w:t xml:space="preserve">. Based on the increasing rate at which novel pathogens such as SARS-CoV-2 have broken loose in human populations in the past 50 years, the study estimates that </w:t>
      </w:r>
      <w:r w:rsidRPr="00DD2D90">
        <w:rPr>
          <w:rStyle w:val="StyleUnderline"/>
        </w:rPr>
        <w:t xml:space="preserve">the </w:t>
      </w:r>
      <w:r w:rsidRPr="00DD2D90">
        <w:rPr>
          <w:rStyle w:val="StyleUnderline"/>
          <w:highlight w:val="green"/>
        </w:rPr>
        <w:t>probability</w:t>
      </w:r>
      <w:r w:rsidRPr="00DD2D90">
        <w:rPr>
          <w:rStyle w:val="StyleUnderline"/>
        </w:rPr>
        <w:t xml:space="preserve"> of novel disease outbreaks </w:t>
      </w:r>
      <w:r w:rsidRPr="00DD2D90">
        <w:rPr>
          <w:rStyle w:val="StyleUnderline"/>
          <w:highlight w:val="green"/>
        </w:rPr>
        <w:t>will</w:t>
      </w:r>
      <w:r w:rsidRPr="00DD2D90">
        <w:rPr>
          <w:rStyle w:val="StyleUnderline"/>
        </w:rPr>
        <w:t xml:space="preserve"> likely </w:t>
      </w:r>
      <w:r w:rsidRPr="00DD2D90">
        <w:rPr>
          <w:rStyle w:val="StyleUnderline"/>
          <w:highlight w:val="green"/>
        </w:rPr>
        <w:t xml:space="preserve">grow </w:t>
      </w:r>
      <w:r w:rsidRPr="00DD2D90">
        <w:rPr>
          <w:rStyle w:val="Emphasis"/>
          <w:highlight w:val="green"/>
        </w:rPr>
        <w:t>three-fold</w:t>
      </w:r>
      <w:r w:rsidRPr="00DD2D90">
        <w:rPr>
          <w:rStyle w:val="StyleUnderline"/>
        </w:rPr>
        <w:t xml:space="preserve"> in the next few decades. </w:t>
      </w:r>
      <w:r w:rsidRPr="009278EB">
        <w:rPr>
          <w:sz w:val="16"/>
        </w:rPr>
        <w:t xml:space="preserve">Using this increased risk factor, the researchers estimate that </w:t>
      </w:r>
      <w:r w:rsidRPr="00DD2D90">
        <w:rPr>
          <w:rStyle w:val="StyleUnderline"/>
          <w:highlight w:val="green"/>
        </w:rPr>
        <w:t>a pandemic</w:t>
      </w:r>
      <w:r w:rsidRPr="00DD2D90">
        <w:rPr>
          <w:rStyle w:val="StyleUnderline"/>
        </w:rPr>
        <w:t xml:space="preserve"> </w:t>
      </w:r>
      <w:r w:rsidRPr="00DD2D90">
        <w:rPr>
          <w:rStyle w:val="StyleUnderline"/>
          <w:highlight w:val="green"/>
        </w:rPr>
        <w:t>similar</w:t>
      </w:r>
      <w:r w:rsidRPr="00DD2D90">
        <w:rPr>
          <w:rStyle w:val="StyleUnderline"/>
        </w:rPr>
        <w:t xml:space="preserve"> in scale </w:t>
      </w:r>
      <w:r w:rsidRPr="00DD2D90">
        <w:rPr>
          <w:rStyle w:val="StyleUnderline"/>
          <w:highlight w:val="green"/>
        </w:rPr>
        <w:t>to COVID</w:t>
      </w:r>
      <w:r w:rsidRPr="00DD2D90">
        <w:rPr>
          <w:rStyle w:val="StyleUnderline"/>
        </w:rPr>
        <w:t xml:space="preserve">-19 </w:t>
      </w:r>
      <w:r w:rsidRPr="00DD2D90">
        <w:rPr>
          <w:rStyle w:val="StyleUnderline"/>
          <w:highlight w:val="green"/>
        </w:rPr>
        <w:t>is likely within</w:t>
      </w:r>
      <w:r w:rsidRPr="00DD2D90">
        <w:rPr>
          <w:rStyle w:val="StyleUnderline"/>
        </w:rPr>
        <w:t xml:space="preserve"> a span of </w:t>
      </w:r>
      <w:r w:rsidRPr="00DD2D90">
        <w:rPr>
          <w:rStyle w:val="StyleUnderline"/>
          <w:highlight w:val="green"/>
        </w:rPr>
        <w:t>59 years</w:t>
      </w:r>
      <w:r w:rsidRPr="009278EB">
        <w:rPr>
          <w:sz w:val="16"/>
        </w:rPr>
        <w:t xml:space="preserve">, a result they write is “much lower than intuitively expected.” Although not included in the PNAS paper, they also calculated the probability of a pandemic capable of eliminating all human life, finding it statistically likely within the next 12,000 years. </w:t>
      </w:r>
      <w:r w:rsidRPr="00DD2D90">
        <w:rPr>
          <w:rStyle w:val="StyleUnderline"/>
        </w:rPr>
        <w:t>That is not to say</w:t>
      </w:r>
      <w:r w:rsidRPr="009278EB">
        <w:rPr>
          <w:sz w:val="16"/>
        </w:rPr>
        <w:t xml:space="preserve"> we can count on a 59-year reprieve from a COVID-like pandemic, nor that </w:t>
      </w:r>
      <w:r w:rsidRPr="00DD2D90">
        <w:rPr>
          <w:rStyle w:val="StyleUnderline"/>
        </w:rPr>
        <w:t xml:space="preserve">we’re off the hook for a </w:t>
      </w:r>
      <w:r w:rsidRPr="00DD2D90">
        <w:rPr>
          <w:rStyle w:val="StyleUnderline"/>
          <w:highlight w:val="green"/>
        </w:rPr>
        <w:t>calamity</w:t>
      </w:r>
      <w:r w:rsidRPr="009278EB">
        <w:rPr>
          <w:sz w:val="16"/>
        </w:rPr>
        <w:t xml:space="preserve"> on the scale of the Spanish flu </w:t>
      </w:r>
      <w:r w:rsidRPr="00DD2D90">
        <w:rPr>
          <w:rStyle w:val="StyleUnderline"/>
        </w:rPr>
        <w:t>for</w:t>
      </w:r>
      <w:r w:rsidRPr="009278EB">
        <w:rPr>
          <w:sz w:val="16"/>
        </w:rPr>
        <w:t xml:space="preserve"> another 300 </w:t>
      </w:r>
      <w:r w:rsidRPr="00DD2D90">
        <w:rPr>
          <w:rStyle w:val="StyleUnderline"/>
        </w:rPr>
        <w:t>years</w:t>
      </w:r>
      <w:r w:rsidRPr="009278EB">
        <w:rPr>
          <w:sz w:val="16"/>
        </w:rPr>
        <w:t xml:space="preserve">. Such events </w:t>
      </w:r>
      <w:r w:rsidRPr="00DD2D90">
        <w:rPr>
          <w:rStyle w:val="StyleUnderline"/>
          <w:highlight w:val="green"/>
        </w:rPr>
        <w:t>are equally probable in any year</w:t>
      </w:r>
      <w:r w:rsidRPr="00DD2D90">
        <w:rPr>
          <w:rStyle w:val="StyleUnderline"/>
        </w:rPr>
        <w:t xml:space="preserve"> during the span</w:t>
      </w:r>
      <w:r w:rsidRPr="009278EB">
        <w:rPr>
          <w:sz w:val="16"/>
        </w:rPr>
        <w:t xml:space="preserve">, said Gabriel Katul, Ph.D., the Theodore S. Coile Distinguished Professor of Hydrology and Micrometeorology at Duke and another of the paper’s authors. “When a 100-year flood occurs today, one may erroneously presume that one can afford to wait another 100 years before experiencing another such event,” Katul says. “This impression is false. One </w:t>
      </w:r>
      <w:r w:rsidRPr="00DD2D90">
        <w:rPr>
          <w:rStyle w:val="StyleUnderline"/>
        </w:rPr>
        <w:t>can get another 100-year flood the next year</w:t>
      </w:r>
      <w:r w:rsidRPr="009278EB">
        <w:rPr>
          <w:sz w:val="16"/>
        </w:rPr>
        <w:t xml:space="preserve">.” As an environmental health scientist, Pan can speculate on the reasons </w:t>
      </w:r>
      <w:r w:rsidRPr="00DD2D90">
        <w:rPr>
          <w:rStyle w:val="StyleUnderline"/>
        </w:rPr>
        <w:t>outbreaks are becoming more frequent</w:t>
      </w:r>
      <w:r w:rsidRPr="009278EB">
        <w:rPr>
          <w:sz w:val="16"/>
        </w:rPr>
        <w:t xml:space="preserve">, </w:t>
      </w:r>
      <w:r w:rsidRPr="00DD2D90">
        <w:rPr>
          <w:rStyle w:val="StyleUnderline"/>
        </w:rPr>
        <w:t>noting</w:t>
      </w:r>
      <w:r w:rsidRPr="009278EB">
        <w:rPr>
          <w:sz w:val="16"/>
        </w:rPr>
        <w:t xml:space="preserve"> that </w:t>
      </w:r>
      <w:r w:rsidRPr="00DD2D90">
        <w:rPr>
          <w:rStyle w:val="StyleUnderline"/>
          <w:highlight w:val="green"/>
        </w:rPr>
        <w:t>population growth, changes in food systems, environmental degradation and more frequent contact between humans and disease-harboring animals</w:t>
      </w:r>
      <w:r w:rsidRPr="009278EB">
        <w:rPr>
          <w:sz w:val="16"/>
        </w:rPr>
        <w:t xml:space="preserve"> all may be significant factors. He emphasizes the statistical analysis sought only to characterize the risks, not to explain what is driving them. But at the same time, he hopes the study will spark deeper exploration of the factors that may be making devastating pandemics more likely – and how to counteract them. “This points to the importance of early response to disease outbreaks and building capacity for pandemic surveillance at the local and global scales, as well as for setting a research agenda for understanding why large outbreaks are becoming more common,” Pan said. Marani, the paper’s lead author, holds an adjunct appointment at Duke, where he previously was a professor of civil and environmental engineering. Another co-author, Anthony Parolari, Ph.D., of Marquette University, is a former Duke postdoctoral researcher. </w:t>
      </w:r>
    </w:p>
    <w:p w14:paraId="34A0F67A" w14:textId="55C15320" w:rsidR="00C10687" w:rsidRPr="009278EB" w:rsidRDefault="000F64BA" w:rsidP="00C10687">
      <w:pPr>
        <w:pStyle w:val="Heading4"/>
        <w:rPr>
          <w:szCs w:val="26"/>
        </w:rPr>
      </w:pPr>
      <w:r w:rsidRPr="009278EB">
        <w:rPr>
          <w:szCs w:val="26"/>
        </w:rPr>
        <w:t>Future p</w:t>
      </w:r>
      <w:r w:rsidR="00C10687" w:rsidRPr="009278EB">
        <w:rPr>
          <w:szCs w:val="26"/>
        </w:rPr>
        <w:t xml:space="preserve">andemics </w:t>
      </w:r>
      <w:r w:rsidRPr="009278EB">
        <w:rPr>
          <w:szCs w:val="26"/>
        </w:rPr>
        <w:t xml:space="preserve">are inevitable, but will be </w:t>
      </w:r>
      <w:r w:rsidR="00C10687" w:rsidRPr="009278EB">
        <w:rPr>
          <w:szCs w:val="26"/>
        </w:rPr>
        <w:t>worse than C</w:t>
      </w:r>
      <w:r w:rsidRPr="009278EB">
        <w:rPr>
          <w:szCs w:val="26"/>
        </w:rPr>
        <w:t xml:space="preserve">OVID </w:t>
      </w:r>
      <w:r w:rsidR="00C10687" w:rsidRPr="009278EB">
        <w:rPr>
          <w:szCs w:val="26"/>
        </w:rPr>
        <w:t>– preparedness is key</w:t>
      </w:r>
      <w:r w:rsidRPr="009278EB">
        <w:rPr>
          <w:szCs w:val="26"/>
        </w:rPr>
        <w:t xml:space="preserve"> to minimize calamity</w:t>
      </w:r>
    </w:p>
    <w:p w14:paraId="1E1C6F01" w14:textId="77777777" w:rsidR="00C10687" w:rsidRPr="00DD2D90" w:rsidRDefault="00C10687" w:rsidP="00C10687">
      <w:r w:rsidRPr="009278EB">
        <w:rPr>
          <w:b/>
          <w:bCs/>
          <w:sz w:val="26"/>
          <w:szCs w:val="26"/>
        </w:rPr>
        <w:t>Islam et al. 25</w:t>
      </w:r>
      <w:r w:rsidRPr="00DD2D90">
        <w:t xml:space="preserve"> [Safowan Bin Islam, Faculty of Pharmacy at the University of Dhaka, Taposhi Nahid Sultana, Department of Pharmacy at Independent University, Syed Masudur Rahman Dewan, School of Life Sciences at United International University, Md. Sohan, Department of Pharmacy at the University of Asia Pacific, Mohiuddin Ahmed Bhuiyan, Department of Pharmacy at the University of Asia Pacific, and Md. Rabiul Islam, School of Pharmacy at BRAC University, 04-29-2025, “Environmental Health Risk Evaluation and Potential to Cause Disease X as a Global Pandemic: A Call for Global Preparedness,” Health Science Reports, https://pmc.ncbi.nlm.nih.gov/articles/PMC12106886/pdf/HSR2-8-e70864.pdf]/Kankee</w:t>
      </w:r>
    </w:p>
    <w:p w14:paraId="43DB342F" w14:textId="77777777" w:rsidR="00C10687" w:rsidRPr="009278EB" w:rsidRDefault="00C10687" w:rsidP="00C10687">
      <w:pPr>
        <w:rPr>
          <w:sz w:val="16"/>
        </w:rPr>
      </w:pPr>
      <w:r w:rsidRPr="009278EB">
        <w:rPr>
          <w:sz w:val="16"/>
        </w:rPr>
        <w:t xml:space="preserve">1 | Background Disease X is a placeholder concept that represents a potential future pandemic‐causing pathogen that has not yet been iden- tified. Its main motive is to prepare mankind for further dev- astating pandemics like COVID‐19 [1]. In February 2018, the World Health Organization (WHO) created a proxy name for disease X in their shortlist of blueprint priority diseases, rep- resenting an unknown pathogen capable of causing an epi- demic [2]. The list is not limited but consists of COVID‐19, Ebola, Nipah, and Zika viruses [3]. The most recent </w:t>
      </w:r>
      <w:r w:rsidRPr="00DD2D90">
        <w:rPr>
          <w:rStyle w:val="StyleUnderline"/>
          <w:highlight w:val="green"/>
        </w:rPr>
        <w:t>COVID</w:t>
      </w:r>
      <w:r w:rsidRPr="009278EB">
        <w:rPr>
          <w:sz w:val="16"/>
        </w:rPr>
        <w:t xml:space="preserve">‐19 pandemic </w:t>
      </w:r>
      <w:r w:rsidRPr="00DD2D90">
        <w:rPr>
          <w:rStyle w:val="StyleUnderline"/>
          <w:highlight w:val="green"/>
        </w:rPr>
        <w:t>is</w:t>
      </w:r>
      <w:r w:rsidRPr="009278EB">
        <w:rPr>
          <w:sz w:val="16"/>
        </w:rPr>
        <w:t xml:space="preserve"> regarded as </w:t>
      </w:r>
      <w:r w:rsidRPr="00DD2D90">
        <w:rPr>
          <w:rStyle w:val="StyleUnderline"/>
          <w:highlight w:val="green"/>
        </w:rPr>
        <w:t xml:space="preserve">the first </w:t>
      </w:r>
      <w:r w:rsidRPr="00DD2D90">
        <w:rPr>
          <w:rStyle w:val="Emphasis"/>
          <w:highlight w:val="green"/>
        </w:rPr>
        <w:t>disease X</w:t>
      </w:r>
      <w:r w:rsidRPr="00DD2D90">
        <w:rPr>
          <w:rStyle w:val="StyleUnderline"/>
          <w:highlight w:val="green"/>
        </w:rPr>
        <w:t xml:space="preserve"> in</w:t>
      </w:r>
      <w:r w:rsidRPr="009278EB">
        <w:rPr>
          <w:sz w:val="16"/>
        </w:rPr>
        <w:t xml:space="preserve"> human </w:t>
      </w:r>
      <w:r w:rsidRPr="00DD2D90">
        <w:rPr>
          <w:rStyle w:val="StyleUnderline"/>
          <w:highlight w:val="green"/>
        </w:rPr>
        <w:t>history</w:t>
      </w:r>
      <w:r w:rsidRPr="009278EB">
        <w:rPr>
          <w:sz w:val="16"/>
        </w:rPr>
        <w:t xml:space="preserve"> [4]. Disease X is assumed to be caused by pathogen X. This type of disease is considered a zoonosis, preferably driven by an RNA virus [5]. When the virus comes into contact with favorable conditions, it can transmit at a higher rate and cause a pan- demic [6]. These viruses are airborne (spread via the respiratory system), silent (transmitted by infected people), and harmful (no present vaccines or therapeutic agents). Moreover, humans have no developed immunity against these viruses [7]. Mam- mals and bird hosts comprise the most important reservoirs of viral pathogens [8]. Surprisingly, there is no definite answer regarding the next pathogen X. Viruses, bacteria, fungi, parasites, and prions are the most likely candidates to be pathogen X. Bacteria and prions are the two most frequent pathogens (around 80%) found in zoonotic infections [9]. A list of possible pathogens with the potential to cause emerging infectious diseases has been summarized in Table 1 [10]. Along with naturally mutating pathogens, concerns are also arising for laboratory‐engineered pathogens for bioterrorism [11]. That is why widespread concerns have arisen to fight this type of dis- ease X. In 2018, the World Health Organization (WHO) pre- pared a Research and Development (R&amp;D) Blueprint List of Priority Diseases, including disease X, to facilitate faster ex- periments and the development of therapeutic agents [12]. By undergoing genetic mutation, this type of pathogen can gain a form that can be life‐threatening. Therefore, vigorous research and preparedness are required to fight against disease X or the upcoming pathogen effectively. This study focuses on identify- ing the potential sources, mode of transmission, and control strategies and guidelines for disease X, to prevent future pan- demics and establish effective measures of containment. Con- sidering the current public health infrastructure, we will propose a comprehensive guideline aimed at enhancing pre- paredness against disease X. 2 | Methodology We conducted a detailed literature search related to pandemic, disease X, and emerging diseases like epidemiology, zoonotic infections, viral pathogenesis, and transmission, and collected the necessary information from the relevant sources. 2.1 | Potential Risk Factors of Disease X One of the risk factors of a pandemic is climate change, as it shows a more prominent impact on the transmission of zoo- notic infections. Close contact between humans and wildlife due to environmental degradation may increase the possibility of a future pandemic like COVID‐19. Loss of habitat and poaching may cause the initial emergence of infectious diseases, although the extent of their outbreak is largely governed by demographic factors such as denser settlement, increased migration, and travel [13]. Moreover, antibiotic resistance is a significant risk factor for the spread of zoonotic pathogens. Finally, the shortage of healthcare personnel and the insuffi- cient availability of proper diagnostic tools contribute to the cause [5, 14, 15]. Climate change can influence any future pandemic [16]. Such climate changes would be a causative factor for changing the suitability of various areas for particular biomes, resulting in the shifting of plants and animals (e.g., vectors). This incident facilitates the mixing of different species as the ecosystem changes, and changes the human‐animal‐ environmental interfaces. New animal‐to‐animal cross‐over infections could result from novel mixing patterns of several pathogen, plant, and animal species unique to each [17]. Fur- thermore, shifts in species distribution, environmental deterio- ration, failures in agriculture, or livestock deaths, for instance, could modify how people engage with wildlife, increasing the risk of transmission of zoonotic pathogens and population dynamics leading to human‐to‐human transmission [18]. Additionally, rising temperatures of the Earth might force the wildlife to migrate to regions with dense human populations, heightening the risk of viral transmission from animals to hu- mans and potentially sparking the next pandemic [19]. 2.2 | Possible Consequences of Disease X </w:t>
      </w:r>
      <w:r w:rsidRPr="00DD2D90">
        <w:rPr>
          <w:rStyle w:val="StyleUnderline"/>
        </w:rPr>
        <w:t xml:space="preserve">The </w:t>
      </w:r>
      <w:r w:rsidRPr="00DD2D90">
        <w:rPr>
          <w:rStyle w:val="Emphasis"/>
        </w:rPr>
        <w:t>severity</w:t>
      </w:r>
      <w:r w:rsidRPr="00DD2D90">
        <w:rPr>
          <w:rStyle w:val="StyleUnderline"/>
        </w:rPr>
        <w:t xml:space="preserve"> and </w:t>
      </w:r>
      <w:r w:rsidRPr="00DD2D90">
        <w:rPr>
          <w:rStyle w:val="Emphasis"/>
        </w:rPr>
        <w:t>fatality</w:t>
      </w:r>
      <w:r w:rsidRPr="00DD2D90">
        <w:rPr>
          <w:rStyle w:val="StyleUnderline"/>
        </w:rPr>
        <w:t xml:space="preserve"> of disease X might be </w:t>
      </w:r>
      <w:r w:rsidRPr="00DD2D90">
        <w:rPr>
          <w:rStyle w:val="Emphasis"/>
        </w:rPr>
        <w:t xml:space="preserve">much higher </w:t>
      </w:r>
      <w:r w:rsidRPr="00DD2D90">
        <w:rPr>
          <w:rStyle w:val="StyleUnderline"/>
        </w:rPr>
        <w:t>than</w:t>
      </w:r>
      <w:r w:rsidRPr="009278EB">
        <w:rPr>
          <w:sz w:val="16"/>
        </w:rPr>
        <w:t xml:space="preserve"> in any previous pandemics, such as </w:t>
      </w:r>
      <w:r w:rsidRPr="00DD2D90">
        <w:rPr>
          <w:rStyle w:val="StyleUnderline"/>
        </w:rPr>
        <w:t>COVID</w:t>
      </w:r>
      <w:r w:rsidRPr="009278EB">
        <w:rPr>
          <w:sz w:val="16"/>
        </w:rPr>
        <w:t xml:space="preserve">‐19, </w:t>
      </w:r>
      <w:r w:rsidRPr="00DD2D90">
        <w:rPr>
          <w:rStyle w:val="StyleUnderline"/>
        </w:rPr>
        <w:t>owing to a lack of available vaccine, high costs, and substantial economic and social consequences</w:t>
      </w:r>
      <w:r w:rsidRPr="009278EB">
        <w:rPr>
          <w:sz w:val="16"/>
        </w:rPr>
        <w:t xml:space="preserve">. The next disease X may potentially arise from spillover events between wildlife and humans, fol- lowed by mutations that enhance human‐to‐human transmis- sion [20]. It has been indicated that viral mutations in animal reservoirs before the virus is passed to humans represent a more efficient transmission route, highlighting the risks associated with the “unknown unknowns” [21]. The fact that when and where disease X will emerge is unknown, making the human race more vulnerable. </w:t>
      </w:r>
      <w:r w:rsidRPr="00DD2D90">
        <w:rPr>
          <w:rStyle w:val="StyleUnderline"/>
          <w:highlight w:val="green"/>
        </w:rPr>
        <w:t>The only known fact is that</w:t>
      </w:r>
      <w:r w:rsidRPr="00DD2D90">
        <w:rPr>
          <w:rStyle w:val="StyleUnderline"/>
        </w:rPr>
        <w:t xml:space="preserve"> </w:t>
      </w:r>
      <w:r w:rsidRPr="00DD2D90">
        <w:rPr>
          <w:rStyle w:val="StyleUnderline"/>
          <w:highlight w:val="green"/>
        </w:rPr>
        <w:t>disease X will happen</w:t>
      </w:r>
      <w:r w:rsidRPr="009278EB">
        <w:rPr>
          <w:sz w:val="16"/>
        </w:rPr>
        <w:t xml:space="preserve"> [8]. COVID‐19 has demonstrated the fact that pan- demics not only take a toll on human lives but also crumple the economy worldwide. Similarly, </w:t>
      </w:r>
      <w:r w:rsidRPr="00DD2D90">
        <w:rPr>
          <w:rStyle w:val="StyleUnderline"/>
          <w:highlight w:val="green"/>
        </w:rPr>
        <w:t>disease</w:t>
      </w:r>
      <w:r w:rsidRPr="009278EB">
        <w:rPr>
          <w:sz w:val="16"/>
        </w:rPr>
        <w:t xml:space="preserve"> </w:t>
      </w:r>
      <w:r w:rsidRPr="00DD2D90">
        <w:rPr>
          <w:rStyle w:val="StyleUnderline"/>
          <w:highlight w:val="green"/>
        </w:rPr>
        <w:t>X will</w:t>
      </w:r>
      <w:r w:rsidRPr="009278EB">
        <w:rPr>
          <w:sz w:val="16"/>
        </w:rPr>
        <w:t xml:space="preserve"> </w:t>
      </w:r>
      <w:r w:rsidRPr="00DD2D90">
        <w:rPr>
          <w:rStyle w:val="StyleUnderline"/>
          <w:highlight w:val="green"/>
        </w:rPr>
        <w:t>come with</w:t>
      </w:r>
      <w:r w:rsidRPr="009278EB">
        <w:rPr>
          <w:sz w:val="16"/>
        </w:rPr>
        <w:t xml:space="preserve"> a crisis in personal and social life, with </w:t>
      </w:r>
      <w:r w:rsidRPr="00DD2D90">
        <w:rPr>
          <w:rStyle w:val="StyleUnderline"/>
          <w:highlight w:val="green"/>
        </w:rPr>
        <w:t xml:space="preserve">economic </w:t>
      </w:r>
      <w:r w:rsidRPr="00DD2D90">
        <w:rPr>
          <w:rStyle w:val="Emphasis"/>
          <w:highlight w:val="green"/>
        </w:rPr>
        <w:t>catastrophe</w:t>
      </w:r>
      <w:r w:rsidRPr="009278EB">
        <w:rPr>
          <w:sz w:val="16"/>
        </w:rPr>
        <w:t xml:space="preserve">. As per a UK healthcare professional, </w:t>
      </w:r>
      <w:r w:rsidRPr="00DD2D90">
        <w:rPr>
          <w:rStyle w:val="StyleUnderline"/>
        </w:rPr>
        <w:t>the upcoming</w:t>
      </w:r>
      <w:r w:rsidRPr="009278EB">
        <w:rPr>
          <w:sz w:val="16"/>
        </w:rPr>
        <w:t xml:space="preserve"> </w:t>
      </w:r>
      <w:r w:rsidRPr="00DD2D90">
        <w:rPr>
          <w:rStyle w:val="StyleUnderline"/>
          <w:highlight w:val="green"/>
        </w:rPr>
        <w:t>disease X</w:t>
      </w:r>
      <w:r w:rsidRPr="009278EB">
        <w:rPr>
          <w:sz w:val="16"/>
        </w:rPr>
        <w:t xml:space="preserve"> </w:t>
      </w:r>
      <w:r w:rsidRPr="00DD2D90">
        <w:rPr>
          <w:rStyle w:val="StyleUnderline"/>
          <w:highlight w:val="green"/>
        </w:rPr>
        <w:t>would</w:t>
      </w:r>
      <w:r w:rsidRPr="00DD2D90">
        <w:rPr>
          <w:rStyle w:val="StyleUnderline"/>
        </w:rPr>
        <w:t xml:space="preserve"> have the ability to </w:t>
      </w:r>
      <w:r w:rsidRPr="00DD2D90">
        <w:rPr>
          <w:rStyle w:val="StyleUnderline"/>
          <w:highlight w:val="green"/>
        </w:rPr>
        <w:t xml:space="preserve">be </w:t>
      </w:r>
      <w:r w:rsidRPr="00DD2D90">
        <w:rPr>
          <w:rStyle w:val="Emphasis"/>
          <w:highlight w:val="green"/>
        </w:rPr>
        <w:t xml:space="preserve">20 times </w:t>
      </w:r>
      <w:r w:rsidRPr="00DD2D90">
        <w:rPr>
          <w:rStyle w:val="StyleUnderline"/>
          <w:highlight w:val="green"/>
        </w:rPr>
        <w:t>more fatal</w:t>
      </w:r>
      <w:r w:rsidRPr="00DD2D90">
        <w:rPr>
          <w:rStyle w:val="StyleUnderline"/>
        </w:rPr>
        <w:t xml:space="preserve"> than </w:t>
      </w:r>
      <w:r w:rsidRPr="009278EB">
        <w:rPr>
          <w:sz w:val="16"/>
        </w:rPr>
        <w:t xml:space="preserve">the recent </w:t>
      </w:r>
      <w:r w:rsidRPr="00DD2D90">
        <w:rPr>
          <w:rStyle w:val="StyleUnderline"/>
        </w:rPr>
        <w:t>COVID</w:t>
      </w:r>
      <w:r w:rsidRPr="009278EB">
        <w:rPr>
          <w:sz w:val="16"/>
        </w:rPr>
        <w:t xml:space="preserve">‐19, </w:t>
      </w:r>
      <w:r w:rsidRPr="00DD2D90">
        <w:rPr>
          <w:rStyle w:val="StyleUnderline"/>
          <w:highlight w:val="green"/>
        </w:rPr>
        <w:t>and</w:t>
      </w:r>
      <w:r w:rsidRPr="009278EB">
        <w:rPr>
          <w:sz w:val="16"/>
        </w:rPr>
        <w:t xml:space="preserve"> it </w:t>
      </w:r>
      <w:r w:rsidRPr="00DD2D90">
        <w:rPr>
          <w:rStyle w:val="StyleUnderline"/>
          <w:highlight w:val="green"/>
        </w:rPr>
        <w:t>could</w:t>
      </w:r>
      <w:r w:rsidRPr="00DD2D90">
        <w:rPr>
          <w:rStyle w:val="StyleUnderline"/>
        </w:rPr>
        <w:t xml:space="preserve"> take</w:t>
      </w:r>
      <w:r w:rsidRPr="009278EB">
        <w:rPr>
          <w:sz w:val="16"/>
        </w:rPr>
        <w:t xml:space="preserve"> about </w:t>
      </w:r>
      <w:r w:rsidRPr="00DD2D90">
        <w:rPr>
          <w:rStyle w:val="Emphasis"/>
          <w:highlight w:val="green"/>
        </w:rPr>
        <w:t>50 million</w:t>
      </w:r>
      <w:r w:rsidRPr="009278EB">
        <w:rPr>
          <w:sz w:val="16"/>
          <w:highlight w:val="green"/>
        </w:rPr>
        <w:t xml:space="preserve"> </w:t>
      </w:r>
      <w:r w:rsidRPr="00DD2D90">
        <w:rPr>
          <w:rStyle w:val="StyleUnderline"/>
          <w:highlight w:val="green"/>
        </w:rPr>
        <w:t>lives</w:t>
      </w:r>
      <w:r w:rsidRPr="009278EB">
        <w:rPr>
          <w:sz w:val="16"/>
        </w:rPr>
        <w:t xml:space="preserve"> [22], </w:t>
      </w:r>
      <w:r w:rsidRPr="00DD2D90">
        <w:rPr>
          <w:rStyle w:val="StyleUnderline"/>
        </w:rPr>
        <w:t>while COVID</w:t>
      </w:r>
      <w:r w:rsidRPr="009278EB">
        <w:rPr>
          <w:sz w:val="16"/>
        </w:rPr>
        <w:t xml:space="preserve">‐19 </w:t>
      </w:r>
      <w:r w:rsidRPr="00DD2D90">
        <w:rPr>
          <w:rStyle w:val="StyleUnderline"/>
        </w:rPr>
        <w:t>has taken</w:t>
      </w:r>
      <w:r w:rsidRPr="009278EB">
        <w:rPr>
          <w:sz w:val="16"/>
        </w:rPr>
        <w:t xml:space="preserve"> the lives of roughly </w:t>
      </w:r>
      <w:r w:rsidRPr="00DD2D90">
        <w:rPr>
          <w:rStyle w:val="StyleUnderline"/>
        </w:rPr>
        <w:t>7 million</w:t>
      </w:r>
      <w:r w:rsidRPr="009278EB">
        <w:rPr>
          <w:sz w:val="16"/>
        </w:rPr>
        <w:t xml:space="preserve"> people globally [23]. Both COVID‐19 and disease X have the potential to cause a global pandemic. Moreover, COVID‐19 is an infec- tious disease caused by the SARS‐CoV‐2 virus, [24] and scien- tists anticipate that disease X will most likely arise from a new virus that belongs to 1 of around 25 virus families that have previously shown their potential to cause disease in humans [25]. It has been hypothesized that disease X will probably emerge from a highly virulent RNA virus that has high muta- bility owing to error‐prone reverse transcriptase. RNA viruses were also responsible for the recent devastating events, including HIV, influenza H1N1 and H5N1, severe acute respi- ratory syndrome coronavirus, Lassa virus, Ebola virus, and Middle East respiratory syndrome coronavirus [26]. 2.3 | Viral Characteristics and Recent Pandemics RNA viruses are responsible for recent infectious disease out- breaks, whereas viral pathogens are known to be a small part of disease‐causing pathogens. Furthermore, the RNA viruses rep- licate within the cytoplasm and spread faster, making the dis- ease more fatal. Additionally, error‐prone RNA viruses have emerged, which offer mutability and allow them to invade host species. The recent variants of Ebola, Nipah virus encephalitis, and SARS‐COV are the perfect examples of this phenomenon [9]. Moreover, among the 25 viral families, about 0.631 to 0.827 million undiscovered viruses are estimated to have the potential to infect humans. The novel microorganisms represent a fresh episode in a lengthy emerging trend. From 1940 to 2004, a zoonotic origin was present in 60% of the approximately 335 pathogens causing illness. Of these 335 pathogens, 71% are from wildlife [21]. 2.4 | Key Strategies to Avoid Any Future Global Pandemics The last pandemic has taught us that </w:t>
      </w:r>
      <w:r w:rsidRPr="00DD2D90">
        <w:rPr>
          <w:rStyle w:val="StyleUnderline"/>
        </w:rPr>
        <w:t xml:space="preserve">infectious diseases are </w:t>
      </w:r>
      <w:r w:rsidRPr="009278EB">
        <w:rPr>
          <w:sz w:val="16"/>
        </w:rPr>
        <w:t xml:space="preserve">more </w:t>
      </w:r>
      <w:r w:rsidRPr="00DD2D90">
        <w:rPr>
          <w:rStyle w:val="StyleUnderline"/>
        </w:rPr>
        <w:t>life‐threatening and difficult to treat</w:t>
      </w:r>
      <w:r w:rsidRPr="009278EB">
        <w:rPr>
          <w:sz w:val="16"/>
        </w:rPr>
        <w:t xml:space="preserve">. Since disease X is likely to arise from zoonotic transmission of a highly virulent RNA virus [26], proper knowledge about the current pathogens and viruses, especially zoonotic viruses, is required to combat disease X. The World Health Organization (WHO) took the initiative to introduce the Research &amp; Development (R&amp;D) Blueprint, which uses the list of previously identified infectious diseases. They provide a roadmap for each disease, followed by the target profile. This roadmap works as an informative tool to guide the response against outbreaks on an urgent basis and also to further make developments on manufacturing thera- peutic agents like vaccines. Furthermore, the R&amp;D Blueprint is an innovative approach to increase research possibilities and build up novel approaches to facilitate clinical research, i.e., Phase III/IV clinical trials, and eventually save lives [12]. The PREDICT project by the United States Agency for International Development (USAID) has a surveillance program to control viruses before they spread to humans. A minimum of 931 novel viruses have been discovered from 145,000 samples of humans, animals, and wildlife by PREDICT, which has been collabo- rating with over 60 countries to enhance zoonotic disease sur- veillance since 2009 [27]. Notably, it focuses on regions that are most likely to be infected with emerging pathogens, like Asia, central Africa, and Latin America [9]. The success in combating COVID‐19 within the shortest possible time proves that it had an extensive influence over controlling the coronavirus by providing sufficient funds for viral sequencing [27]. On the other hand, antibiotic resistance is a globally important issue. Due to the inappropriate use of antibiotics in underdeveloped countries, the discovery of new antibiotics would be of no use if another pandemic hits. The Global Antibiotic Research and Development Partnership took the initiative to counteract this situation. This initiative will help to overcome the situation as they are committed to introducing five new treatments by 2025 for drug‐resistant infections that can pose greater public health safety [28]. Thus, </w:t>
      </w:r>
      <w:r w:rsidRPr="00DD2D90">
        <w:rPr>
          <w:rStyle w:val="StyleUnderline"/>
          <w:highlight w:val="green"/>
        </w:rPr>
        <w:t xml:space="preserve">to avoid a future pandemic </w:t>
      </w:r>
      <w:r w:rsidRPr="00DD2D90">
        <w:rPr>
          <w:rStyle w:val="Emphasis"/>
          <w:highlight w:val="green"/>
        </w:rPr>
        <w:t>calamity</w:t>
      </w:r>
      <w:r w:rsidRPr="00DD2D90">
        <w:rPr>
          <w:rStyle w:val="StyleUnderline"/>
        </w:rPr>
        <w:t xml:space="preserve">, </w:t>
      </w:r>
      <w:r w:rsidRPr="00DD2D90">
        <w:rPr>
          <w:rStyle w:val="StyleUnderline"/>
          <w:highlight w:val="green"/>
        </w:rPr>
        <w:t xml:space="preserve">preparedness is </w:t>
      </w:r>
      <w:r w:rsidRPr="00DD2D90">
        <w:rPr>
          <w:rStyle w:val="Emphasis"/>
          <w:highlight w:val="green"/>
        </w:rPr>
        <w:t>essential</w:t>
      </w:r>
      <w:r w:rsidRPr="009278EB">
        <w:rPr>
          <w:sz w:val="16"/>
        </w:rPr>
        <w:t xml:space="preserve"> [5]. Disease X requires more interlinked research projects to identify the causative pathogens and sufficient funds to manufacture therapeutic agents for people. The global healthcare authorities can create a widespread interdisciplinary project to fight against disease X. The “One Health” concept identifies that human, animal, plant, and environmental health are interconnected. It comprises education, research, industry, government agencies, and health officials in one frame and works at different levels, for example, local, regional, national, and global. Collaborations between agencies and information sharing with a concrete “One Health” framework will help to understand the pandemic and also help to fight against it [29]. This collaborative system will prevent the emergence of new species and ensure early control of the spread of already emerging species. On a positive note, researchers all around the world are trying to figure out the pathogens that could be a threat to future public health. Currently, we have few ideas regarding pathogen transmission. The researchers are coming up with potential pathogens that could cause disease X. More- over, projects like the R&amp;D Blueprint of WHO and PREDICT of USAID have created opportunities for research, funds, and so on to fight against unknown sources of disease X [21, 27]. In contrast, in this modern age, artificial intelligence can be a tool for the early detection of an emerging threat worldwide. Digital health concepts and the use of ChatGPT may help to prepare for and prevent any upcoming pandemic [30, 31]. Government agencies should organize awareness programs to educate people to ensure proper antibiotic use. We should es- tablish well‐structured healthcare facilities in developing and underdeveloped countries to fight future pandemics. They should have adequate diagnostic tools, medications, and well‐ trained healthcare professionals to provide service. Critical measures to prevent further global pandemics have been pro- vided in the Figure 1. 2.5 | Lesson From the Most Recent Pandemic The recent COVID‐19 pandemic has given us some important lessons [32]. The importance of vaccines in any infectious dis- ease is a vital factor in curbing a pandemic [33–36]. Proper distribution and mass immunization also play a significant role in tackling infectious diseases [37–40]. Besides, emphasis should be given to research during the pandemic or post‐ pandemic to mitigate the further chances of pandemics [41, 42]. Thus, to develop a vaccine for disease X, access to convalescent serum is required to identify antibodies and develop potential antigens for vaccine development. Now, one obstacle to this therapy's widespread application is the time it takes to develop and produce antibodies from invention to the hospital [18]. Increasing speed or lowering the pricing of goods can make these platforms useful when responding to epidemics. Internal regulatory agencies and policymakers should focus on this issue. 3 | Conclusion The emerging infectious pathogens may create global chal- lenges in public health. Disease X denotes an unpredictable yet concerning global health threat that can potentially cause a severe future pandemic. Due to its characteristic potential for rapid and widespread transmission, it demands early pre- paredness, including the development of vaccinations to combat this disease. Therefore, international cooperative approaches are crucial for sharing data, utilizing a single protocol for products used for rapid testing, and developing standard acceptance criteria or approval methods for distributing medical items used for diagnosis and therapeutic purposes. In addition, we should consider investing in fortifying healthcare systems and interdepartmental partnerships, enhancing the sensitivity, scope, and accuracy of disease surveillance, and enabling every region to respond to outbreak threats with greater efficiency.</w:t>
      </w:r>
    </w:p>
    <w:p w14:paraId="5AFDE24F" w14:textId="77777777" w:rsidR="00FA1D49" w:rsidRPr="009278EB" w:rsidRDefault="00FA1D49">
      <w:pPr>
        <w:rPr>
          <w:rFonts w:eastAsiaTheme="majorEastAsia" w:cstheme="majorBidi"/>
          <w:b/>
          <w:iCs/>
          <w:sz w:val="16"/>
        </w:rPr>
      </w:pPr>
      <w:r w:rsidRPr="009278EB">
        <w:rPr>
          <w:sz w:val="16"/>
        </w:rPr>
        <w:br w:type="page"/>
      </w:r>
    </w:p>
    <w:p w14:paraId="77FC6E3A" w14:textId="21E4A0E9" w:rsidR="0017095C" w:rsidRPr="009278EB" w:rsidRDefault="0017095C" w:rsidP="0017095C">
      <w:pPr>
        <w:pStyle w:val="Heading4"/>
        <w:rPr>
          <w:szCs w:val="26"/>
        </w:rPr>
      </w:pPr>
      <w:r w:rsidRPr="009278EB">
        <w:rPr>
          <w:szCs w:val="26"/>
        </w:rPr>
        <w:t xml:space="preserve">Err aff – the medical industrial complex has </w:t>
      </w:r>
      <w:r w:rsidR="00E658EB" w:rsidRPr="009278EB">
        <w:rPr>
          <w:szCs w:val="26"/>
        </w:rPr>
        <w:t xml:space="preserve">a </w:t>
      </w:r>
      <w:r w:rsidRPr="009278EB">
        <w:rPr>
          <w:szCs w:val="26"/>
        </w:rPr>
        <w:t xml:space="preserve">massive </w:t>
      </w:r>
      <w:r w:rsidR="00E658EB" w:rsidRPr="009278EB">
        <w:rPr>
          <w:szCs w:val="26"/>
        </w:rPr>
        <w:t>disinformation campaign to preserve profits. The best stats prove universal healthcare is best</w:t>
      </w:r>
    </w:p>
    <w:p w14:paraId="2A1DB091" w14:textId="77777777" w:rsidR="0017095C" w:rsidRPr="00DD2D90" w:rsidRDefault="0017095C" w:rsidP="0017095C">
      <w:r w:rsidRPr="009278EB">
        <w:rPr>
          <w:b/>
          <w:bCs/>
          <w:sz w:val="26"/>
          <w:szCs w:val="26"/>
        </w:rPr>
        <w:t>Chow et al. 25</w:t>
      </w:r>
      <w:r w:rsidRPr="00DD2D90">
        <w:t xml:space="preserve"> [Kendra Chow, Faculty of Public Health and Policy, London School of Hygiene and Tropical Medicine, Marco Zenone, Faculty of Law at the University of Alberta Health Law Institute, Nora Kenworthy, Faculty at the University of Washington Bothell School of Nursing &amp; Health Studies, Beza Merid, Faculty at the Arizona State University School for the Future of Innovation in Society, and Nason Maani, researcher at the University of Edinburgh Global Health Policy Unit, 2025, "Generating opposition to universal health care policies in the United States: An analysis of private health industry advertising on Meta platforms", PubMed Central (PMC), https://pmc.ncbi.nlm.nih.gov/articles/PMC12266455/]/Kankee</w:t>
      </w:r>
    </w:p>
    <w:p w14:paraId="7A49B046" w14:textId="61887F2F" w:rsidR="0017095C" w:rsidRPr="009278EB" w:rsidRDefault="0017095C" w:rsidP="0017095C">
      <w:pPr>
        <w:rPr>
          <w:sz w:val="16"/>
        </w:rPr>
      </w:pPr>
      <w:r w:rsidRPr="009278EB">
        <w:rPr>
          <w:sz w:val="16"/>
        </w:rPr>
        <w:t xml:space="preserve">Abstract In 2019, the Partnership for America’s Health Care Future (PAHCF), a private health industry lobby group, launched a campaign across Meta platforms (Facebook, Instagram) to generate opposition to universal health care policies in the United States. This study investigates the content and themes prevalent in PAHCF’s campaign and how these might shape public discourse and perceptions around universal health care policies. Using qualitative content analysis, 1675 advertisements were examined on Meta platforms within PAHCF’s campaign. Inductive methodology was applied to develop a coding framework. Details of campaign spend and number of impressions advertisements received were also collected. The qualitative coding strategies identified three overarching campaign foci: policy targets, claims and themes, and targeted appeal groups. These elements were found to strategically and mutually reinforce one another to generate the narrative that proposed universal health care policies will be detrimental to public health, the economy, and society. Analysis identified that PAHCF engages in strategies common among unhealthy commodity industries. </w:t>
      </w:r>
      <w:r w:rsidRPr="00DD2D90">
        <w:rPr>
          <w:rStyle w:val="StyleUnderline"/>
        </w:rPr>
        <w:t>Social media</w:t>
      </w:r>
      <w:r w:rsidRPr="009278EB">
        <w:rPr>
          <w:sz w:val="16"/>
        </w:rPr>
        <w:t xml:space="preserve"> in this instance powerfully </w:t>
      </w:r>
      <w:r w:rsidRPr="00DD2D90">
        <w:rPr>
          <w:rStyle w:val="StyleUnderline"/>
        </w:rPr>
        <w:t>perpetuated PAHCF messages that undermined universal health care efforts</w:t>
      </w:r>
      <w:r w:rsidRPr="009278EB">
        <w:rPr>
          <w:sz w:val="16"/>
        </w:rPr>
        <w:t xml:space="preserve"> and contributed to the commercial determinants of health impacts of this industry. These findings indicate that the </w:t>
      </w:r>
      <w:r w:rsidRPr="00DD2D90">
        <w:rPr>
          <w:rStyle w:val="StyleUnderline"/>
        </w:rPr>
        <w:t>private health care industry is participating in wider commercial determinants of health activities, acting to protect their profits to the detriment of public health</w:t>
      </w:r>
      <w:r w:rsidRPr="009278EB">
        <w:rPr>
          <w:sz w:val="16"/>
        </w:rPr>
        <w:t xml:space="preserve">. Like other campaigns by unhealthy commodity industries, PAHCF’s campaign is designed to increase doubt in the benefits of health policies, undermine public trust in government and evidence, and promote public alignment with their own messaging and preferred solutions. To counter such tactics, public health professionals need to gain a better understanding of the strategies </w:t>
      </w:r>
      <w:r w:rsidRPr="00DD2D90">
        <w:rPr>
          <w:rStyle w:val="StyleUnderline"/>
        </w:rPr>
        <w:t>unhealthy commodity industries</w:t>
      </w:r>
      <w:r w:rsidRPr="009278EB">
        <w:rPr>
          <w:sz w:val="16"/>
        </w:rPr>
        <w:t xml:space="preserve"> utilize to </w:t>
      </w:r>
      <w:r w:rsidRPr="00DD2D90">
        <w:rPr>
          <w:rStyle w:val="StyleUnderline"/>
        </w:rPr>
        <w:t>deflect attention from their underlying health-harming intentions</w:t>
      </w:r>
      <w:r w:rsidRPr="009278EB">
        <w:rPr>
          <w:sz w:val="16"/>
        </w:rPr>
        <w:t xml:space="preserve">, especially through more novel platforms like social media. Background Introduction The United States (US) remains the only high-income country (HIC) that does not provide universal health insurance coverage to its citizens [1,2]. Approximately 31.6 million Americans are uninsured and 40 million do not have adequate insurance coverage [3,4]. Compared with other HICs, </w:t>
      </w:r>
      <w:r w:rsidRPr="00DD2D90">
        <w:rPr>
          <w:rStyle w:val="StyleUnderline"/>
        </w:rPr>
        <w:t xml:space="preserve">the </w:t>
      </w:r>
      <w:r w:rsidRPr="00DD2D90">
        <w:rPr>
          <w:rStyle w:val="StyleUnderline"/>
          <w:highlight w:val="green"/>
        </w:rPr>
        <w:t>US health</w:t>
      </w:r>
      <w:r w:rsidRPr="00DD2D90">
        <w:rPr>
          <w:rStyle w:val="StyleUnderline"/>
        </w:rPr>
        <w:t xml:space="preserve"> system </w:t>
      </w:r>
      <w:r w:rsidRPr="00DD2D90">
        <w:rPr>
          <w:rStyle w:val="StyleUnderline"/>
          <w:highlight w:val="green"/>
        </w:rPr>
        <w:t>ranks last overall in access to care, administrative efficiency, equity, and health outcomes</w:t>
      </w:r>
      <w:r w:rsidRPr="009278EB">
        <w:rPr>
          <w:sz w:val="16"/>
        </w:rPr>
        <w:t xml:space="preserve"> [1] </w:t>
      </w:r>
      <w:r w:rsidRPr="00DD2D90">
        <w:rPr>
          <w:rStyle w:val="StyleUnderline"/>
        </w:rPr>
        <w:t>despite spending the most overall and per capita</w:t>
      </w:r>
      <w:r w:rsidRPr="009278EB">
        <w:rPr>
          <w:sz w:val="16"/>
        </w:rPr>
        <w:t xml:space="preserve"> [5,6]. The US spent nearly 17% of its gross domestic product (GDP) on health care expenditures in 2019, which is almost twice as much of its GDP as other HICs [1]. Health care spending has been rapidly increasing in the US since the mid-1980s [7], and yet, this investment has not resulted in congruent improvements in health outcomes for Americans. Despite spending the most money on health care than any other country, the US has some of the worst health outcomes [4,7]. </w:t>
      </w:r>
      <w:r w:rsidRPr="00DD2D90">
        <w:rPr>
          <w:rStyle w:val="StyleUnderline"/>
          <w:highlight w:val="green"/>
        </w:rPr>
        <w:t>Americans have the lowest life expectancy</w:t>
      </w:r>
      <w:r w:rsidRPr="00DD2D90">
        <w:rPr>
          <w:rStyle w:val="StyleUnderline"/>
        </w:rPr>
        <w:t xml:space="preserve"> of their peers in HICs, and experience the </w:t>
      </w:r>
      <w:r w:rsidRPr="00DD2D90">
        <w:rPr>
          <w:rStyle w:val="StyleUnderline"/>
          <w:highlight w:val="green"/>
        </w:rPr>
        <w:t>highest chronic disease burden</w:t>
      </w:r>
      <w:r w:rsidRPr="00DD2D90">
        <w:rPr>
          <w:rStyle w:val="StyleUnderline"/>
        </w:rPr>
        <w:t xml:space="preserve">, </w:t>
      </w:r>
      <w:r w:rsidRPr="00DD2D90">
        <w:rPr>
          <w:rStyle w:val="StyleUnderline"/>
          <w:highlight w:val="green"/>
        </w:rPr>
        <w:t>suicide rates, number of hospitalizations</w:t>
      </w:r>
      <w:r w:rsidRPr="00DD2D90">
        <w:rPr>
          <w:rStyle w:val="StyleUnderline"/>
        </w:rPr>
        <w:t xml:space="preserve"> from preventable causes, </w:t>
      </w:r>
      <w:r w:rsidRPr="00DD2D90">
        <w:rPr>
          <w:rStyle w:val="StyleUnderline"/>
          <w:highlight w:val="green"/>
        </w:rPr>
        <w:t>and rate of</w:t>
      </w:r>
      <w:r w:rsidRPr="00DD2D90">
        <w:rPr>
          <w:rStyle w:val="StyleUnderline"/>
        </w:rPr>
        <w:t xml:space="preserve"> </w:t>
      </w:r>
      <w:r w:rsidRPr="00DD2D90">
        <w:rPr>
          <w:rStyle w:val="StyleUnderline"/>
          <w:highlight w:val="green"/>
        </w:rPr>
        <w:t>avoidable deaths</w:t>
      </w:r>
      <w:r w:rsidRPr="009278EB">
        <w:rPr>
          <w:sz w:val="16"/>
        </w:rPr>
        <w:t xml:space="preserve"> [4]. Racial and income-related disparities exacerbate these outcomes even further. </w:t>
      </w:r>
      <w:r w:rsidRPr="00DD2D90">
        <w:rPr>
          <w:rStyle w:val="StyleUnderline"/>
        </w:rPr>
        <w:t>Life expectancy among non-Hispanic black Americans</w:t>
      </w:r>
      <w:r w:rsidRPr="009278EB">
        <w:rPr>
          <w:sz w:val="16"/>
        </w:rPr>
        <w:t xml:space="preserve"> (74.8 years) </w:t>
      </w:r>
      <w:r w:rsidRPr="00DD2D90">
        <w:rPr>
          <w:rStyle w:val="StyleUnderline"/>
        </w:rPr>
        <w:t>is 4 years lower than for non-Hispanic whites</w:t>
      </w:r>
      <w:r w:rsidRPr="009278EB">
        <w:rPr>
          <w:sz w:val="16"/>
        </w:rPr>
        <w:t xml:space="preserve"> (78.8) [4,8], </w:t>
      </w:r>
      <w:r w:rsidRPr="00DD2D90">
        <w:rPr>
          <w:rStyle w:val="StyleUnderline"/>
        </w:rPr>
        <w:t>and between the poorest 1% and richest 1% there is a life expectancy difference of 14.6 years</w:t>
      </w:r>
      <w:r w:rsidRPr="009278EB">
        <w:rPr>
          <w:sz w:val="16"/>
        </w:rPr>
        <w:t xml:space="preserve">, which is expected to worsen as income inequality gaps widen [7,9]. Private health care: Driving up health care costs in the United States </w:t>
      </w:r>
      <w:r w:rsidRPr="00DD2D90">
        <w:rPr>
          <w:rStyle w:val="StyleUnderline"/>
        </w:rPr>
        <w:t xml:space="preserve">The US health care system underperforms against peer countries, generates large health disparities, and is also by some margin the </w:t>
      </w:r>
      <w:r w:rsidRPr="00DD2D90">
        <w:rPr>
          <w:rStyle w:val="Emphasis"/>
        </w:rPr>
        <w:t>most expensive</w:t>
      </w:r>
      <w:r w:rsidRPr="009278EB">
        <w:rPr>
          <w:sz w:val="16"/>
        </w:rPr>
        <w:t xml:space="preserve">. Health care dollars are primarily spent on hospital care (33%), followed by professional services (26%), long term care (13%), and prescription drugs (9%) [10]. Insurance covers these expenses only in varying degrees. Out-of-pocket spending then becomes necessary for Americans seeking care, with 38% of out-of-pocket expenditures going towards professional services and 13% towards prescription drugs [10]. As of 2020 private health insurance provided 66.5% of coverage in the US, compared with 34.8% public coverage [11]. The most common subtype of health insurance coverage was employment-based insurance (54.4%), followed by Medicare (18.4%), Medicaid (17.8%), direct-purchase coverage (10.5%), TRICARE (2.8%), and Department of Veterans Affairs coverage (0.9%). Without a single-payer system and more stringent regulation of private health corporations, health care costs can vary widely across the US. Medicare spending differs from private coverage in that prices are set administratively instead of through decentralized negotiations between providers and payers [10]. Differences in health care spending within government-negotiated Medicare varies by utilization of the health system, whereas spending per privately insured person can be three times higher in parts of the country than others (even when controlling for disproportionate representation of elderly people using the health system more) [10]. Overall, </w:t>
      </w:r>
      <w:r w:rsidRPr="00DD2D90">
        <w:rPr>
          <w:rStyle w:val="StyleUnderline"/>
          <w:highlight w:val="green"/>
        </w:rPr>
        <w:t>a lack of universal health care</w:t>
      </w:r>
      <w:r w:rsidRPr="009278EB">
        <w:rPr>
          <w:sz w:val="16"/>
        </w:rPr>
        <w:t xml:space="preserve"> (UHC) in the US </w:t>
      </w:r>
      <w:r w:rsidRPr="00DD2D90">
        <w:rPr>
          <w:rStyle w:val="StyleUnderline"/>
          <w:highlight w:val="green"/>
        </w:rPr>
        <w:t>was identified as the foremost reason for having the poorest health system performance among HIC</w:t>
      </w:r>
      <w:r w:rsidRPr="009278EB">
        <w:rPr>
          <w:sz w:val="16"/>
        </w:rPr>
        <w:t xml:space="preserve"> in a 2021 Commonwealth Fund report [1]. The US ranked last in access to care, which included measurements of health care affordability and timeliness. Large disparities were also observed between income groups for all measured dimensions of access to care, particularly larger financial barriers to accessing medical and dental care, medical bill burdens, difficulty obtaining after-hours care, and use of virtual care to facilitate patient engagement [1]. The Commonwealth report’s foremost recommendation to improve access to care in the US was expanding and strengthening insurance coverage, which involves switching to more universal coverage policies and capping out-of-pocket medical costs. Conflicts of interest: Profits and health Within this profit-driven health care system, </w:t>
      </w:r>
      <w:r w:rsidRPr="00DD2D90">
        <w:rPr>
          <w:rStyle w:val="StyleUnderline"/>
        </w:rPr>
        <w:t>private health care companies have a lot to lose</w:t>
      </w:r>
      <w:r w:rsidRPr="009278EB">
        <w:rPr>
          <w:sz w:val="16"/>
        </w:rPr>
        <w:t xml:space="preserve"> with the implementation of UHC in the US. The </w:t>
      </w:r>
      <w:r w:rsidRPr="00DD2D90">
        <w:rPr>
          <w:rStyle w:val="StyleUnderline"/>
        </w:rPr>
        <w:t xml:space="preserve">for-profit </w:t>
      </w:r>
      <w:r w:rsidRPr="00DD2D90">
        <w:rPr>
          <w:rStyle w:val="StyleUnderline"/>
          <w:highlight w:val="green"/>
        </w:rPr>
        <w:t>private</w:t>
      </w:r>
      <w:r w:rsidRPr="00DD2D90">
        <w:rPr>
          <w:rStyle w:val="StyleUnderline"/>
        </w:rPr>
        <w:t xml:space="preserve"> health</w:t>
      </w:r>
      <w:r w:rsidRPr="009278EB">
        <w:rPr>
          <w:sz w:val="16"/>
        </w:rPr>
        <w:t xml:space="preserve"> </w:t>
      </w:r>
      <w:r w:rsidRPr="00DD2D90">
        <w:rPr>
          <w:rStyle w:val="StyleUnderline"/>
          <w:highlight w:val="green"/>
        </w:rPr>
        <w:t>insurance</w:t>
      </w:r>
      <w:r w:rsidRPr="009278EB">
        <w:rPr>
          <w:sz w:val="16"/>
        </w:rPr>
        <w:t xml:space="preserve"> market </w:t>
      </w:r>
      <w:r w:rsidRPr="00DD2D90">
        <w:rPr>
          <w:rStyle w:val="StyleUnderline"/>
          <w:highlight w:val="green"/>
        </w:rPr>
        <w:t>generates</w:t>
      </w:r>
      <w:r w:rsidRPr="009278EB">
        <w:rPr>
          <w:sz w:val="16"/>
        </w:rPr>
        <w:t xml:space="preserve"> approximately </w:t>
      </w:r>
      <w:r w:rsidRPr="00DD2D90">
        <w:rPr>
          <w:rStyle w:val="StyleUnderline"/>
          <w:highlight w:val="green"/>
        </w:rPr>
        <w:t>$670 billion annually</w:t>
      </w:r>
      <w:r w:rsidRPr="009278EB">
        <w:rPr>
          <w:sz w:val="16"/>
        </w:rPr>
        <w:t xml:space="preserve"> [12]. Without government regulation, insurance companies and other essential elements of healthcare, such as pharmaceuticals, hospitals, private equity, and other financially motivated actors, can unilaterally set prices on care provision, hospital services, and prescription medication—the very elements contributing to the largest proportion of health care spending in the US. It is also not within their financial interest to expand coverage for everyone, which would include taking on </w:t>
      </w:r>
      <w:r w:rsidRPr="00DD2D90">
        <w:rPr>
          <w:rStyle w:val="StyleUnderline"/>
        </w:rPr>
        <w:t>31.6 million new insurance-subscribers</w:t>
      </w:r>
      <w:r w:rsidRPr="009278EB">
        <w:rPr>
          <w:sz w:val="16"/>
        </w:rPr>
        <w:t xml:space="preserve"> who </w:t>
      </w:r>
      <w:r w:rsidRPr="00DD2D90">
        <w:rPr>
          <w:rStyle w:val="StyleUnderline"/>
        </w:rPr>
        <w:t>may not be able to afford premiums or have poor health and higher coverage costs</w:t>
      </w:r>
      <w:r w:rsidRPr="009278EB">
        <w:rPr>
          <w:sz w:val="16"/>
        </w:rPr>
        <w:t xml:space="preserve"> [13]. Despite estimates that implementation of </w:t>
      </w:r>
      <w:r w:rsidRPr="00DD2D90">
        <w:rPr>
          <w:rStyle w:val="StyleUnderline"/>
          <w:highlight w:val="green"/>
        </w:rPr>
        <w:t xml:space="preserve">UHC would reduce </w:t>
      </w:r>
      <w:r w:rsidRPr="00DD2D90">
        <w:rPr>
          <w:rStyle w:val="StyleUnderline"/>
        </w:rPr>
        <w:t xml:space="preserve">national </w:t>
      </w:r>
      <w:r w:rsidRPr="00DD2D90">
        <w:rPr>
          <w:rStyle w:val="StyleUnderline"/>
          <w:highlight w:val="green"/>
        </w:rPr>
        <w:t>health care spending by 13.1% annually</w:t>
      </w:r>
      <w:r w:rsidRPr="009278EB">
        <w:rPr>
          <w:sz w:val="16"/>
        </w:rPr>
        <w:t xml:space="preserve"> [2], like other large industries, for-profit health care providers are resisting interventions that would constrain their profits. However, the nature and extent of their activities to do so are not yet well described. The Partnership for America’s Health Care Future: Lobbying to obstruct universal health care In the leadup to the 2020 presidential election, policy options like Medicare for All, Medicare buy-in, and the public option all became hotly debated topics among Democratic Party presidential nomination candidates. While originally lauded only as aspirational at best, Senator Bernie Sander’s Medicare for All bill began to gain traction, with prominent Democratic candidates endorsing the bill, including Senators Kamala Harris of California, Cory Booker of New Jersey, Kirsten Gillibrand of New York, and Elizabeth Warren of Massachusetts [14]. Many of the same senators endorsed more modest UHC proposals as well, such as Medicare buy-in and Medicaid buy-in. In response, </w:t>
      </w:r>
      <w:r w:rsidRPr="00DD2D90">
        <w:rPr>
          <w:rStyle w:val="StyleUnderline"/>
        </w:rPr>
        <w:t xml:space="preserve">a coalition was </w:t>
      </w:r>
      <w:r w:rsidRPr="009278EB">
        <w:rPr>
          <w:sz w:val="16"/>
        </w:rPr>
        <w:t>quickly</w:t>
      </w:r>
      <w:r w:rsidRPr="00DD2D90">
        <w:rPr>
          <w:rStyle w:val="StyleUnderline"/>
        </w:rPr>
        <w:t xml:space="preserve"> assembled</w:t>
      </w:r>
      <w:r w:rsidRPr="009278EB">
        <w:rPr>
          <w:sz w:val="16"/>
        </w:rPr>
        <w:t xml:space="preserve">, initiated </w:t>
      </w:r>
      <w:r w:rsidRPr="00DD2D90">
        <w:rPr>
          <w:rStyle w:val="StyleUnderline"/>
        </w:rPr>
        <w:t>by</w:t>
      </w:r>
      <w:r w:rsidRPr="009278EB">
        <w:rPr>
          <w:sz w:val="16"/>
        </w:rPr>
        <w:t xml:space="preserve"> Chip Kahn, President and CEO of the Federation of American Hospitals (one of the most powerful </w:t>
      </w:r>
      <w:r w:rsidRPr="00DD2D90">
        <w:rPr>
          <w:rStyle w:val="StyleUnderline"/>
        </w:rPr>
        <w:t>hospital lobbies</w:t>
      </w:r>
      <w:r w:rsidRPr="009278EB">
        <w:rPr>
          <w:sz w:val="16"/>
        </w:rPr>
        <w:t xml:space="preserve"> in the US), in an effort </w:t>
      </w:r>
      <w:r w:rsidRPr="00DD2D90">
        <w:rPr>
          <w:rStyle w:val="StyleUnderline"/>
        </w:rPr>
        <w:t>to stop UHC proposals</w:t>
      </w:r>
      <w:r w:rsidRPr="009278EB">
        <w:rPr>
          <w:sz w:val="16"/>
        </w:rPr>
        <w:t xml:space="preserve"> progressing from campaign platforms to items on legislative agendas [12]. The Partnership for America’s Health Care Future (PAHCF) is a multi-million-dollar coalition that was formed in 2018 by the hospital federation and two powerful lobby groups, America’s Health Insurance Plans and the Pharmaceutical Research and Manufacturers of America [14,15]. The coalition consists of 124 members across the country, including profitable and powerful members like the American Medical Association, American Hospital Association, and Blue Cross and Blue Shield [16]. The name of the coalition has been described as intentionally nondescript [12], so as to not reveal its membership. In response to debate around Medicare for All and related policy matters, </w:t>
      </w:r>
      <w:r w:rsidRPr="00DD2D90">
        <w:rPr>
          <w:rStyle w:val="StyleUnderline"/>
        </w:rPr>
        <w:t xml:space="preserve">members of </w:t>
      </w:r>
      <w:r w:rsidRPr="00DD2D90">
        <w:rPr>
          <w:rStyle w:val="StyleUnderline"/>
          <w:highlight w:val="green"/>
        </w:rPr>
        <w:t>PAHCF</w:t>
      </w:r>
      <w:r w:rsidRPr="00DD2D90">
        <w:rPr>
          <w:rStyle w:val="StyleUnderline"/>
        </w:rPr>
        <w:t xml:space="preserve"> collectively </w:t>
      </w:r>
      <w:r w:rsidRPr="00DD2D90">
        <w:rPr>
          <w:rStyle w:val="StyleUnderline"/>
          <w:highlight w:val="green"/>
        </w:rPr>
        <w:t>spent $143 million</w:t>
      </w:r>
      <w:r w:rsidRPr="00DD2D90">
        <w:rPr>
          <w:rStyle w:val="StyleUnderline"/>
        </w:rPr>
        <w:t xml:space="preserve"> USD </w:t>
      </w:r>
      <w:r w:rsidRPr="00DD2D90">
        <w:rPr>
          <w:rStyle w:val="StyleUnderline"/>
          <w:highlight w:val="green"/>
        </w:rPr>
        <w:t>on lobbying in 2018 alone</w:t>
      </w:r>
      <w:r w:rsidRPr="009278EB">
        <w:rPr>
          <w:sz w:val="16"/>
        </w:rPr>
        <w:t xml:space="preserve"> [17]. In the spring of 2019, PAHCF announced that it was launching a “substantial, six-figure digital advertising campaign to inform the American public about ways to protect and strengthen [America’s] existing health care system” [18]. The announcement claimed that the campaign would be designed to warn Americans “that a one-size-fits-all health care program – whether called Medicare for All, Medicare buy-in, single payer or public option, will lead to higher taxes and less patient choice for every American family” [18]. Announcements of this type suggest such </w:t>
      </w:r>
      <w:r w:rsidRPr="00DD2D90">
        <w:rPr>
          <w:rStyle w:val="StyleUnderline"/>
        </w:rPr>
        <w:t xml:space="preserve">campaigns exist </w:t>
      </w:r>
      <w:r w:rsidRPr="009278EB">
        <w:rPr>
          <w:sz w:val="16"/>
        </w:rPr>
        <w:t>primarily</w:t>
      </w:r>
      <w:r w:rsidRPr="00DD2D90">
        <w:rPr>
          <w:rStyle w:val="StyleUnderline"/>
        </w:rPr>
        <w:t xml:space="preserve"> </w:t>
      </w:r>
      <w:r w:rsidRPr="00DD2D90">
        <w:rPr>
          <w:rStyle w:val="StyleUnderline"/>
          <w:highlight w:val="green"/>
        </w:rPr>
        <w:t>to oppose</w:t>
      </w:r>
      <w:r w:rsidRPr="009278EB">
        <w:rPr>
          <w:sz w:val="16"/>
        </w:rPr>
        <w:t xml:space="preserve"> expansions of </w:t>
      </w:r>
      <w:r w:rsidRPr="00DD2D90">
        <w:rPr>
          <w:rStyle w:val="StyleUnderline"/>
          <w:highlight w:val="green"/>
        </w:rPr>
        <w:t>single-payer</w:t>
      </w:r>
      <w:r w:rsidRPr="009278EB">
        <w:rPr>
          <w:sz w:val="16"/>
        </w:rPr>
        <w:t xml:space="preserve"> health care system policies. Private health care as a commercial determinant of health It appears that private health care companies’ business and political activities are consistent with the characteristics of the commercial determinants of health (CDOH). The CDOH are defined by Gilmore et al. as “the systems, practices, and pathways through which commercial actors drive health and equity” [19]. Impacts of CDOH are societally felt from micro to macro levels: from the individual consumer, their health behaviours and choices, extending to global levels of consumption, and the politics and economics of increasing globalisation. Within the existing health-services consumption landscape in the US, </w:t>
      </w:r>
      <w:r w:rsidRPr="00DD2D90">
        <w:rPr>
          <w:rStyle w:val="StyleUnderline"/>
          <w:highlight w:val="green"/>
        </w:rPr>
        <w:t>PAHCF is exercising</w:t>
      </w:r>
      <w:r w:rsidRPr="00DD2D90">
        <w:rPr>
          <w:rStyle w:val="StyleUnderline"/>
        </w:rPr>
        <w:t xml:space="preserve"> their </w:t>
      </w:r>
      <w:r w:rsidRPr="00DD2D90">
        <w:rPr>
          <w:rStyle w:val="StyleUnderline"/>
          <w:highlight w:val="green"/>
        </w:rPr>
        <w:t>influence</w:t>
      </w:r>
      <w:r w:rsidRPr="009278EB">
        <w:rPr>
          <w:sz w:val="16"/>
        </w:rPr>
        <w:t xml:space="preserve"> </w:t>
      </w:r>
      <w:r w:rsidRPr="00DD2D90">
        <w:rPr>
          <w:rStyle w:val="StyleUnderline"/>
          <w:highlight w:val="green"/>
        </w:rPr>
        <w:t>through</w:t>
      </w:r>
      <w:r w:rsidRPr="009278EB">
        <w:rPr>
          <w:sz w:val="16"/>
        </w:rPr>
        <w:t xml:space="preserve"> all four characteristic corporate channels: </w:t>
      </w:r>
      <w:r w:rsidRPr="00DD2D90">
        <w:rPr>
          <w:rStyle w:val="StyleUnderline"/>
          <w:highlight w:val="green"/>
        </w:rPr>
        <w:t>marketing</w:t>
      </w:r>
      <w:r w:rsidRPr="00DD2D90">
        <w:rPr>
          <w:rStyle w:val="StyleUnderline"/>
        </w:rPr>
        <w:t xml:space="preserve">, </w:t>
      </w:r>
      <w:r w:rsidRPr="00DD2D90">
        <w:rPr>
          <w:rStyle w:val="StyleUnderline"/>
          <w:highlight w:val="green"/>
        </w:rPr>
        <w:t>enhancing the</w:t>
      </w:r>
      <w:r w:rsidRPr="00DD2D90">
        <w:rPr>
          <w:rStyle w:val="StyleUnderline"/>
        </w:rPr>
        <w:t xml:space="preserve"> acceptability and </w:t>
      </w:r>
      <w:r w:rsidRPr="00DD2D90">
        <w:rPr>
          <w:rStyle w:val="StyleUnderline"/>
          <w:highlight w:val="green"/>
        </w:rPr>
        <w:t>desirability of</w:t>
      </w:r>
      <w:r w:rsidRPr="00DD2D90">
        <w:rPr>
          <w:rStyle w:val="StyleUnderline"/>
        </w:rPr>
        <w:t xml:space="preserve"> private health care (</w:t>
      </w:r>
      <w:r w:rsidRPr="00DD2D90">
        <w:rPr>
          <w:rStyle w:val="StyleUnderline"/>
          <w:highlight w:val="green"/>
        </w:rPr>
        <w:t>an unhealthy commodity</w:t>
      </w:r>
      <w:r w:rsidRPr="00DD2D90">
        <w:rPr>
          <w:rStyle w:val="StyleUnderline"/>
        </w:rPr>
        <w:t xml:space="preserve">); </w:t>
      </w:r>
      <w:r w:rsidRPr="00DD2D90">
        <w:rPr>
          <w:rStyle w:val="StyleUnderline"/>
          <w:highlight w:val="green"/>
        </w:rPr>
        <w:t>lobbying</w:t>
      </w:r>
      <w:r w:rsidRPr="00DD2D90">
        <w:rPr>
          <w:rStyle w:val="StyleUnderline"/>
        </w:rPr>
        <w:t xml:space="preserve">, attempting to </w:t>
      </w:r>
      <w:r w:rsidRPr="00DD2D90">
        <w:rPr>
          <w:rStyle w:val="StyleUnderline"/>
          <w:highlight w:val="green"/>
        </w:rPr>
        <w:t>create UHC policy barriers</w:t>
      </w:r>
      <w:r w:rsidRPr="00DD2D90">
        <w:rPr>
          <w:rStyle w:val="StyleUnderline"/>
        </w:rPr>
        <w:t xml:space="preserve">; engaging in </w:t>
      </w:r>
      <w:r w:rsidRPr="00DD2D90">
        <w:rPr>
          <w:rStyle w:val="StyleUnderline"/>
          <w:highlight w:val="green"/>
        </w:rPr>
        <w:t>corporate responsibility strategies</w:t>
      </w:r>
      <w:r w:rsidRPr="00DD2D90">
        <w:rPr>
          <w:rStyle w:val="StyleUnderline"/>
        </w:rPr>
        <w:t xml:space="preserve"> by forming a coalition to protect their individual corporate reputations and </w:t>
      </w:r>
      <w:r w:rsidRPr="00DD2D90">
        <w:rPr>
          <w:rStyle w:val="StyleUnderline"/>
          <w:highlight w:val="green"/>
        </w:rPr>
        <w:t>deflecting attention</w:t>
      </w:r>
      <w:r w:rsidRPr="00DD2D90">
        <w:rPr>
          <w:rStyle w:val="StyleUnderline"/>
        </w:rPr>
        <w:t xml:space="preserve"> away from the coalition’s true mission</w:t>
      </w:r>
      <w:r w:rsidRPr="009278EB">
        <w:rPr>
          <w:sz w:val="16"/>
        </w:rPr>
        <w:t xml:space="preserve">; and utilizing their extensive network throughout the country to amplify the coalition’s influence [20]. Synergistically, </w:t>
      </w:r>
      <w:r w:rsidRPr="00DD2D90">
        <w:rPr>
          <w:rStyle w:val="StyleUnderline"/>
        </w:rPr>
        <w:t>these channels work to boost corporate reach, and amplify outcomes, negatively affecting consumers, their health and environment</w:t>
      </w:r>
      <w:r w:rsidRPr="009278EB">
        <w:rPr>
          <w:sz w:val="16"/>
        </w:rPr>
        <w:t xml:space="preserve">. These </w:t>
      </w:r>
      <w:r w:rsidRPr="00DD2D90">
        <w:rPr>
          <w:rStyle w:val="StyleUnderline"/>
          <w:highlight w:val="green"/>
        </w:rPr>
        <w:t>strategies</w:t>
      </w:r>
      <w:r w:rsidRPr="00DD2D90">
        <w:rPr>
          <w:rStyle w:val="StyleUnderline"/>
        </w:rPr>
        <w:t xml:space="preserve"> </w:t>
      </w:r>
      <w:r w:rsidRPr="00DD2D90">
        <w:rPr>
          <w:rStyle w:val="StyleUnderline"/>
          <w:highlight w:val="green"/>
        </w:rPr>
        <w:t>undertaken by</w:t>
      </w:r>
      <w:r w:rsidRPr="00DD2D90">
        <w:rPr>
          <w:rStyle w:val="StyleUnderline"/>
        </w:rPr>
        <w:t xml:space="preserve"> unhealthy commodity industries (UCIs), such as </w:t>
      </w:r>
      <w:r w:rsidRPr="00DD2D90">
        <w:rPr>
          <w:rStyle w:val="StyleUnderline"/>
          <w:highlight w:val="green"/>
        </w:rPr>
        <w:t>tobacco, alcohol, and ultra-processed food</w:t>
      </w:r>
      <w:r w:rsidRPr="00DD2D90">
        <w:rPr>
          <w:rStyle w:val="StyleUnderline"/>
        </w:rPr>
        <w:t xml:space="preserve">, </w:t>
      </w:r>
      <w:r w:rsidRPr="00DD2D90">
        <w:rPr>
          <w:rStyle w:val="StyleUnderline"/>
          <w:highlight w:val="green"/>
        </w:rPr>
        <w:t>mirror</w:t>
      </w:r>
      <w:r w:rsidRPr="00DD2D90">
        <w:rPr>
          <w:rStyle w:val="StyleUnderline"/>
        </w:rPr>
        <w:t xml:space="preserve"> the activities being undertaken by the </w:t>
      </w:r>
      <w:r w:rsidRPr="00DD2D90">
        <w:rPr>
          <w:rStyle w:val="StyleUnderline"/>
          <w:highlight w:val="green"/>
        </w:rPr>
        <w:t>private health care</w:t>
      </w:r>
      <w:r w:rsidRPr="00DD2D90">
        <w:rPr>
          <w:rStyle w:val="StyleUnderline"/>
        </w:rPr>
        <w:t xml:space="preserve"> industry.</w:t>
      </w:r>
      <w:r w:rsidRPr="009278EB">
        <w:rPr>
          <w:sz w:val="16"/>
        </w:rPr>
        <w:t xml:space="preserve"> This </w:t>
      </w:r>
      <w:r w:rsidRPr="00DD2D90">
        <w:rPr>
          <w:rStyle w:val="StyleUnderline"/>
        </w:rPr>
        <w:t>includes political tactics, shaping the preference of the public</w:t>
      </w:r>
      <w:r w:rsidRPr="009278EB">
        <w:rPr>
          <w:sz w:val="16"/>
        </w:rPr>
        <w:t xml:space="preserve"> [21], and </w:t>
      </w:r>
      <w:r w:rsidRPr="00DD2D90">
        <w:rPr>
          <w:rStyle w:val="StyleUnderline"/>
        </w:rPr>
        <w:t>misrepresenting legislative intent of public health policies</w:t>
      </w:r>
      <w:r w:rsidRPr="009278EB">
        <w:rPr>
          <w:sz w:val="16"/>
        </w:rPr>
        <w:t xml:space="preserve"> [22]. Most CDOH research to date focuses on the practices of UCIs, but recent analyses seek to expand this to include other industries, such as gambling, motor vehicles, and pharmaceuticals [23]. This study seeks to demonstrate how private health care industry lobbying is an example of wider CDOH activity, through the example of PAHCF campaigns on Meta platforms. Partnership for America’s Health Care Future’s Meta advertisement campaign Social media platforms offer powerful targeting tools to advertisers so that their political or business campaigns can reach defined demographics [24]. Meta allows targeting of specific location (cities, communities), demographics (age, gender, education, job title), interests, consumer behaviour, and connections between users [25]. By running their advertisements through Meta and its popular social media platforms (Facebook and Instagram), PAHCF are able to specifically target large and highly specific audiences with their campaign. Political advertising is a particularly important form of media messaging for agenda-setting and influencing public attitudes [26]. Combined with traditional media methods, political advertising delivered through social media channels may have a synergistic and amplifying effect on shaping public discourse (and inevitably legislative agendas) through increased frequency of exposure and targeting of messages [27], travel and spread of content across social networks, and creation of echo chambers [28]—though this has not yet been thoroughly explored. This is particularly concerning considering that Meta continues to allow false statements in political advertisements and refuses to participate in overseeing the truthfulness of content displayed on their sites [29], perpetuating and amplifying the spread of mis- and disinformation online. In their announcement for their digital advertisement campaign launch, PAHCF state that “digital ads are [the] next step in educating Americans on ways to strengthen [the] health care system” [18]. Better understanding of how their tailored messaging might have the potential to distort public views of UHC—and more generally how it can inform perceptions of health, health risks and behaviours—requires a thorough analysis of PAHCF’s advertisement campaign contents and themes. Study purpose and overview The aim of this study is to investigate the content and themes utilized by PAHCF in their Meta ad campaign, and strategies used to appeal to users to vote against the implementation of UHC policies in the US. This study sought to achieve several objectives. Firstly, the development of a qualitative coding framework to ascertain how information is presented by PAHCF to convey their intended meaning and messages, and to identify overarching categories and themes within the Meta advertisement campaign. From these, this study aimed to determine the strategies used by the campaign to appeal to certain demographics. Further, analysis of the coded data seeks to gain a better understanding of content, themes, and strategies utilized by PAHCF (and other commercial-actors) to advance their policy goals. This analysis helps us to understand how tailored messaging and campaigns might impact on public views of UHC policies, and more general perceptions of health, health risks and behaviours. It contributes to research on mis- and disinformation spread, and how it can influence health behaviours. Finally, this study seeks to contribute to the body of evidence that demonstrates the need for better understanding of strategies used by health harming actors and industries, the need for transparency and accountability of sources, social media as a vehicle for CDOH, and how to create effective counter-messaging [30] that informs the public and inoculates them against mis- and disinformation spread. Methods</w:t>
      </w:r>
    </w:p>
    <w:p w14:paraId="1A48D3C1" w14:textId="4823F12D" w:rsidR="00605696" w:rsidRPr="00D05211" w:rsidRDefault="00605696" w:rsidP="00603E0C">
      <w:pPr>
        <w:pStyle w:val="Heading3"/>
        <w:rPr>
          <w:rFonts w:ascii="Arial Black" w:hAnsi="Arial Black"/>
          <w:color w:val="B43E1F"/>
          <w:szCs w:val="32"/>
        </w:rPr>
      </w:pPr>
      <w:r w:rsidRPr="00D05211">
        <w:rPr>
          <w:rFonts w:ascii="Arial Black" w:hAnsi="Arial Black"/>
          <w:color w:val="B43E1F"/>
          <w:szCs w:val="32"/>
        </w:rPr>
        <w:t xml:space="preserve">Contention 5: </w:t>
      </w:r>
      <w:r w:rsidR="00986E31" w:rsidRPr="00D05211">
        <w:rPr>
          <w:rFonts w:ascii="Arial Black" w:hAnsi="Arial Black"/>
          <w:color w:val="B43E1F"/>
          <w:szCs w:val="32"/>
        </w:rPr>
        <w:t>Minorities</w:t>
      </w:r>
    </w:p>
    <w:p w14:paraId="7A27A3E7" w14:textId="08EB1EC4" w:rsidR="00603E0C" w:rsidRPr="009278EB" w:rsidRDefault="00603E0C" w:rsidP="00603E0C">
      <w:pPr>
        <w:pStyle w:val="Heading4"/>
        <w:rPr>
          <w:szCs w:val="26"/>
        </w:rPr>
      </w:pPr>
      <w:r w:rsidRPr="009278EB">
        <w:rPr>
          <w:szCs w:val="26"/>
        </w:rPr>
        <w:t>Medical debt exacerbates the racial wealth gap and functions as a psychological distresses people of color</w:t>
      </w:r>
    </w:p>
    <w:p w14:paraId="5DC7C0AA" w14:textId="77777777" w:rsidR="00603E0C" w:rsidRPr="00DD2D90" w:rsidRDefault="00603E0C" w:rsidP="00603E0C">
      <w:r w:rsidRPr="009278EB">
        <w:rPr>
          <w:b/>
          <w:bCs/>
          <w:sz w:val="26"/>
          <w:szCs w:val="26"/>
        </w:rPr>
        <w:t>Laws and Christensen 22</w:t>
      </w:r>
      <w:r w:rsidRPr="00DD2D90">
        <w:rPr>
          <w:b/>
          <w:bCs/>
        </w:rPr>
        <w:t xml:space="preserve"> </w:t>
      </w:r>
      <w:r w:rsidRPr="00DD2D90">
        <w:t>[Zenia Laws, Office of the Attorney General at DC, and Alexis Christensen, Director of Employer Programs at Baylor University with Bachelor of Arts in Political Science and Master of Social Work, 04-21-2022, “The Connection Between Health and Wealth: Recent Report Highlights the Impact of Medical Debt on Black Families,” Legal Aid DC, https://www.legalaiddc.org/blogs/connection-between-health-and-wealth-recent-report-highlights-impact-medical-debt-black]/Kankee</w:t>
      </w:r>
    </w:p>
    <w:p w14:paraId="53371B63" w14:textId="77777777" w:rsidR="00603E0C" w:rsidRPr="009278EB" w:rsidRDefault="00603E0C" w:rsidP="00603E0C">
      <w:pPr>
        <w:rPr>
          <w:sz w:val="16"/>
        </w:rPr>
      </w:pPr>
      <w:r w:rsidRPr="009278EB">
        <w:rPr>
          <w:sz w:val="16"/>
        </w:rPr>
        <w:t xml:space="preserve"> </w:t>
      </w:r>
      <w:r w:rsidRPr="00DD2D90">
        <w:rPr>
          <w:u w:val="single"/>
        </w:rPr>
        <w:t>A recent report from the National Consumer Law Center (NCLC) examines the racial</w:t>
      </w:r>
      <w:r w:rsidRPr="009278EB">
        <w:rPr>
          <w:sz w:val="16"/>
        </w:rPr>
        <w:t xml:space="preserve"> health and </w:t>
      </w:r>
      <w:r w:rsidRPr="00DD2D90">
        <w:rPr>
          <w:u w:val="single"/>
        </w:rPr>
        <w:t>wealth</w:t>
      </w:r>
      <w:r w:rsidRPr="009278EB">
        <w:rPr>
          <w:sz w:val="16"/>
        </w:rPr>
        <w:t xml:space="preserve"> </w:t>
      </w:r>
      <w:r w:rsidRPr="00DD2D90">
        <w:rPr>
          <w:u w:val="single"/>
        </w:rPr>
        <w:t>gaps and</w:t>
      </w:r>
      <w:r w:rsidRPr="009278EB">
        <w:rPr>
          <w:sz w:val="16"/>
        </w:rPr>
        <w:t xml:space="preserve"> highlights </w:t>
      </w:r>
      <w:r w:rsidRPr="00DD2D90">
        <w:rPr>
          <w:u w:val="single"/>
        </w:rPr>
        <w:t>the impact of medical debt on Black families</w:t>
      </w:r>
      <w:r w:rsidRPr="009278EB">
        <w:rPr>
          <w:sz w:val="16"/>
        </w:rPr>
        <w:t xml:space="preserve">. The report provides a sobering explanation of how disparities in healthcare and </w:t>
      </w:r>
      <w:r w:rsidRPr="00DD2D90">
        <w:rPr>
          <w:highlight w:val="green"/>
          <w:u w:val="single"/>
        </w:rPr>
        <w:t>medical debt</w:t>
      </w:r>
      <w:r w:rsidRPr="009278EB">
        <w:rPr>
          <w:sz w:val="16"/>
        </w:rPr>
        <w:t xml:space="preserve"> are </w:t>
      </w:r>
      <w:r w:rsidRPr="00DD2D90">
        <w:rPr>
          <w:highlight w:val="green"/>
          <w:u w:val="single"/>
        </w:rPr>
        <w:t>a result of underlying</w:t>
      </w:r>
      <w:r w:rsidRPr="009278EB">
        <w:rPr>
          <w:sz w:val="16"/>
        </w:rPr>
        <w:t xml:space="preserve">, pervasive </w:t>
      </w:r>
      <w:r w:rsidRPr="00DD2D90">
        <w:rPr>
          <w:highlight w:val="green"/>
          <w:u w:val="single"/>
        </w:rPr>
        <w:t>racial</w:t>
      </w:r>
      <w:r w:rsidRPr="009278EB">
        <w:rPr>
          <w:sz w:val="16"/>
        </w:rPr>
        <w:t xml:space="preserve"> </w:t>
      </w:r>
      <w:r w:rsidRPr="00DD2D90">
        <w:rPr>
          <w:highlight w:val="green"/>
          <w:u w:val="single"/>
        </w:rPr>
        <w:t>inequality</w:t>
      </w:r>
      <w:r w:rsidRPr="009278EB">
        <w:rPr>
          <w:sz w:val="16"/>
        </w:rPr>
        <w:t xml:space="preserve">. Unfortunately, these issues and impacts are all too familiar to District residents and Legal Aid’s client community.  </w:t>
      </w:r>
      <w:r w:rsidRPr="00DD2D90">
        <w:rPr>
          <w:u w:val="single"/>
        </w:rPr>
        <w:t xml:space="preserve">The Racial Health Gap  </w:t>
      </w:r>
      <w:r w:rsidRPr="009278EB">
        <w:rPr>
          <w:sz w:val="16"/>
        </w:rPr>
        <w:t xml:space="preserve">The </w:t>
      </w:r>
      <w:r w:rsidRPr="00DD2D90">
        <w:rPr>
          <w:highlight w:val="green"/>
          <w:u w:val="single"/>
        </w:rPr>
        <w:t>COVID</w:t>
      </w:r>
      <w:r w:rsidRPr="009278EB">
        <w:rPr>
          <w:sz w:val="16"/>
        </w:rPr>
        <w:t xml:space="preserve">-19 pandemic has </w:t>
      </w:r>
      <w:r w:rsidRPr="00DD2D90">
        <w:rPr>
          <w:highlight w:val="green"/>
          <w:u w:val="single"/>
        </w:rPr>
        <w:t>disproportionately affected communities of color</w:t>
      </w:r>
      <w:r w:rsidRPr="009278EB">
        <w:rPr>
          <w:sz w:val="16"/>
        </w:rPr>
        <w:t xml:space="preserve">, with CDC data showing that </w:t>
      </w:r>
      <w:r w:rsidRPr="00DD2D90">
        <w:rPr>
          <w:highlight w:val="green"/>
          <w:u w:val="single"/>
        </w:rPr>
        <w:t>Black</w:t>
      </w:r>
      <w:r w:rsidRPr="009278EB">
        <w:rPr>
          <w:sz w:val="16"/>
        </w:rPr>
        <w:t xml:space="preserve">, Latinx, American Indian and Alaska Native </w:t>
      </w:r>
      <w:r w:rsidRPr="00DD2D90">
        <w:rPr>
          <w:highlight w:val="green"/>
          <w:u w:val="single"/>
        </w:rPr>
        <w:t>persons</w:t>
      </w:r>
      <w:r w:rsidRPr="009278EB">
        <w:rPr>
          <w:sz w:val="16"/>
        </w:rPr>
        <w:t xml:space="preserve"> in the United States </w:t>
      </w:r>
      <w:r w:rsidRPr="00DD2D90">
        <w:rPr>
          <w:highlight w:val="green"/>
          <w:u w:val="single"/>
        </w:rPr>
        <w:t>experience higher rates of</w:t>
      </w:r>
      <w:r w:rsidRPr="009278EB">
        <w:rPr>
          <w:sz w:val="16"/>
        </w:rPr>
        <w:t xml:space="preserve"> COVID-19-related </w:t>
      </w:r>
      <w:r w:rsidRPr="00DD2D90">
        <w:rPr>
          <w:highlight w:val="green"/>
          <w:u w:val="single"/>
        </w:rPr>
        <w:t>illness</w:t>
      </w:r>
      <w:r w:rsidRPr="009278EB">
        <w:rPr>
          <w:sz w:val="16"/>
        </w:rPr>
        <w:t xml:space="preserve"> and death compared to non-Hispanic white persons. The District’s Black residents make up nearly 78% of deaths caused by COVID-19. The NCLC </w:t>
      </w:r>
      <w:r w:rsidRPr="00DD2D90">
        <w:rPr>
          <w:highlight w:val="green"/>
          <w:u w:val="single"/>
        </w:rPr>
        <w:t>report traces</w:t>
      </w:r>
      <w:r w:rsidRPr="009278EB">
        <w:rPr>
          <w:sz w:val="16"/>
        </w:rPr>
        <w:t xml:space="preserve"> these </w:t>
      </w:r>
      <w:r w:rsidRPr="00DD2D90">
        <w:rPr>
          <w:highlight w:val="green"/>
          <w:u w:val="single"/>
        </w:rPr>
        <w:t>disparities</w:t>
      </w:r>
      <w:r w:rsidRPr="009278EB">
        <w:rPr>
          <w:sz w:val="16"/>
        </w:rPr>
        <w:t xml:space="preserve"> in health access and outcomes </w:t>
      </w:r>
      <w:r w:rsidRPr="00DD2D90">
        <w:rPr>
          <w:highlight w:val="green"/>
          <w:u w:val="single"/>
        </w:rPr>
        <w:t>to Jim Crow laws that enforced segregation</w:t>
      </w:r>
      <w:r w:rsidRPr="00DD2D90">
        <w:rPr>
          <w:u w:val="single"/>
        </w:rPr>
        <w:t xml:space="preserve"> in all public facilities</w:t>
      </w:r>
      <w:r w:rsidRPr="009278EB">
        <w:rPr>
          <w:sz w:val="16"/>
        </w:rPr>
        <w:t xml:space="preserve">, including </w:t>
      </w:r>
      <w:r w:rsidRPr="00DD2D90">
        <w:rPr>
          <w:highlight w:val="green"/>
          <w:u w:val="single"/>
        </w:rPr>
        <w:t>hospitals</w:t>
      </w:r>
      <w:r w:rsidRPr="009278EB">
        <w:rPr>
          <w:sz w:val="16"/>
        </w:rPr>
        <w:t xml:space="preserve">. The passage of the Civil Rights Act of 1964 and enactment of Medicaid and Medicare ended lawful segregation in hospitals. However, </w:t>
      </w:r>
      <w:r w:rsidRPr="00DD2D90">
        <w:rPr>
          <w:u w:val="single"/>
        </w:rPr>
        <w:t>structural racism in healthcare continues to result in disparities</w:t>
      </w:r>
      <w:r w:rsidRPr="009278EB">
        <w:rPr>
          <w:sz w:val="16"/>
        </w:rPr>
        <w:t xml:space="preserve"> in healthcare access, quality, and outcomes.  Though these disparities create major obstacles for households of color, under the Affordable Care Act, the </w:t>
      </w:r>
      <w:r w:rsidRPr="00DD2D90">
        <w:rPr>
          <w:highlight w:val="green"/>
          <w:u w:val="single"/>
        </w:rPr>
        <w:t>expansion of Medicaid</w:t>
      </w:r>
      <w:r w:rsidRPr="009278EB">
        <w:rPr>
          <w:sz w:val="16"/>
        </w:rPr>
        <w:t xml:space="preserve"> has helped </w:t>
      </w:r>
      <w:r w:rsidRPr="00DD2D90">
        <w:rPr>
          <w:highlight w:val="green"/>
          <w:u w:val="single"/>
        </w:rPr>
        <w:t>alleviate some of these challenges</w:t>
      </w:r>
      <w:r w:rsidRPr="009278EB">
        <w:rPr>
          <w:sz w:val="16"/>
        </w:rPr>
        <w:t xml:space="preserve">. A recent study found that </w:t>
      </w:r>
      <w:r w:rsidRPr="00DD2D90">
        <w:rPr>
          <w:highlight w:val="green"/>
          <w:u w:val="single"/>
        </w:rPr>
        <w:t>low-income parents in states that opted to expand Medicaid had a greater ability to pay off medical bills and experienced less psychological distressors.</w:t>
      </w:r>
      <w:r w:rsidRPr="009278EB">
        <w:rPr>
          <w:sz w:val="16"/>
        </w:rPr>
        <w:t xml:space="preserve"> In 2010, the District chose to expand Medicaid coverage for residents and now, DC’s eligibility limits are “among the most generous in the nation.” One in three District residents are eligible for Medicaid or DC Healthcare Alliance, a healthcare program provided to individuals not eligible for Medicaid.  </w:t>
      </w:r>
      <w:r w:rsidRPr="00DD2D90">
        <w:rPr>
          <w:highlight w:val="green"/>
          <w:u w:val="single"/>
        </w:rPr>
        <w:t>Still, medical debt is</w:t>
      </w:r>
      <w:r w:rsidRPr="00DD2D90">
        <w:rPr>
          <w:u w:val="single"/>
        </w:rPr>
        <w:t xml:space="preserve"> the second most </w:t>
      </w:r>
      <w:r w:rsidRPr="00DD2D90">
        <w:rPr>
          <w:highlight w:val="green"/>
          <w:u w:val="single"/>
        </w:rPr>
        <w:t>common</w:t>
      </w:r>
      <w:r w:rsidRPr="009278EB">
        <w:rPr>
          <w:sz w:val="16"/>
        </w:rPr>
        <w:t xml:space="preserve"> type of debt collection</w:t>
      </w:r>
      <w:r w:rsidRPr="00DD2D90">
        <w:rPr>
          <w:u w:val="single"/>
        </w:rPr>
        <w:t xml:space="preserve"> in the District</w:t>
      </w:r>
      <w:r w:rsidRPr="009278EB">
        <w:rPr>
          <w:sz w:val="16"/>
        </w:rPr>
        <w:t xml:space="preserve">. With such expansive healthcare coverage, why is this the case? At least part of the answer may lie in residents’ ability to access healthcare benefits. In November 2021, the DC Departments of Human Services and Healthcare Finance rolled out a new benefits platform called District Direct. Applicants are directed to apply and recertify for various public benefits including Medicaid on the website or the mobile app. Unfortunately, the transition to District Direct has not been smooth—some individuals are unable to access the platform at all due to language barriers.  Not only can the process of accessing healthcare be difficult, but poor administration of benefits can also discourage residents from seeking healthcare services. For example, last year thousands of Alliance beneficiaries were erroneously terminated from their healthcare benefits without notice. These types of failures can lead to negative health outcomes and much more.  The Racial Wealth Gap  </w:t>
      </w:r>
      <w:r w:rsidRPr="00DD2D90">
        <w:rPr>
          <w:u w:val="single"/>
        </w:rPr>
        <w:t>Disparities in healthcare access, quality, and outcomes can also lead to disparate impacts of medical debt. Medical debt disproportionately affects Black households - nationally,</w:t>
      </w:r>
      <w:r w:rsidRPr="009278EB">
        <w:rPr>
          <w:sz w:val="16"/>
        </w:rPr>
        <w:t xml:space="preserve"> </w:t>
      </w:r>
      <w:r w:rsidRPr="00DD2D90">
        <w:rPr>
          <w:highlight w:val="green"/>
          <w:u w:val="single"/>
        </w:rPr>
        <w:t>27% percent of Black households report having medical debt</w:t>
      </w:r>
      <w:r w:rsidRPr="009278EB">
        <w:rPr>
          <w:sz w:val="16"/>
        </w:rPr>
        <w:t xml:space="preserve">, compared to 17.2% of white non-Hispanic households. And even more broadly, because of structural racism in hiring and lending, Black households are still more likely to have lower incomes and lack access to wealth-building vehicles like homeownership, compared to white households. A report on the racial wealth gap in DC describes the stark wealth disparities between the District’s white and Black residents – white households have a net worth 81 times greater than Black households; the median white resident’s income is three times the median Black resident’s income; and over 25% of Black residents experience poverty, compared to 5.9% of DC’s white residents. These wealth disparities mean </w:t>
      </w:r>
      <w:r w:rsidRPr="00DD2D90">
        <w:rPr>
          <w:highlight w:val="green"/>
          <w:u w:val="single"/>
        </w:rPr>
        <w:t>medical bills are more likely to create financial hardships for Black families</w:t>
      </w:r>
      <w:r w:rsidRPr="009278EB">
        <w:rPr>
          <w:sz w:val="16"/>
        </w:rPr>
        <w:t xml:space="preserve"> than for white families.  The </w:t>
      </w:r>
      <w:r w:rsidRPr="00DD2D90">
        <w:rPr>
          <w:u w:val="single"/>
        </w:rPr>
        <w:t>NCLC report offers a range of recommendations to tackle the medical debt crisis</w:t>
      </w:r>
      <w:r w:rsidRPr="009278EB">
        <w:rPr>
          <w:sz w:val="16"/>
        </w:rPr>
        <w:t xml:space="preserve">, starting with reforms to state and federal policies as an important first step in closing the racial health and wealth gaps. One of the primary NCLC recommendations is that policymakers strengthen protections against aggressive debt collection. The District took an important step toward that goal last year by passing emergency and temporary amendments to the District’s obsolete debt collection law, which protects consumers against unfair and abusive debt collection and now covers medical debt for the first time. The District must now make those protections permanent.  While these legislative changes do not get to the root causes of racial disparities in debt collection, the District’s Racial Equity Impact Assessment of the bill is an encouraging sign that reforms like this can move the needle in the right direction. </w:t>
      </w:r>
    </w:p>
    <w:p w14:paraId="1F667F68" w14:textId="77777777" w:rsidR="00FA1D49" w:rsidRPr="009278EB" w:rsidRDefault="00FA1D49">
      <w:pPr>
        <w:rPr>
          <w:rFonts w:eastAsiaTheme="majorEastAsia" w:cstheme="majorBidi"/>
          <w:b/>
          <w:iCs/>
          <w:sz w:val="16"/>
        </w:rPr>
      </w:pPr>
      <w:r w:rsidRPr="009278EB">
        <w:rPr>
          <w:sz w:val="16"/>
        </w:rPr>
        <w:br w:type="page"/>
      </w:r>
    </w:p>
    <w:p w14:paraId="73E81D9C" w14:textId="58DFDE78" w:rsidR="009651BD" w:rsidRPr="009278EB" w:rsidRDefault="009651BD" w:rsidP="009651BD">
      <w:pPr>
        <w:pStyle w:val="Heading4"/>
        <w:rPr>
          <w:szCs w:val="26"/>
        </w:rPr>
      </w:pPr>
      <w:r w:rsidRPr="009278EB">
        <w:rPr>
          <w:szCs w:val="26"/>
        </w:rPr>
        <w:t xml:space="preserve">ESI </w:t>
      </w:r>
      <w:r w:rsidR="000A06F9" w:rsidRPr="009278EB">
        <w:rPr>
          <w:szCs w:val="26"/>
        </w:rPr>
        <w:t xml:space="preserve">causes systemic </w:t>
      </w:r>
      <w:r w:rsidRPr="009278EB">
        <w:rPr>
          <w:szCs w:val="26"/>
        </w:rPr>
        <w:t>racism</w:t>
      </w:r>
      <w:r w:rsidR="003551FB" w:rsidRPr="009278EB">
        <w:rPr>
          <w:szCs w:val="26"/>
        </w:rPr>
        <w:t xml:space="preserve"> against minority small business owners</w:t>
      </w:r>
    </w:p>
    <w:p w14:paraId="2AC4D63F" w14:textId="77777777" w:rsidR="009651BD" w:rsidRPr="00DD2D90" w:rsidRDefault="009651BD" w:rsidP="009651BD">
      <w:r w:rsidRPr="009278EB">
        <w:rPr>
          <w:b/>
          <w:bCs/>
          <w:sz w:val="26"/>
          <w:szCs w:val="26"/>
        </w:rPr>
        <w:t>Tran and Krueger 25</w:t>
      </w:r>
      <w:r w:rsidRPr="00DD2D90">
        <w:t xml:space="preserve"> [Melanie K. Tran, and Patrick M. Krueger, both professors at the University of Colorado Denver Department of Health &amp; Behavioral Science, 2025, "Minority-owned small businesses and employer-sponsored health insurance", PubMed Central (PMC), https://pmc.ncbi.nlm.nih.gov/articles/PMC12410354/]/Kankee</w:t>
      </w:r>
    </w:p>
    <w:p w14:paraId="5542E00B" w14:textId="4FD7CC36" w:rsidR="009651BD" w:rsidRPr="009278EB" w:rsidRDefault="009651BD" w:rsidP="009651BD">
      <w:pPr>
        <w:rPr>
          <w:sz w:val="16"/>
        </w:rPr>
      </w:pPr>
      <w:r w:rsidRPr="009278EB">
        <w:rPr>
          <w:sz w:val="16"/>
        </w:rPr>
        <w:t xml:space="preserve">Abstract Employer-sponsored health insurance (ESI) is a primary source of health coverage for working-aged adults in the U.S. Although most larger employers offer ESI, 46% of U.S. workers are employed by small businesses, which offer ESI at less than half the rate of large businesses. We extend prior research by examining detailed racial/ethnic ownership of small businesses and trends in offering ESI throughout the rollout of the Affordable Care Act's (ACA) small business policies. We use restricted data from the Census Bureau's 2012 Survey of Business Owners and the 2014–2016 waves of the Annual Survey of Entrepreneurs. Binary logistic regression allows us to examine whether the racial/ethnic composition of the business owners is associated with offering ESI, within each of the four waves of data. Finally, we plot the fitted percentage of small businesses that offer ESI across time and racial/ethnic ownership status, while adjusting for owner and firm characteristics. </w:t>
      </w:r>
      <w:r w:rsidRPr="00DD2D90">
        <w:rPr>
          <w:rStyle w:val="StyleUnderline"/>
        </w:rPr>
        <w:t>The majority of small businesses do not offer ESI</w:t>
      </w:r>
      <w:r w:rsidRPr="009278EB">
        <w:rPr>
          <w:sz w:val="16"/>
        </w:rPr>
        <w:t xml:space="preserve">. Further, disparities are substantial. In 2012, </w:t>
      </w:r>
      <w:r w:rsidRPr="00DD2D90">
        <w:rPr>
          <w:rStyle w:val="StyleUnderline"/>
        </w:rPr>
        <w:t xml:space="preserve">just </w:t>
      </w:r>
      <w:r w:rsidRPr="00DD2D90">
        <w:rPr>
          <w:rStyle w:val="StyleUnderline"/>
          <w:highlight w:val="green"/>
        </w:rPr>
        <w:t>41% of White-owned small businesses offer ESI</w:t>
      </w:r>
      <w:r w:rsidRPr="00DD2D90">
        <w:rPr>
          <w:rStyle w:val="StyleUnderline"/>
        </w:rPr>
        <w:t xml:space="preserve">, </w:t>
      </w:r>
      <w:r w:rsidRPr="00DD2D90">
        <w:rPr>
          <w:rStyle w:val="StyleUnderline"/>
          <w:highlight w:val="green"/>
        </w:rPr>
        <w:t>compared to 26% of Black-, 26% of Asian-, and 23% of Hispanic</w:t>
      </w:r>
      <w:r w:rsidRPr="00DD2D90">
        <w:rPr>
          <w:rStyle w:val="StyleUnderline"/>
        </w:rPr>
        <w:t>-owned small businesses</w:t>
      </w:r>
      <w:r w:rsidRPr="009278EB">
        <w:rPr>
          <w:sz w:val="16"/>
        </w:rPr>
        <w:t xml:space="preserve">. These disparities fail to improve across years when the ACA incentives were implemented. Policies that recognize and address differences in ESI among small businesses, especially among Black-, Asian-, and Hispanic-owned small businesses, could strengthen healthcare systems and access to care in communities where minority-owned small businesses and their employees are located. Keywords: Employee health benefit plans, Health insurance, Patient protection and affordable care act, Ethnic and racial minorities, Small business, Health disparities, Population health Highlights • Less than half of small businesses offer employer-sponsored health insurance. • Minority-owned businesses offer insurance less often than White-owned businesses. • The </w:t>
      </w:r>
      <w:r w:rsidRPr="00DD2D90">
        <w:rPr>
          <w:rStyle w:val="StyleUnderline"/>
        </w:rPr>
        <w:t>disparities suggest barriers to health insurance for U.S. workers and families</w:t>
      </w:r>
      <w:r w:rsidRPr="009278EB">
        <w:rPr>
          <w:sz w:val="16"/>
        </w:rPr>
        <w:t xml:space="preserve">. • </w:t>
      </w:r>
      <w:r w:rsidRPr="00DD2D90">
        <w:rPr>
          <w:rStyle w:val="StyleUnderline"/>
        </w:rPr>
        <w:t>Policies that support</w:t>
      </w:r>
      <w:r w:rsidRPr="009278EB">
        <w:rPr>
          <w:sz w:val="16"/>
        </w:rPr>
        <w:t xml:space="preserve"> small businesses' </w:t>
      </w:r>
      <w:r w:rsidRPr="00DD2D90">
        <w:rPr>
          <w:rStyle w:val="StyleUnderline"/>
        </w:rPr>
        <w:t>provision of</w:t>
      </w:r>
      <w:r w:rsidRPr="009278EB">
        <w:rPr>
          <w:sz w:val="16"/>
        </w:rPr>
        <w:t xml:space="preserve"> </w:t>
      </w:r>
      <w:r w:rsidRPr="00DD2D90">
        <w:rPr>
          <w:rStyle w:val="StyleUnderline"/>
        </w:rPr>
        <w:t xml:space="preserve">health insurance are </w:t>
      </w:r>
      <w:r w:rsidRPr="00DD2D90">
        <w:rPr>
          <w:rStyle w:val="Emphasis"/>
        </w:rPr>
        <w:t>essential</w:t>
      </w:r>
      <w:r w:rsidRPr="009278EB">
        <w:rPr>
          <w:sz w:val="16"/>
        </w:rPr>
        <w:t xml:space="preserve">. 1. Introduction Employer-sponsored health insurance (ESI) is the backbone of healthcare coverage in the U.S., yet small businesses offer ESI at half the rate of larger businesses, a disparity that persists despite provisions in the Affordable Care Act (ACA) to support small businesses (Agency for Healthcare Research and Quality, 2023; Blumenthal, 2006; Branscome et al., 2000; Grundy et al., .; Trude et al., 2002). Prior literature and policies focus on business size disparities in ESI, but haven't disaggregated minority-owned small businesses into White-, Black-, Asian-, and Hispanic-owned businesses, even though racial/ethnic minority-owned small businesses face unique forms of social, financial, and political discrimination that can reduce their likelihood of offering ESI (Buchmueller et al., 2007; Carrasquillo et al., 2000; Hossain et al., 2019; Portes &amp; Jensen, 1987; Zuvekas &amp; Taliaferro, 2003). We extend prior work and examine the association between detailed racial/ethnic-owned small businesses and the provision of ESI to determine which groups are especially disadvantaged and inform policies to effectively address disparities in offering ESI. </w:t>
      </w:r>
      <w:r w:rsidRPr="00DD2D90">
        <w:rPr>
          <w:rStyle w:val="StyleUnderline"/>
        </w:rPr>
        <w:t xml:space="preserve">ESI plays a crucial role in covering more than half of the U.S. non-elderly population, and </w:t>
      </w:r>
      <w:r w:rsidRPr="00DD2D90">
        <w:rPr>
          <w:rStyle w:val="StyleUnderline"/>
          <w:highlight w:val="green"/>
        </w:rPr>
        <w:t>limited access</w:t>
      </w:r>
      <w:r w:rsidRPr="00DD2D90">
        <w:rPr>
          <w:rStyle w:val="StyleUnderline"/>
        </w:rPr>
        <w:t xml:space="preserve"> to ESI </w:t>
      </w:r>
      <w:r w:rsidRPr="00DD2D90">
        <w:rPr>
          <w:rStyle w:val="StyleUnderline"/>
          <w:highlight w:val="green"/>
        </w:rPr>
        <w:t>adversely impacts the health and</w:t>
      </w:r>
      <w:r w:rsidRPr="00DD2D90">
        <w:rPr>
          <w:rStyle w:val="StyleUnderline"/>
        </w:rPr>
        <w:t xml:space="preserve"> healthcare systems </w:t>
      </w:r>
      <w:r w:rsidRPr="00DD2D90">
        <w:rPr>
          <w:rStyle w:val="StyleUnderline"/>
          <w:highlight w:val="green"/>
        </w:rPr>
        <w:t>of communities that surround small businesses</w:t>
      </w:r>
      <w:r w:rsidRPr="009278EB">
        <w:rPr>
          <w:sz w:val="16"/>
        </w:rPr>
        <w:t xml:space="preserve"> (Berchick et al., 2018). </w:t>
      </w:r>
      <w:r w:rsidRPr="00DD2D90">
        <w:rPr>
          <w:rStyle w:val="StyleUnderline"/>
          <w:highlight w:val="green"/>
        </w:rPr>
        <w:t>Racial</w:t>
      </w:r>
      <w:r w:rsidRPr="00DD2D90">
        <w:rPr>
          <w:rStyle w:val="StyleUnderline"/>
        </w:rPr>
        <w:t xml:space="preserve">/ethnic </w:t>
      </w:r>
      <w:r w:rsidRPr="00DD2D90">
        <w:rPr>
          <w:rStyle w:val="StyleUnderline"/>
          <w:highlight w:val="green"/>
        </w:rPr>
        <w:t>minorities are</w:t>
      </w:r>
      <w:r w:rsidRPr="00DD2D90">
        <w:rPr>
          <w:rStyle w:val="StyleUnderline"/>
        </w:rPr>
        <w:t xml:space="preserve"> particularly </w:t>
      </w:r>
      <w:r w:rsidRPr="00DD2D90">
        <w:rPr>
          <w:rStyle w:val="StyleUnderline"/>
          <w:highlight w:val="green"/>
        </w:rPr>
        <w:t>at risk of being uninsured</w:t>
      </w:r>
      <w:r w:rsidRPr="00DD2D90">
        <w:rPr>
          <w:rStyle w:val="StyleUnderline"/>
        </w:rPr>
        <w:t xml:space="preserve"> </w:t>
      </w:r>
      <w:r w:rsidRPr="00DD2D90">
        <w:rPr>
          <w:rStyle w:val="StyleUnderline"/>
          <w:highlight w:val="green"/>
        </w:rPr>
        <w:t xml:space="preserve">since they are more likely to work in small businesses and have lower rates of </w:t>
      </w:r>
      <w:r w:rsidRPr="00DD2D90">
        <w:rPr>
          <w:rStyle w:val="StyleUnderline"/>
        </w:rPr>
        <w:t xml:space="preserve">health </w:t>
      </w:r>
      <w:r w:rsidRPr="00DD2D90">
        <w:rPr>
          <w:rStyle w:val="StyleUnderline"/>
          <w:highlight w:val="green"/>
        </w:rPr>
        <w:t>insurance coverage</w:t>
      </w:r>
      <w:r w:rsidRPr="00DD2D90">
        <w:rPr>
          <w:rStyle w:val="StyleUnderline"/>
        </w:rPr>
        <w:t xml:space="preserve"> compared to White employees</w:t>
      </w:r>
      <w:r w:rsidRPr="009278EB">
        <w:rPr>
          <w:sz w:val="16"/>
        </w:rPr>
        <w:t xml:space="preserve"> (Barnett &amp; Vornovitsky, 2015; Carrillo et al., 2001; Hall et al., 1999; Lillie-Blanton &amp; Hoffman, 2005; Zhou, 2004). Because employers assist with the costs and logistics of ESI, comparable </w:t>
      </w:r>
      <w:r w:rsidRPr="00DD2D90">
        <w:rPr>
          <w:rStyle w:val="StyleUnderline"/>
        </w:rPr>
        <w:t>health insurance on the individual health care exchanges is neither as affordable or easily accessible,</w:t>
      </w:r>
      <w:r w:rsidRPr="009278EB">
        <w:rPr>
          <w:sz w:val="16"/>
        </w:rPr>
        <w:t xml:space="preserve"> </w:t>
      </w:r>
      <w:r w:rsidRPr="00DD2D90">
        <w:rPr>
          <w:rStyle w:val="StyleUnderline"/>
        </w:rPr>
        <w:t>especially for low-income employees</w:t>
      </w:r>
      <w:r w:rsidRPr="009278EB">
        <w:rPr>
          <w:sz w:val="16"/>
        </w:rPr>
        <w:t xml:space="preserve"> and their families (Keenan et al., 2018). While some small businesses shifted their employees to the individual marketplace in 2014, many are migrating back to the small group marketplace due to rising premiums and deductibles, narrow network plans, and concerns about the long-term stability of the individual marketplace amidst federal efforts to repeal the ACA (Corlette et al., 2017; Mendoza, 2022). Despite the ACA's efforts to improve access to insurance outside of ESI, namely Medicaid expansion and the individual marketplace, ESI remains valuable and durable amidst uncertain policy environments. Finally, if disparities in ESI endure over time, it suggests the ACA did not address these disparities while also leaving marginalized populations more vulnerable. 1.1. Racial/ethnic disparities in small businesses ownership and ESI </w:t>
      </w:r>
      <w:r w:rsidRPr="00DD2D90">
        <w:rPr>
          <w:rStyle w:val="StyleUnderline"/>
        </w:rPr>
        <w:t>One in five businesses are owned by racial/ethnic minorities</w:t>
      </w:r>
      <w:r w:rsidRPr="009278EB">
        <w:rPr>
          <w:sz w:val="16"/>
        </w:rPr>
        <w:t xml:space="preserve"> (Capitalize survey name). Prior work, however, has not examined the association between detailed racial/ethnic ownership of small businesses and ESI, although those disparities may be substantial for three reasons. First, Black-, Asian-, and Hispanic-owned small businesses have distinct entrepreneurship experiences stemming from historical and current discrimination—including residential segregation, cultural racism including implicit bias, and labor market segregation—which may contribute to variation in ESI (Bates et al., 2018; Brondolo et al., 2009; Williams et al., 2019). For example, </w:t>
      </w:r>
      <w:r w:rsidRPr="00DD2D90">
        <w:rPr>
          <w:rStyle w:val="StyleUnderline"/>
        </w:rPr>
        <w:t xml:space="preserve">Black-, Asian-, and </w:t>
      </w:r>
      <w:r w:rsidRPr="00DD2D90">
        <w:rPr>
          <w:rStyle w:val="StyleUnderline"/>
          <w:highlight w:val="green"/>
        </w:rPr>
        <w:t>Hispanic</w:t>
      </w:r>
      <w:r w:rsidRPr="00DD2D90">
        <w:rPr>
          <w:rStyle w:val="StyleUnderline"/>
        </w:rPr>
        <w:t xml:space="preserve">-owned </w:t>
      </w:r>
      <w:r w:rsidRPr="00DD2D90">
        <w:rPr>
          <w:rStyle w:val="StyleUnderline"/>
          <w:highlight w:val="green"/>
        </w:rPr>
        <w:t>small businesses might experience discrimination that limits</w:t>
      </w:r>
      <w:r w:rsidRPr="00DD2D90">
        <w:rPr>
          <w:rStyle w:val="StyleUnderline"/>
        </w:rPr>
        <w:t xml:space="preserve"> their </w:t>
      </w:r>
      <w:r w:rsidRPr="00DD2D90">
        <w:rPr>
          <w:rStyle w:val="StyleUnderline"/>
          <w:highlight w:val="green"/>
        </w:rPr>
        <w:t>access to</w:t>
      </w:r>
      <w:r w:rsidRPr="00DD2D90">
        <w:rPr>
          <w:rStyle w:val="StyleUnderline"/>
        </w:rPr>
        <w:t xml:space="preserve"> </w:t>
      </w:r>
      <w:r w:rsidRPr="00DD2D90">
        <w:rPr>
          <w:rStyle w:val="StyleUnderline"/>
          <w:highlight w:val="green"/>
        </w:rPr>
        <w:t>professional networks</w:t>
      </w:r>
      <w:r w:rsidRPr="00DD2D90">
        <w:rPr>
          <w:rStyle w:val="StyleUnderline"/>
        </w:rPr>
        <w:t xml:space="preserve"> </w:t>
      </w:r>
      <w:r w:rsidRPr="00DD2D90">
        <w:rPr>
          <w:rStyle w:val="StyleUnderline"/>
          <w:highlight w:val="green"/>
        </w:rPr>
        <w:t>that</w:t>
      </w:r>
      <w:r w:rsidRPr="00DD2D90">
        <w:rPr>
          <w:rStyle w:val="StyleUnderline"/>
        </w:rPr>
        <w:t xml:space="preserve"> are dominated by White-owned small businesses, and miss out on </w:t>
      </w:r>
      <w:r w:rsidRPr="00DD2D90">
        <w:rPr>
          <w:rStyle w:val="StyleUnderline"/>
          <w:highlight w:val="green"/>
        </w:rPr>
        <w:t>connect</w:t>
      </w:r>
      <w:r w:rsidRPr="00DD2D90">
        <w:rPr>
          <w:rStyle w:val="StyleUnderline"/>
        </w:rPr>
        <w:t xml:space="preserve">ions </w:t>
      </w:r>
      <w:r w:rsidRPr="00DD2D90">
        <w:rPr>
          <w:rStyle w:val="StyleUnderline"/>
          <w:highlight w:val="green"/>
        </w:rPr>
        <w:t>to</w:t>
      </w:r>
      <w:r w:rsidRPr="00DD2D90">
        <w:rPr>
          <w:rStyle w:val="StyleUnderline"/>
        </w:rPr>
        <w:t xml:space="preserve"> the </w:t>
      </w:r>
      <w:r w:rsidRPr="00DD2D90">
        <w:rPr>
          <w:rStyle w:val="StyleUnderline"/>
          <w:highlight w:val="green"/>
        </w:rPr>
        <w:t>insurance brokers</w:t>
      </w:r>
      <w:r w:rsidRPr="009278EB">
        <w:rPr>
          <w:sz w:val="16"/>
        </w:rPr>
        <w:t xml:space="preserve"> and agents who help nearly all small businesses to select insurance plans (Bonilla-Silva, 2001; Carrillo et al., 2001; Combs, 2003; Karaca-Mandic et al., 2018; McManus, 2016; Mehra et al., 1998; Mendoza, 2022; Nkomo &amp; Al Ariss, 2014; Omi &amp; Winant, 2014; Portes, 1987; Zuvekas &amp; Taliaferro, 2003). Second, Black-, Asian-, and Hispanic-owned small businesses routinely experience discrimination in the form of credit financing and loan denials (Blanchflower et al., 2003; Cavalluzzo &amp; Wolken, 2005). </w:t>
      </w:r>
      <w:r w:rsidRPr="00DD2D90">
        <w:rPr>
          <w:rStyle w:val="StyleUnderline"/>
        </w:rPr>
        <w:t xml:space="preserve">Due to inequitable treatment by banks and government entities, the </w:t>
      </w:r>
      <w:r w:rsidRPr="00DD2D90">
        <w:rPr>
          <w:rStyle w:val="StyleUnderline"/>
          <w:highlight w:val="green"/>
        </w:rPr>
        <w:t>limited financial capital</w:t>
      </w:r>
      <w:r w:rsidRPr="00DD2D90">
        <w:rPr>
          <w:rStyle w:val="StyleUnderline"/>
        </w:rPr>
        <w:t xml:space="preserve"> of minority-owned businesses </w:t>
      </w:r>
      <w:r w:rsidRPr="00DD2D90">
        <w:rPr>
          <w:rStyle w:val="StyleUnderline"/>
          <w:highlight w:val="green"/>
        </w:rPr>
        <w:t>may hinder their ability to offer ESI</w:t>
      </w:r>
      <w:r w:rsidRPr="009278EB">
        <w:rPr>
          <w:sz w:val="16"/>
        </w:rPr>
        <w:t xml:space="preserve">. Third, racial/ethnic minorities suffer from inequitable access and treatment within the healthcare system, and Black-, Asian-, and Hispanic-owned small businesses' ESI decisions are likely impacted by their owners' healthcare interactions (Reskin, 2012). Patients’ satisfaction with, and use of, health services are lower for Black, Asian, and Hispanic patients than for White patients (Liao et al., 2020; Saha et al., 2003; Spencer &amp; Grace, 2016). Perceptions on the necessity of health insurance, accessibility of providers, and negative healthcare experiences could discourage Black-, Asian-, and Hispanic-owned small businesses from offering health insurance compared to their White-owned counterparts (Lillie-Blanton et al., 2000; Van Ryn, 2002). Hypothesis 1 Black-, Asian-, and Hispanic-owned small businesses are less likely than White-owned small businesses to offer ESI. 1.2. Small business characteristics and ESI </w:t>
      </w:r>
    </w:p>
    <w:p w14:paraId="3DD1563B" w14:textId="77777777" w:rsidR="00FA1D49" w:rsidRPr="009278EB" w:rsidRDefault="00FA1D49">
      <w:pPr>
        <w:rPr>
          <w:rFonts w:eastAsiaTheme="majorEastAsia" w:cstheme="majorBidi"/>
          <w:b/>
          <w:iCs/>
          <w:sz w:val="16"/>
        </w:rPr>
      </w:pPr>
      <w:r w:rsidRPr="009278EB">
        <w:rPr>
          <w:sz w:val="16"/>
        </w:rPr>
        <w:br w:type="page"/>
      </w:r>
    </w:p>
    <w:p w14:paraId="1B4C5282" w14:textId="3A327C24" w:rsidR="00E15F73" w:rsidRPr="009278EB" w:rsidRDefault="00E15F73" w:rsidP="00E15F73">
      <w:pPr>
        <w:pStyle w:val="Heading4"/>
        <w:rPr>
          <w:szCs w:val="26"/>
        </w:rPr>
      </w:pPr>
      <w:r w:rsidRPr="009278EB">
        <w:rPr>
          <w:szCs w:val="26"/>
        </w:rPr>
        <w:t xml:space="preserve">Deinstitutionalization meant that mental healthcare is de-prioritized and not treated as a public good, </w:t>
      </w:r>
      <w:r w:rsidR="006A721B" w:rsidRPr="009278EB">
        <w:rPr>
          <w:szCs w:val="26"/>
        </w:rPr>
        <w:t>contributing</w:t>
      </w:r>
      <w:r w:rsidRPr="009278EB">
        <w:rPr>
          <w:szCs w:val="26"/>
        </w:rPr>
        <w:t xml:space="preserve"> to mass incarceration</w:t>
      </w:r>
    </w:p>
    <w:p w14:paraId="5A060763" w14:textId="47589FCA" w:rsidR="00E15F73" w:rsidRPr="00DD2D90" w:rsidRDefault="00E15F73" w:rsidP="00E15F73">
      <w:r w:rsidRPr="009278EB">
        <w:rPr>
          <w:rStyle w:val="Style13ptBold"/>
          <w:szCs w:val="26"/>
        </w:rPr>
        <w:t>Raphelson 17</w:t>
      </w:r>
      <w:r w:rsidRPr="00DD2D90">
        <w:t xml:space="preserve"> [Samantha Raphelson, NPR writer and BA in journalism from American University, 2017, “How </w:t>
      </w:r>
      <w:proofErr w:type="gramStart"/>
      <w:r w:rsidRPr="00DD2D90">
        <w:t>The</w:t>
      </w:r>
      <w:proofErr w:type="gramEnd"/>
      <w:r w:rsidRPr="00DD2D90">
        <w:t xml:space="preserve"> Loss </w:t>
      </w:r>
      <w:proofErr w:type="gramStart"/>
      <w:r w:rsidRPr="00DD2D90">
        <w:t>Of</w:t>
      </w:r>
      <w:proofErr w:type="gramEnd"/>
      <w:r w:rsidRPr="00DD2D90">
        <w:t xml:space="preserve"> U.S. Psychiatric Hospitals Led </w:t>
      </w:r>
      <w:proofErr w:type="gramStart"/>
      <w:r w:rsidRPr="00DD2D90">
        <w:t>To</w:t>
      </w:r>
      <w:proofErr w:type="gramEnd"/>
      <w:r w:rsidRPr="00DD2D90">
        <w:t xml:space="preserve"> </w:t>
      </w:r>
      <w:proofErr w:type="gramStart"/>
      <w:r w:rsidRPr="00DD2D90">
        <w:t>A</w:t>
      </w:r>
      <w:proofErr w:type="gramEnd"/>
      <w:r w:rsidRPr="00DD2D90">
        <w:t xml:space="preserve"> Mental Health Crisis,” NPR, https://www.npr.org/2017/11/30/567477160/how-the-loss-of-u-s-psychiatric-hospitals-led-to-a-mental-health-crisis]/Kankee</w:t>
      </w:r>
    </w:p>
    <w:p w14:paraId="345649B7" w14:textId="77777777" w:rsidR="00E15F73" w:rsidRPr="009278EB" w:rsidRDefault="00E15F73" w:rsidP="00E15F73">
      <w:pPr>
        <w:rPr>
          <w:sz w:val="16"/>
        </w:rPr>
      </w:pPr>
      <w:r w:rsidRPr="00DD2D90">
        <w:rPr>
          <w:rStyle w:val="StyleUnderline"/>
          <w:highlight w:val="green"/>
        </w:rPr>
        <w:t>A severe shortage of inpatient care</w:t>
      </w:r>
      <w:r w:rsidRPr="00DD2D90">
        <w:rPr>
          <w:rStyle w:val="StyleUnderline"/>
        </w:rPr>
        <w:t xml:space="preserve"> for people with mental illness </w:t>
      </w:r>
      <w:r w:rsidRPr="00DD2D90">
        <w:rPr>
          <w:rStyle w:val="StyleUnderline"/>
          <w:highlight w:val="green"/>
        </w:rPr>
        <w:t xml:space="preserve">is amounting to a </w:t>
      </w:r>
      <w:r w:rsidRPr="00DD2D90">
        <w:rPr>
          <w:rStyle w:val="Emphasis"/>
          <w:highlight w:val="green"/>
        </w:rPr>
        <w:t>public health crisis</w:t>
      </w:r>
      <w:r w:rsidRPr="00DD2D90">
        <w:rPr>
          <w:rStyle w:val="StyleUnderline"/>
        </w:rPr>
        <w:t xml:space="preserve">, as the number of individuals struggling with a range of psychiatric problems continues to rise. </w:t>
      </w:r>
      <w:r w:rsidRPr="009278EB">
        <w:rPr>
          <w:sz w:val="16"/>
        </w:rPr>
        <w:t xml:space="preserve">The revelation that the gunman in the Sutherland Springs, Texas, church shooting escaped from a psychiatric hospital in 2012 is renewing concerns about the state of mental health care in this country. A study published in the journal Psychiatric Services estimates </w:t>
      </w:r>
      <w:r w:rsidRPr="00DD2D90">
        <w:rPr>
          <w:rStyle w:val="Emphasis"/>
          <w:highlight w:val="green"/>
        </w:rPr>
        <w:t>3.4 percent of Americans</w:t>
      </w:r>
      <w:r w:rsidRPr="00DD2D90">
        <w:rPr>
          <w:rStyle w:val="StyleUnderline"/>
        </w:rPr>
        <w:t xml:space="preserve"> — more than 8 million people — </w:t>
      </w:r>
      <w:r w:rsidRPr="00DD2D90">
        <w:rPr>
          <w:rStyle w:val="Emphasis"/>
          <w:highlight w:val="green"/>
        </w:rPr>
        <w:t>suffer</w:t>
      </w:r>
      <w:r w:rsidRPr="00DD2D90">
        <w:rPr>
          <w:rStyle w:val="StyleUnderline"/>
          <w:highlight w:val="green"/>
        </w:rPr>
        <w:t xml:space="preserve"> </w:t>
      </w:r>
      <w:r w:rsidRPr="00DD2D90">
        <w:rPr>
          <w:rStyle w:val="Emphasis"/>
          <w:highlight w:val="green"/>
        </w:rPr>
        <w:t>from</w:t>
      </w:r>
      <w:r w:rsidRPr="00DD2D90">
        <w:rPr>
          <w:rStyle w:val="StyleUnderline"/>
          <w:highlight w:val="green"/>
        </w:rPr>
        <w:t xml:space="preserve"> serious psychological </w:t>
      </w:r>
      <w:r w:rsidRPr="00DD2D90">
        <w:rPr>
          <w:rStyle w:val="Emphasis"/>
          <w:highlight w:val="green"/>
        </w:rPr>
        <w:t>problems</w:t>
      </w:r>
      <w:r w:rsidRPr="00DD2D90">
        <w:rPr>
          <w:rStyle w:val="StyleUnderline"/>
        </w:rPr>
        <w:t xml:space="preserve">. </w:t>
      </w:r>
      <w:r w:rsidRPr="00DD2D90">
        <w:rPr>
          <w:rStyle w:val="StyleUnderline"/>
          <w:highlight w:val="green"/>
        </w:rPr>
        <w:t>The disappearance of long-term-care facilities</w:t>
      </w:r>
      <w:r w:rsidRPr="00DD2D90">
        <w:rPr>
          <w:rStyle w:val="StyleUnderline"/>
        </w:rPr>
        <w:t xml:space="preserve"> and psychiatric beds has </w:t>
      </w:r>
      <w:r w:rsidRPr="00DD2D90">
        <w:rPr>
          <w:rStyle w:val="StyleUnderline"/>
          <w:highlight w:val="green"/>
        </w:rPr>
        <w:t>escalated</w:t>
      </w:r>
      <w:r w:rsidRPr="00DD2D90">
        <w:rPr>
          <w:rStyle w:val="StyleUnderline"/>
        </w:rPr>
        <w:t xml:space="preserve"> over the past decade, sparked </w:t>
      </w:r>
      <w:r w:rsidRPr="00DD2D90">
        <w:rPr>
          <w:rStyle w:val="StyleUnderline"/>
          <w:highlight w:val="green"/>
        </w:rPr>
        <w:t>by</w:t>
      </w:r>
      <w:r w:rsidRPr="00DD2D90">
        <w:rPr>
          <w:rStyle w:val="StyleUnderline"/>
        </w:rPr>
        <w:t xml:space="preserve"> a trend toward </w:t>
      </w:r>
      <w:r w:rsidRPr="00DD2D90">
        <w:rPr>
          <w:rStyle w:val="StyleUnderline"/>
          <w:highlight w:val="green"/>
        </w:rPr>
        <w:t>deinstitutionalization</w:t>
      </w:r>
      <w:r w:rsidRPr="00DD2D90">
        <w:rPr>
          <w:rStyle w:val="StyleUnderline"/>
        </w:rPr>
        <w:t xml:space="preserve"> of psychiatric patients </w:t>
      </w:r>
      <w:r w:rsidRPr="00DD2D90">
        <w:rPr>
          <w:rStyle w:val="StyleUnderline"/>
          <w:highlight w:val="green"/>
        </w:rPr>
        <w:t>in the</w:t>
      </w:r>
      <w:r w:rsidRPr="00DD2D90">
        <w:rPr>
          <w:rStyle w:val="StyleUnderline"/>
        </w:rPr>
        <w:t xml:space="preserve"> 19</w:t>
      </w:r>
      <w:r w:rsidRPr="00DD2D90">
        <w:rPr>
          <w:rStyle w:val="StyleUnderline"/>
          <w:highlight w:val="green"/>
        </w:rPr>
        <w:t>50s</w:t>
      </w:r>
      <w:r w:rsidRPr="00DD2D90">
        <w:rPr>
          <w:rStyle w:val="StyleUnderline"/>
        </w:rPr>
        <w:t xml:space="preserve"> and '60s</w:t>
      </w:r>
      <w:r w:rsidRPr="009278EB">
        <w:rPr>
          <w:sz w:val="16"/>
        </w:rPr>
        <w:t>, says Dominic Sisti, director of the Scattergood Program for Applied Ethics of Behavioral Health Care at the University of Pennsylvania. "</w:t>
      </w:r>
      <w:r w:rsidRPr="00DD2D90">
        <w:rPr>
          <w:rStyle w:val="StyleUnderline"/>
        </w:rPr>
        <w:t>State hospitals began to realize that individuals who were there probably could do well in the community</w:t>
      </w:r>
      <w:r w:rsidRPr="009278EB">
        <w:rPr>
          <w:sz w:val="16"/>
        </w:rPr>
        <w:t xml:space="preserve">," he tells Here &amp; Now's Jeremy Hobson. "It was well-intended, but </w:t>
      </w:r>
      <w:r w:rsidRPr="00DD2D90">
        <w:rPr>
          <w:rStyle w:val="StyleUnderline"/>
        </w:rPr>
        <w:t>what I believe happened over the past 50 years is that there's been such an evaporation of psychiatric therapeutic spaces that now we lack a sufficient number of psychiatric beds</w:t>
      </w:r>
      <w:r w:rsidRPr="009278EB">
        <w:rPr>
          <w:sz w:val="16"/>
        </w:rPr>
        <w:t xml:space="preserve">." </w:t>
      </w:r>
      <w:r w:rsidRPr="00DD2D90">
        <w:rPr>
          <w:rStyle w:val="StyleUnderline"/>
        </w:rPr>
        <w:t xml:space="preserve">A concerted effort to grow </w:t>
      </w:r>
      <w:r w:rsidRPr="00DD2D90">
        <w:rPr>
          <w:rStyle w:val="StyleUnderline"/>
          <w:highlight w:val="green"/>
        </w:rPr>
        <w:t>community-based care options</w:t>
      </w:r>
      <w:r w:rsidRPr="00DD2D90">
        <w:rPr>
          <w:rStyle w:val="StyleUnderline"/>
        </w:rPr>
        <w:t xml:space="preserve"> that were less restrictive grew out of the civil rights movement and a series of scandals due to the lack of oversight in psychiatric care</w:t>
      </w:r>
      <w:r w:rsidRPr="009278EB">
        <w:rPr>
          <w:sz w:val="16"/>
        </w:rPr>
        <w:t xml:space="preserve">, Sisti says. </w:t>
      </w:r>
      <w:r w:rsidRPr="00DD2D90">
        <w:rPr>
          <w:rStyle w:val="Emphasis"/>
        </w:rPr>
        <w:t>While</w:t>
      </w:r>
      <w:r w:rsidRPr="00DD2D90">
        <w:rPr>
          <w:rStyle w:val="StyleUnderline"/>
        </w:rPr>
        <w:t xml:space="preserve"> those efforts </w:t>
      </w:r>
      <w:r w:rsidRPr="00DD2D90">
        <w:rPr>
          <w:rStyle w:val="StyleUnderline"/>
          <w:highlight w:val="green"/>
        </w:rPr>
        <w:t>have been</w:t>
      </w:r>
      <w:r w:rsidRPr="00DD2D90">
        <w:rPr>
          <w:rStyle w:val="StyleUnderline"/>
        </w:rPr>
        <w:t xml:space="preserve"> </w:t>
      </w:r>
      <w:r w:rsidRPr="00DD2D90">
        <w:rPr>
          <w:rStyle w:val="Emphasis"/>
          <w:highlight w:val="green"/>
        </w:rPr>
        <w:t>successful for many</w:t>
      </w:r>
      <w:r w:rsidRPr="00DD2D90">
        <w:rPr>
          <w:rStyle w:val="StyleUnderline"/>
          <w:highlight w:val="green"/>
        </w:rPr>
        <w:t xml:space="preserve">, </w:t>
      </w:r>
      <w:r w:rsidRPr="00DD2D90">
        <w:rPr>
          <w:rStyle w:val="Emphasis"/>
          <w:highlight w:val="green"/>
        </w:rPr>
        <w:t>a significant group</w:t>
      </w:r>
      <w:r w:rsidRPr="00DD2D90">
        <w:rPr>
          <w:rStyle w:val="StyleUnderline"/>
        </w:rPr>
        <w:t xml:space="preserve"> of people who require structured inpatient </w:t>
      </w:r>
      <w:r w:rsidRPr="00DD2D90">
        <w:rPr>
          <w:rStyle w:val="Emphasis"/>
          <w:highlight w:val="green"/>
        </w:rPr>
        <w:t>care can't get it,</w:t>
      </w:r>
      <w:r w:rsidRPr="00DD2D90">
        <w:rPr>
          <w:rStyle w:val="StyleUnderline"/>
        </w:rPr>
        <w:t xml:space="preserve"> often </w:t>
      </w:r>
      <w:r w:rsidRPr="00DD2D90">
        <w:rPr>
          <w:rStyle w:val="StyleUnderline"/>
          <w:highlight w:val="green"/>
        </w:rPr>
        <w:t>because of</w:t>
      </w:r>
      <w:r w:rsidRPr="00DD2D90">
        <w:rPr>
          <w:rStyle w:val="StyleUnderline"/>
        </w:rPr>
        <w:t xml:space="preserve"> </w:t>
      </w:r>
      <w:r w:rsidRPr="00DD2D90">
        <w:rPr>
          <w:rStyle w:val="StyleUnderline"/>
          <w:highlight w:val="green"/>
        </w:rPr>
        <w:t>funding</w:t>
      </w:r>
      <w:r w:rsidRPr="00DD2D90">
        <w:rPr>
          <w:rStyle w:val="StyleUnderline"/>
        </w:rPr>
        <w:t xml:space="preserve"> issues. </w:t>
      </w:r>
      <w:r w:rsidRPr="009278EB">
        <w:rPr>
          <w:sz w:val="16"/>
        </w:rPr>
        <w:t xml:space="preserve">A 2012 report by the Treatment Advocacy Center, a nonprofit organization that works to remove treatment barriers for people with mental illness, found </w:t>
      </w:r>
      <w:r w:rsidRPr="00DD2D90">
        <w:rPr>
          <w:rStyle w:val="StyleUnderline"/>
          <w:highlight w:val="green"/>
        </w:rPr>
        <w:t>the</w:t>
      </w:r>
      <w:r w:rsidRPr="00DD2D90">
        <w:rPr>
          <w:rStyle w:val="StyleUnderline"/>
        </w:rPr>
        <w:t xml:space="preserve"> </w:t>
      </w:r>
      <w:r w:rsidRPr="00DD2D90">
        <w:rPr>
          <w:rStyle w:val="StyleUnderline"/>
          <w:highlight w:val="green"/>
        </w:rPr>
        <w:t>number of</w:t>
      </w:r>
      <w:r w:rsidRPr="00DD2D90">
        <w:rPr>
          <w:rStyle w:val="StyleUnderline"/>
        </w:rPr>
        <w:t xml:space="preserve"> psychiatric </w:t>
      </w:r>
      <w:r w:rsidRPr="00DD2D90">
        <w:rPr>
          <w:rStyle w:val="StyleUnderline"/>
          <w:highlight w:val="green"/>
        </w:rPr>
        <w:t>beds decreased by 14 percent</w:t>
      </w:r>
      <w:r w:rsidRPr="00DD2D90">
        <w:rPr>
          <w:rStyle w:val="StyleUnderline"/>
        </w:rPr>
        <w:t xml:space="preserve"> from 2005 to 2010</w:t>
      </w:r>
      <w:r w:rsidRPr="009278EB">
        <w:rPr>
          <w:sz w:val="16"/>
        </w:rPr>
        <w:t xml:space="preserve">. That year, </w:t>
      </w:r>
      <w:r w:rsidRPr="00DD2D90">
        <w:rPr>
          <w:rStyle w:val="StyleUnderline"/>
        </w:rPr>
        <w:t xml:space="preserve">there were 50,509 state psychiatric beds, meaning there were </w:t>
      </w:r>
      <w:r w:rsidRPr="00DD2D90">
        <w:rPr>
          <w:rStyle w:val="Emphasis"/>
          <w:highlight w:val="green"/>
        </w:rPr>
        <w:t>only 14 beds available per 100,000 people</w:t>
      </w:r>
      <w:r w:rsidRPr="00DD2D90">
        <w:rPr>
          <w:rStyle w:val="StyleUnderline"/>
        </w:rPr>
        <w:t>.</w:t>
      </w:r>
      <w:r w:rsidRPr="009278EB">
        <w:rPr>
          <w:sz w:val="16"/>
        </w:rPr>
        <w:t xml:space="preserve"> "Many times individuals who really do require intensive psychiatric care find themselves homeless or more and more in prison," Sisti says. "</w:t>
      </w:r>
      <w:r w:rsidRPr="00DD2D90">
        <w:rPr>
          <w:rStyle w:val="StyleUnderline"/>
        </w:rPr>
        <w:t xml:space="preserve">Much of our </w:t>
      </w:r>
      <w:r w:rsidRPr="00DD2D90">
        <w:rPr>
          <w:rStyle w:val="StyleUnderline"/>
          <w:highlight w:val="green"/>
        </w:rPr>
        <w:t>mental health care</w:t>
      </w:r>
      <w:r w:rsidRPr="00DD2D90">
        <w:rPr>
          <w:rStyle w:val="StyleUnderline"/>
        </w:rPr>
        <w:t xml:space="preserve"> now </w:t>
      </w:r>
      <w:r w:rsidRPr="00DD2D90">
        <w:rPr>
          <w:rStyle w:val="StyleUnderline"/>
          <w:highlight w:val="green"/>
        </w:rPr>
        <w:t>for individuals</w:t>
      </w:r>
      <w:r w:rsidRPr="00DD2D90">
        <w:rPr>
          <w:rStyle w:val="StyleUnderline"/>
        </w:rPr>
        <w:t xml:space="preserve"> with serious mental illness </w:t>
      </w:r>
      <w:r w:rsidRPr="00DD2D90">
        <w:rPr>
          <w:rStyle w:val="StyleUnderline"/>
          <w:highlight w:val="green"/>
        </w:rPr>
        <w:t>has been shifted to correctional facilities</w:t>
      </w:r>
      <w:r w:rsidRPr="00DD2D90">
        <w:rPr>
          <w:rStyle w:val="StyleUnderline"/>
        </w:rPr>
        <w:t xml:space="preserve">." The </w:t>
      </w:r>
      <w:r w:rsidRPr="00DD2D90">
        <w:rPr>
          <w:rStyle w:val="StyleUnderline"/>
          <w:highlight w:val="green"/>
        </w:rPr>
        <w:t>percentage</w:t>
      </w:r>
      <w:r w:rsidRPr="00DD2D90">
        <w:rPr>
          <w:rStyle w:val="StyleUnderline"/>
        </w:rPr>
        <w:t xml:space="preserve"> of people </w:t>
      </w:r>
      <w:r w:rsidRPr="00DD2D90">
        <w:rPr>
          <w:rStyle w:val="StyleUnderline"/>
          <w:highlight w:val="green"/>
        </w:rPr>
        <w:t>with serious mental illness in prisons rose from .7 percent in 1880 to 21 percent in 2005</w:t>
      </w:r>
      <w:r w:rsidRPr="009278EB">
        <w:rPr>
          <w:sz w:val="16"/>
          <w:highlight w:val="green"/>
        </w:rPr>
        <w:t>,</w:t>
      </w:r>
      <w:r w:rsidRPr="009278EB">
        <w:rPr>
          <w:sz w:val="16"/>
        </w:rPr>
        <w:t xml:space="preserve"> according to the Center for Prisoner Health and Human Rights. Many of the private mental health hospitals still in operation do not accept insurance and can cost upwards of $30,000 per month, Sisti says. </w:t>
      </w:r>
      <w:r w:rsidRPr="00DD2D90">
        <w:rPr>
          <w:rStyle w:val="StyleUnderline"/>
        </w:rPr>
        <w:t>For many low-income patients</w:t>
      </w:r>
      <w:r w:rsidRPr="009278EB">
        <w:rPr>
          <w:sz w:val="16"/>
        </w:rPr>
        <w:t xml:space="preserve">, </w:t>
      </w:r>
      <w:r w:rsidRPr="00DD2D90">
        <w:rPr>
          <w:rStyle w:val="StyleUnderline"/>
        </w:rPr>
        <w:t>Medicaid is the only path to mental health care, but a provision in the law prevents the federal government from paying for long-term care in an institution. As a result, many people who experience a serious mental health crisis end up in the emergency room. According to data from the National Hospital Ambulatory Medical Care Survey, between 2001 and 2011, 6 percent of all emergency department patients had a psychiatric condition.</w:t>
      </w:r>
      <w:r w:rsidRPr="009278EB">
        <w:rPr>
          <w:sz w:val="16"/>
        </w:rPr>
        <w:t xml:space="preserve"> </w:t>
      </w:r>
      <w:r w:rsidRPr="00DD2D90">
        <w:rPr>
          <w:rStyle w:val="StyleUnderline"/>
        </w:rPr>
        <w:t xml:space="preserve">Nearly 11 percent of those patients require transfer to another facility, but there are often no beds available. </w:t>
      </w:r>
      <w:r w:rsidRPr="009278EB">
        <w:rPr>
          <w:sz w:val="16"/>
        </w:rPr>
        <w:t xml:space="preserve">"We are the wrong site for these patients," Dr. Thomas Chun, an associate professor of emergency medicine and pediatrics at Brown University, told NPR last year. "Our crazy, chaotic environment is not a good place for them." Most hospitals are unable to take care of people for more than 72 hours, Sisti explains, so patients are sent back out into the world without adequate access to treatment. In order </w:t>
      </w:r>
      <w:r w:rsidRPr="00DD2D90">
        <w:rPr>
          <w:rStyle w:val="StyleUnderline"/>
        </w:rPr>
        <w:t xml:space="preserve">to bridge the gap between hospital stays and expensive community-based care options, </w:t>
      </w:r>
      <w:r w:rsidRPr="00DD2D90">
        <w:rPr>
          <w:rStyle w:val="StyleUnderline"/>
          <w:highlight w:val="green"/>
        </w:rPr>
        <w:t xml:space="preserve">Sisti argues for </w:t>
      </w:r>
      <w:r w:rsidRPr="00DD2D90">
        <w:rPr>
          <w:rStyle w:val="StyleUnderline"/>
        </w:rPr>
        <w:t xml:space="preserve">"a continuum of care that ranges from </w:t>
      </w:r>
      <w:r w:rsidRPr="00DD2D90">
        <w:rPr>
          <w:rStyle w:val="StyleUnderline"/>
          <w:highlight w:val="green"/>
        </w:rPr>
        <w:t>outpatient care and</w:t>
      </w:r>
      <w:r w:rsidRPr="00DD2D90">
        <w:rPr>
          <w:rStyle w:val="StyleUnderline"/>
        </w:rPr>
        <w:t xml:space="preserve"> transitional-type housing situations to </w:t>
      </w:r>
      <w:r w:rsidRPr="00DD2D90">
        <w:rPr>
          <w:rStyle w:val="StyleUnderline"/>
          <w:highlight w:val="green"/>
        </w:rPr>
        <w:t>inpatient care</w:t>
      </w:r>
      <w:r w:rsidRPr="00DD2D90">
        <w:rPr>
          <w:rStyle w:val="StyleUnderline"/>
        </w:rPr>
        <w:t xml:space="preserve">." </w:t>
      </w:r>
      <w:r w:rsidRPr="009278EB">
        <w:rPr>
          <w:sz w:val="16"/>
        </w:rPr>
        <w:t xml:space="preserve">While President Trump and others have claimed a connection exists between mental illness and the rise in gun violence, most mental health professionals vehemently disagree. "There is no real connection between an individual with a mental health diagnosis and mass shootings. That connection according to all experts doesn't exist," says Bethany Lilly of the Bazelon Center for Mental Health Law. Sisti says the stigma around mental health is "systematized" in our health care system, more so than in the public view. Health care providers are "rather leery about these individuals because these people are, often at least according to the stereotype, high-cost patients who maybe are difficult to treat or noncompliant," he says. "I think the stigma that we should be really focused on and worried about actually emerges out of our health care system more than from the public." </w:t>
      </w:r>
    </w:p>
    <w:p w14:paraId="6B5553E0" w14:textId="77777777" w:rsidR="00FA1D49" w:rsidRPr="009278EB" w:rsidRDefault="00FA1D49">
      <w:pPr>
        <w:rPr>
          <w:rFonts w:eastAsiaTheme="majorEastAsia" w:cstheme="majorBidi"/>
          <w:b/>
          <w:iCs/>
          <w:sz w:val="16"/>
        </w:rPr>
      </w:pPr>
      <w:r w:rsidRPr="009278EB">
        <w:rPr>
          <w:sz w:val="16"/>
        </w:rPr>
        <w:br w:type="page"/>
      </w:r>
    </w:p>
    <w:p w14:paraId="6D56C8C5" w14:textId="22E5F784" w:rsidR="00E15F73" w:rsidRPr="009278EB" w:rsidRDefault="00E15F73" w:rsidP="00E15F73">
      <w:pPr>
        <w:pStyle w:val="Heading4"/>
        <w:rPr>
          <w:szCs w:val="26"/>
        </w:rPr>
      </w:pPr>
      <w:r w:rsidRPr="009278EB">
        <w:rPr>
          <w:szCs w:val="26"/>
        </w:rPr>
        <w:t>Deinstitutionalization coincides with the increase of mentally ill individuals being incarcerated. It lets the most severely ill fall through the cracks – Reagan and Kennedy-era programs prove</w:t>
      </w:r>
    </w:p>
    <w:p w14:paraId="35611EDC" w14:textId="554B82F7" w:rsidR="00E15F73" w:rsidRPr="00DD2D90" w:rsidRDefault="00E15F73" w:rsidP="00E15F73">
      <w:r w:rsidRPr="009278EB">
        <w:rPr>
          <w:rStyle w:val="Style13ptBold"/>
          <w:szCs w:val="26"/>
        </w:rPr>
        <w:t>Peterson 21</w:t>
      </w:r>
      <w:r w:rsidRPr="00DD2D90">
        <w:t xml:space="preserve"> [Ashley Peterson,</w:t>
      </w:r>
      <w:r w:rsidR="008D0C85" w:rsidRPr="00DD2D90">
        <w:t xml:space="preserve"> Bachelor of Science in Nursing, University of British Columbia, Master of Psychiatric Nursing, Brandon University, </w:t>
      </w:r>
      <w:r w:rsidRPr="00DD2D90">
        <w:t>2021</w:t>
      </w:r>
      <w:r w:rsidR="00D51AB7" w:rsidRPr="00DD2D90">
        <w:t>,</w:t>
      </w:r>
      <w:r w:rsidRPr="00DD2D90">
        <w:t xml:space="preserve"> “The Downside of Psychiatric Deinstitutionalization,” Mental Health </w:t>
      </w:r>
      <w:proofErr w:type="gramStart"/>
      <w:r w:rsidR="00D51AB7" w:rsidRPr="00DD2D90">
        <w:t>At</w:t>
      </w:r>
      <w:proofErr w:type="gramEnd"/>
      <w:r w:rsidRPr="00DD2D90">
        <w:t xml:space="preserve"> Home, https://mentalhealthathome.org/2021/05/10/deinstitutionalization/]/Kankee</w:t>
      </w:r>
    </w:p>
    <w:p w14:paraId="69E9A9F9" w14:textId="77777777" w:rsidR="00E15F73" w:rsidRPr="009278EB" w:rsidRDefault="00E15F73" w:rsidP="00E15F73">
      <w:pPr>
        <w:rPr>
          <w:sz w:val="16"/>
        </w:rPr>
      </w:pPr>
      <w:r w:rsidRPr="009278EB">
        <w:rPr>
          <w:sz w:val="16"/>
        </w:rPr>
        <w:t xml:space="preserve">Now is a far better time to be mentally ill than it was a few hundred years ago. Institutions like the infamous Bedlam were not happy places, and you might just find yourself chained to the wall for years on end. In the 1800s, you may have ended up in the Trans-Allegheny Lunatic Asylum in Weston, West Virginia for “imaginary female troubles” or “fits and desertion of husband.” In the early 1900s, Dr. Henry Cotton, head of the New Jersey State Hospital at Trenton, started doing surgeries to remove rather crucial body parts (like the colon) from the crazy folk, most of whom died afterwards. Deinstitutionalization in the US Moving mentally ill people out of the institutions where they’d been locked up seemed like a good idea. </w:t>
      </w:r>
      <w:r w:rsidRPr="00DD2D90">
        <w:rPr>
          <w:rStyle w:val="StyleUnderline"/>
          <w:highlight w:val="green"/>
        </w:rPr>
        <w:t>In 1963, the</w:t>
      </w:r>
      <w:r w:rsidRPr="00DD2D90">
        <w:rPr>
          <w:rStyle w:val="StyleUnderline"/>
        </w:rPr>
        <w:t xml:space="preserve"> </w:t>
      </w:r>
      <w:r w:rsidRPr="00DD2D90">
        <w:rPr>
          <w:rStyle w:val="StyleUnderline"/>
          <w:highlight w:val="green"/>
        </w:rPr>
        <w:t>U</w:t>
      </w:r>
      <w:r w:rsidRPr="00DD2D90">
        <w:rPr>
          <w:rStyle w:val="StyleUnderline"/>
        </w:rPr>
        <w:t xml:space="preserve">nited </w:t>
      </w:r>
      <w:r w:rsidRPr="00DD2D90">
        <w:rPr>
          <w:rStyle w:val="StyleUnderline"/>
          <w:highlight w:val="green"/>
        </w:rPr>
        <w:t>S</w:t>
      </w:r>
      <w:r w:rsidRPr="00DD2D90">
        <w:rPr>
          <w:rStyle w:val="StyleUnderline"/>
        </w:rPr>
        <w:t xml:space="preserve">tates </w:t>
      </w:r>
      <w:r w:rsidRPr="00DD2D90">
        <w:rPr>
          <w:rStyle w:val="StyleUnderline"/>
          <w:highlight w:val="green"/>
        </w:rPr>
        <w:t>enacted</w:t>
      </w:r>
      <w:r w:rsidRPr="00DD2D90">
        <w:rPr>
          <w:rStyle w:val="StyleUnderline"/>
        </w:rPr>
        <w:t xml:space="preserve"> the Community Mental Health Act,</w:t>
      </w:r>
      <w:r w:rsidRPr="009278EB">
        <w:rPr>
          <w:sz w:val="16"/>
        </w:rPr>
        <w:t xml:space="preserve"> John F. </w:t>
      </w:r>
      <w:r w:rsidRPr="00DD2D90">
        <w:rPr>
          <w:rStyle w:val="StyleUnderline"/>
          <w:highlight w:val="green"/>
        </w:rPr>
        <w:t>Kennedy’s</w:t>
      </w:r>
      <w:r w:rsidRPr="00DD2D90">
        <w:rPr>
          <w:rStyle w:val="StyleUnderline"/>
        </w:rPr>
        <w:t xml:space="preserve"> 3-year </w:t>
      </w:r>
      <w:r w:rsidRPr="00DD2D90">
        <w:rPr>
          <w:rStyle w:val="StyleUnderline"/>
          <w:highlight w:val="green"/>
        </w:rPr>
        <w:t>plan to move people out of</w:t>
      </w:r>
      <w:r w:rsidRPr="00DD2D90">
        <w:rPr>
          <w:rStyle w:val="StyleUnderline"/>
        </w:rPr>
        <w:t xml:space="preserve"> “custodial isolation” in </w:t>
      </w:r>
      <w:r w:rsidRPr="00DD2D90">
        <w:rPr>
          <w:rStyle w:val="StyleUnderline"/>
          <w:highlight w:val="green"/>
        </w:rPr>
        <w:t>asylums</w:t>
      </w:r>
      <w:r w:rsidRPr="00DD2D90">
        <w:rPr>
          <w:rStyle w:val="StyleUnderline"/>
        </w:rPr>
        <w:t xml:space="preserve"> and back to the community</w:t>
      </w:r>
      <w:r w:rsidRPr="009278EB">
        <w:rPr>
          <w:sz w:val="16"/>
        </w:rPr>
        <w:t xml:space="preserve">. </w:t>
      </w:r>
      <w:r w:rsidRPr="00DD2D90">
        <w:rPr>
          <w:rStyle w:val="StyleUnderline"/>
        </w:rPr>
        <w:t xml:space="preserve">Community mental health centres were supposed to take over care. </w:t>
      </w:r>
      <w:r w:rsidRPr="009278EB">
        <w:rPr>
          <w:sz w:val="16"/>
        </w:rPr>
        <w:t xml:space="preserve">Of course, </w:t>
      </w:r>
      <w:r w:rsidRPr="00DD2D90">
        <w:rPr>
          <w:rStyle w:val="Emphasis"/>
          <w:highlight w:val="green"/>
        </w:rPr>
        <w:t>the funding didn’t</w:t>
      </w:r>
      <w:r w:rsidRPr="00DD2D90">
        <w:rPr>
          <w:rStyle w:val="Emphasis"/>
        </w:rPr>
        <w:t xml:space="preserve"> </w:t>
      </w:r>
      <w:r w:rsidRPr="00DD2D90">
        <w:rPr>
          <w:rStyle w:val="StyleUnderline"/>
        </w:rPr>
        <w:t>come close to</w:t>
      </w:r>
      <w:r w:rsidRPr="00DD2D90">
        <w:rPr>
          <w:rStyle w:val="Emphasis"/>
        </w:rPr>
        <w:t xml:space="preserve"> </w:t>
      </w:r>
      <w:r w:rsidRPr="00DD2D90">
        <w:rPr>
          <w:rStyle w:val="Emphasis"/>
          <w:highlight w:val="green"/>
        </w:rPr>
        <w:t>match</w:t>
      </w:r>
      <w:r w:rsidRPr="00DD2D90">
        <w:rPr>
          <w:rStyle w:val="StyleUnderline"/>
        </w:rPr>
        <w:t>ing</w:t>
      </w:r>
      <w:r w:rsidRPr="00DD2D90">
        <w:rPr>
          <w:rStyle w:val="Emphasis"/>
        </w:rPr>
        <w:t xml:space="preserve"> </w:t>
      </w:r>
      <w:r w:rsidRPr="00DD2D90">
        <w:rPr>
          <w:rStyle w:val="Emphasis"/>
          <w:highlight w:val="green"/>
        </w:rPr>
        <w:t>the need</w:t>
      </w:r>
      <w:r w:rsidRPr="009278EB">
        <w:rPr>
          <w:sz w:val="16"/>
        </w:rPr>
        <w:t xml:space="preserve">. </w:t>
      </w:r>
      <w:r w:rsidRPr="00DD2D90">
        <w:rPr>
          <w:rStyle w:val="StyleUnderline"/>
          <w:highlight w:val="green"/>
        </w:rPr>
        <w:t xml:space="preserve">The most severely ill fell through the </w:t>
      </w:r>
      <w:r w:rsidRPr="00DD2D90">
        <w:rPr>
          <w:rStyle w:val="StyleUnderline"/>
        </w:rPr>
        <w:t xml:space="preserve">very wide </w:t>
      </w:r>
      <w:r w:rsidRPr="00DD2D90">
        <w:rPr>
          <w:rStyle w:val="StyleUnderline"/>
          <w:highlight w:val="green"/>
        </w:rPr>
        <w:t>cracks</w:t>
      </w:r>
      <w:r w:rsidRPr="00DD2D90">
        <w:rPr>
          <w:rStyle w:val="StyleUnderline"/>
        </w:rPr>
        <w:t xml:space="preserve">, </w:t>
      </w:r>
      <w:r w:rsidRPr="00DD2D90">
        <w:rPr>
          <w:rStyle w:val="StyleUnderline"/>
          <w:highlight w:val="green"/>
        </w:rPr>
        <w:t>producing homelessness and a shift to the correctional system in mass numbers</w:t>
      </w:r>
      <w:r w:rsidRPr="009278EB">
        <w:rPr>
          <w:sz w:val="16"/>
        </w:rPr>
        <w:t xml:space="preserve">. </w:t>
      </w:r>
      <w:r w:rsidRPr="00DD2D90">
        <w:rPr>
          <w:rStyle w:val="StyleUnderline"/>
        </w:rPr>
        <w:t xml:space="preserve">President Ronald </w:t>
      </w:r>
      <w:r w:rsidRPr="00DD2D90">
        <w:rPr>
          <w:rStyle w:val="StyleUnderline"/>
          <w:highlight w:val="green"/>
        </w:rPr>
        <w:t>Reagan</w:t>
      </w:r>
      <w:r w:rsidRPr="00DD2D90">
        <w:rPr>
          <w:rStyle w:val="StyleUnderline"/>
        </w:rPr>
        <w:t xml:space="preserve"> later </w:t>
      </w:r>
      <w:r w:rsidRPr="00DD2D90">
        <w:rPr>
          <w:rStyle w:val="StyleUnderline"/>
          <w:highlight w:val="green"/>
        </w:rPr>
        <w:t xml:space="preserve">furthered deinstitutionalization and slashed funding </w:t>
      </w:r>
      <w:r w:rsidRPr="00DD2D90">
        <w:rPr>
          <w:rStyle w:val="StyleUnderline"/>
        </w:rPr>
        <w:t xml:space="preserve">to support the mentally ill. Of course, this only worsened the problem. Reagan-era legislation also shifted decision-making around involuntary committal from medical professionals to the courts. </w:t>
      </w:r>
      <w:r w:rsidRPr="009278EB">
        <w:rPr>
          <w:sz w:val="16"/>
        </w:rPr>
        <w:t xml:space="preserve">While that could have been a good thing, in practice, </w:t>
      </w:r>
      <w:r w:rsidRPr="00DD2D90">
        <w:rPr>
          <w:rStyle w:val="StyleUnderline"/>
        </w:rPr>
        <w:t>it made it more difficult to commit people</w:t>
      </w:r>
      <w:r w:rsidRPr="009278EB">
        <w:rPr>
          <w:sz w:val="16"/>
        </w:rPr>
        <w:t xml:space="preserve">. That’s great if it’s keeping people out of hospital who don’t need to be there; </w:t>
      </w:r>
      <w:r w:rsidRPr="00DD2D90">
        <w:rPr>
          <w:rStyle w:val="StyleUnderline"/>
        </w:rPr>
        <w:t xml:space="preserve">however, it’s not so good when it’s highly vulnerable people who don’t have other options. </w:t>
      </w:r>
      <w:r w:rsidRPr="009278EB">
        <w:rPr>
          <w:sz w:val="16"/>
        </w:rPr>
        <w:t xml:space="preserve">Consequences Then you get situations like the documentary God Knows Where I Am. It tells the </w:t>
      </w:r>
      <w:r w:rsidRPr="00DD2D90">
        <w:rPr>
          <w:rStyle w:val="StyleUnderline"/>
        </w:rPr>
        <w:t xml:space="preserve">heartbreaking story of a </w:t>
      </w:r>
      <w:r w:rsidRPr="00DD2D90">
        <w:rPr>
          <w:rStyle w:val="StyleUnderline"/>
          <w:highlight w:val="green"/>
        </w:rPr>
        <w:t>woman whose bipolar psychosis couldn’t be treated in hospital</w:t>
      </w:r>
      <w:r w:rsidRPr="00DD2D90">
        <w:rPr>
          <w:rStyle w:val="StyleUnderline"/>
        </w:rPr>
        <w:t xml:space="preserve"> because that would have required a guardianship order, which a court would not approve</w:t>
      </w:r>
      <w:r w:rsidRPr="009278EB">
        <w:rPr>
          <w:sz w:val="16"/>
        </w:rPr>
        <w:t xml:space="preserve">. Since the hospital’s hands were tied, </w:t>
      </w:r>
      <w:r w:rsidRPr="00DD2D90">
        <w:rPr>
          <w:rStyle w:val="StyleUnderline"/>
          <w:highlight w:val="green"/>
        </w:rPr>
        <w:t>they discharged her</w:t>
      </w:r>
      <w:r w:rsidRPr="009278EB">
        <w:rPr>
          <w:sz w:val="16"/>
          <w:highlight w:val="green"/>
        </w:rPr>
        <w:t xml:space="preserve">. </w:t>
      </w:r>
      <w:r w:rsidRPr="00DD2D90">
        <w:rPr>
          <w:rStyle w:val="StyleUnderline"/>
        </w:rPr>
        <w:t xml:space="preserve">She lived for three months squatting in an empty house </w:t>
      </w:r>
      <w:r w:rsidRPr="00DD2D90">
        <w:rPr>
          <w:rStyle w:val="StyleUnderline"/>
          <w:highlight w:val="green"/>
        </w:rPr>
        <w:t>before</w:t>
      </w:r>
      <w:r w:rsidRPr="00DD2D90">
        <w:rPr>
          <w:rStyle w:val="StyleUnderline"/>
        </w:rPr>
        <w:t xml:space="preserve"> </w:t>
      </w:r>
      <w:r w:rsidRPr="00DD2D90">
        <w:rPr>
          <w:rStyle w:val="StyleUnderline"/>
          <w:highlight w:val="green"/>
        </w:rPr>
        <w:t>starving to death in the wintertime.</w:t>
      </w:r>
      <w:r w:rsidRPr="00DD2D90">
        <w:rPr>
          <w:rStyle w:val="StyleUnderline"/>
        </w:rPr>
        <w:t xml:space="preserve"> </w:t>
      </w:r>
      <w:r w:rsidRPr="009278EB">
        <w:rPr>
          <w:sz w:val="16"/>
        </w:rPr>
        <w:t xml:space="preserve">While deinstitutionalization is absolutely good for people who don’t need it, </w:t>
      </w:r>
      <w:r w:rsidRPr="00DD2D90">
        <w:rPr>
          <w:rStyle w:val="StyleUnderline"/>
        </w:rPr>
        <w:t>there are a lot of people who can end up fal</w:t>
      </w:r>
      <w:r w:rsidRPr="00DD2D90">
        <w:rPr>
          <w:rStyle w:val="Emphasis"/>
        </w:rPr>
        <w:t>ling through the cracks</w:t>
      </w:r>
      <w:r w:rsidRPr="00DD2D90">
        <w:rPr>
          <w:rStyle w:val="StyleUnderline"/>
        </w:rPr>
        <w:t xml:space="preserve"> without adequate community supports.</w:t>
      </w:r>
      <w:r w:rsidRPr="009278EB">
        <w:rPr>
          <w:sz w:val="16"/>
        </w:rPr>
        <w:t xml:space="preserve"> In the city where I live, </w:t>
      </w:r>
      <w:r w:rsidRPr="00DD2D90">
        <w:rPr>
          <w:rStyle w:val="StyleUnderline"/>
        </w:rPr>
        <w:t xml:space="preserve">the closure of the major provincial psychiatric hospital, a process that happened over a few decades, contributed significantly to my city’s large skid row population. Here as in elsewhere, </w:t>
      </w:r>
      <w:r w:rsidRPr="00DD2D90">
        <w:rPr>
          <w:rStyle w:val="Emphasis"/>
          <w:highlight w:val="green"/>
        </w:rPr>
        <w:t xml:space="preserve">deinstitutionalization </w:t>
      </w:r>
      <w:r w:rsidRPr="00DD2D90">
        <w:rPr>
          <w:rStyle w:val="StyleUnderline"/>
          <w:highlight w:val="green"/>
        </w:rPr>
        <w:t>has led to</w:t>
      </w:r>
      <w:r w:rsidRPr="00DD2D90">
        <w:rPr>
          <w:rStyle w:val="Emphasis"/>
          <w:highlight w:val="green"/>
        </w:rPr>
        <w:t xml:space="preserve"> </w:t>
      </w:r>
      <w:r w:rsidRPr="00DD2D90">
        <w:rPr>
          <w:rStyle w:val="StyleUnderline"/>
          <w:highlight w:val="green"/>
        </w:rPr>
        <w:t>significant</w:t>
      </w:r>
      <w:r w:rsidRPr="00DD2D90">
        <w:rPr>
          <w:rStyle w:val="Emphasis"/>
          <w:highlight w:val="green"/>
        </w:rPr>
        <w:t xml:space="preserve"> increases </w:t>
      </w:r>
      <w:r w:rsidRPr="00DD2D90">
        <w:rPr>
          <w:rStyle w:val="StyleUnderline"/>
          <w:highlight w:val="green"/>
        </w:rPr>
        <w:t>in</w:t>
      </w:r>
      <w:r w:rsidRPr="00DD2D90">
        <w:rPr>
          <w:rStyle w:val="Emphasis"/>
          <w:highlight w:val="green"/>
        </w:rPr>
        <w:t xml:space="preserve"> homelessness</w:t>
      </w:r>
      <w:r w:rsidRPr="00DD2D90">
        <w:rPr>
          <w:rStyle w:val="Emphasis"/>
        </w:rPr>
        <w:t>.</w:t>
      </w:r>
      <w:r w:rsidRPr="00DD2D90">
        <w:rPr>
          <w:rStyle w:val="StyleUnderline"/>
        </w:rPr>
        <w:t xml:space="preserve"> </w:t>
      </w:r>
      <w:r w:rsidRPr="009278EB">
        <w:rPr>
          <w:sz w:val="16"/>
        </w:rPr>
        <w:t xml:space="preserve">Some people have very high care needs due to their mental illness. Promoting independence is generally a good thing, but </w:t>
      </w:r>
      <w:r w:rsidRPr="00DD2D90">
        <w:rPr>
          <w:rStyle w:val="StyleUnderline"/>
        </w:rPr>
        <w:t>for people who don’t have the capacity, independence simply means their needs don’t get met, like the need for safe shelter, healthy food, personal hygiene, etc.</w:t>
      </w:r>
      <w:r w:rsidRPr="009278EB">
        <w:rPr>
          <w:sz w:val="16"/>
        </w:rPr>
        <w:t xml:space="preserve"> That’s not necessarily a better life than living in a setting that meets their care needs. </w:t>
      </w:r>
      <w:r w:rsidRPr="00DD2D90">
        <w:rPr>
          <w:rStyle w:val="StyleUnderline"/>
        </w:rPr>
        <w:t xml:space="preserve">I’m by no means arguing for people to get locked up in institutions on masse. However, not providing adequate support could mean getting locked up somewhere else; in the U.S. </w:t>
      </w:r>
      <w:r w:rsidRPr="00DD2D90">
        <w:rPr>
          <w:rStyle w:val="StyleUnderline"/>
          <w:highlight w:val="green"/>
        </w:rPr>
        <w:t xml:space="preserve">in 2003, there are more than </w:t>
      </w:r>
      <w:r w:rsidRPr="00DD2D90">
        <w:rPr>
          <w:rStyle w:val="Emphasis"/>
          <w:highlight w:val="green"/>
        </w:rPr>
        <w:t>three times</w:t>
      </w:r>
      <w:r w:rsidRPr="00DD2D90">
        <w:rPr>
          <w:rStyle w:val="StyleUnderline"/>
          <w:highlight w:val="green"/>
        </w:rPr>
        <w:t xml:space="preserve"> as many people with mental illness in the prison system as in psychiatric hospitals</w:t>
      </w:r>
      <w:r w:rsidRPr="009278EB">
        <w:rPr>
          <w:sz w:val="16"/>
        </w:rPr>
        <w:t xml:space="preserve"> (figure from Cornell University). </w:t>
      </w:r>
      <w:r w:rsidRPr="00DD2D90">
        <w:rPr>
          <w:rStyle w:val="StyleUnderline"/>
        </w:rPr>
        <w:t xml:space="preserve">The </w:t>
      </w:r>
      <w:r w:rsidRPr="00DD2D90">
        <w:rPr>
          <w:rStyle w:val="Emphasis"/>
          <w:highlight w:val="green"/>
        </w:rPr>
        <w:t>massive jump in numbers</w:t>
      </w:r>
      <w:r w:rsidRPr="00DD2D90">
        <w:rPr>
          <w:rStyle w:val="StyleUnderline"/>
          <w:highlight w:val="green"/>
        </w:rPr>
        <w:t xml:space="preserve"> </w:t>
      </w:r>
      <w:r w:rsidRPr="00DD2D90">
        <w:rPr>
          <w:rStyle w:val="Emphasis"/>
        </w:rPr>
        <w:t>of mentally ill in correctional facilities</w:t>
      </w:r>
      <w:r w:rsidRPr="00DD2D90">
        <w:rPr>
          <w:rStyle w:val="StyleUnderline"/>
        </w:rPr>
        <w:t xml:space="preserve"> </w:t>
      </w:r>
      <w:r w:rsidRPr="00DD2D90">
        <w:rPr>
          <w:rStyle w:val="StyleUnderline"/>
          <w:highlight w:val="green"/>
        </w:rPr>
        <w:t xml:space="preserve">happened at the </w:t>
      </w:r>
      <w:r w:rsidRPr="00DD2D90">
        <w:rPr>
          <w:rStyle w:val="StyleUnderline"/>
        </w:rPr>
        <w:t xml:space="preserve">very </w:t>
      </w:r>
      <w:r w:rsidRPr="00DD2D90">
        <w:rPr>
          <w:rStyle w:val="StyleUnderline"/>
          <w:highlight w:val="green"/>
        </w:rPr>
        <w:t>same time that psychiatric institutions were closing</w:t>
      </w:r>
      <w:r w:rsidRPr="00DD2D90">
        <w:rPr>
          <w:rStyle w:val="StyleUnderline"/>
        </w:rPr>
        <w:t xml:space="preserve">. </w:t>
      </w:r>
      <w:r w:rsidRPr="009278EB">
        <w:rPr>
          <w:sz w:val="16"/>
        </w:rPr>
        <w:t xml:space="preserve">Is there a better way? Better funding for community mental health would make a big difference, and there’s actually a strong economic case for investing in mental health. Somewhere, I think </w:t>
      </w:r>
      <w:r w:rsidRPr="00DD2D90">
        <w:rPr>
          <w:rStyle w:val="Emphasis"/>
          <w:highlight w:val="green"/>
        </w:rPr>
        <w:t>there’s a balance</w:t>
      </w:r>
      <w:r w:rsidRPr="00DD2D90">
        <w:rPr>
          <w:rStyle w:val="StyleUnderline"/>
        </w:rPr>
        <w:t xml:space="preserve"> to be found between offering people the level of support they need to function without being more restrictive than necessary. </w:t>
      </w:r>
      <w:r w:rsidRPr="009278EB">
        <w:rPr>
          <w:sz w:val="16"/>
        </w:rPr>
        <w:t xml:space="preserve">Choice is important, and autonomous decision-making doesn’t always mean independent living. People are able to thrive when the level of support they get matches what they need. When you dump people into independent community living and they don’t have the skills, and perhaps don’t have the capacity, it isn’t going to help them thrive. It’s more likely to help them be that scary crazy person who seems to fit all of those scary crazy people stereotypes. It’s probably not what anyone had in mind with deinstitutionalization. Where do you think the balance might lie between giving people the support they need without overstepping? </w:t>
      </w:r>
    </w:p>
    <w:p w14:paraId="43AD2EAC" w14:textId="77777777" w:rsidR="009C702C" w:rsidRPr="009278EB" w:rsidRDefault="009C702C" w:rsidP="009C702C">
      <w:pPr>
        <w:pStyle w:val="Heading4"/>
        <w:rPr>
          <w:szCs w:val="26"/>
        </w:rPr>
      </w:pPr>
      <w:r w:rsidRPr="009278EB">
        <w:rPr>
          <w:szCs w:val="26"/>
        </w:rPr>
        <w:t>Favorability towards ESI hurts disabled folk – self-employment</w:t>
      </w:r>
    </w:p>
    <w:p w14:paraId="65E467B4" w14:textId="77777777" w:rsidR="009C702C" w:rsidRPr="00DD2D90" w:rsidRDefault="009C702C" w:rsidP="009C702C">
      <w:r w:rsidRPr="009278EB">
        <w:rPr>
          <w:b/>
          <w:bCs/>
          <w:sz w:val="26"/>
          <w:szCs w:val="26"/>
        </w:rPr>
        <w:t>Williamson et al. 25</w:t>
      </w:r>
      <w:r w:rsidRPr="00DD2D90">
        <w:t xml:space="preserve"> [Molly Weston Williamson, senior fellow with American Progress and graduate from Swarthmore College and Yale Law School, Natasha Murphy, director of Health Policy at American Progress and former Kaiser Family Foundation Barbara Jordan Health Policy Scholar with a Master of Science in public health policy from Johns Hopkins, and Mia Ives-Rublee, senior director for the Disability Justice Initiative at American Progress with a master’s degree in social work from UNC Chapel Hill, 11-6-2025, "ACA Premium Spikes Will Derail Disabled People’s Careers", Center for American Progress, https://www.americanprogress.org/article/aca-premium-spikes-will-derail-disabled-peoples-careers/]/Kankee</w:t>
      </w:r>
    </w:p>
    <w:p w14:paraId="467FFE1D" w14:textId="1AC93E3B" w:rsidR="009C702C" w:rsidRPr="009278EB" w:rsidRDefault="009C702C" w:rsidP="00745271">
      <w:pPr>
        <w:rPr>
          <w:sz w:val="16"/>
        </w:rPr>
      </w:pPr>
      <w:r w:rsidRPr="00DD2D90">
        <w:rPr>
          <w:rStyle w:val="StyleUnderline"/>
        </w:rPr>
        <w:t>Disabled people are disproportionately likely to be self-employed</w:t>
      </w:r>
      <w:r w:rsidR="00745271" w:rsidRPr="009278EB">
        <w:rPr>
          <w:sz w:val="16"/>
        </w:rPr>
        <w:t xml:space="preserve"> </w:t>
      </w:r>
      <w:r w:rsidRPr="009278EB">
        <w:rPr>
          <w:sz w:val="16"/>
        </w:rPr>
        <w:t xml:space="preserve">As of 2023, </w:t>
      </w:r>
      <w:r w:rsidRPr="00DD2D90">
        <w:rPr>
          <w:rStyle w:val="StyleUnderline"/>
        </w:rPr>
        <w:t xml:space="preserve">there were </w:t>
      </w:r>
      <w:r w:rsidRPr="009278EB">
        <w:rPr>
          <w:sz w:val="16"/>
        </w:rPr>
        <w:t>nearly</w:t>
      </w:r>
      <w:r w:rsidRPr="00DD2D90">
        <w:rPr>
          <w:rStyle w:val="StyleUnderline"/>
        </w:rPr>
        <w:t xml:space="preserve"> 1.2 million self-employed disabled people</w:t>
      </w:r>
      <w:r w:rsidRPr="009278EB">
        <w:rPr>
          <w:sz w:val="16"/>
        </w:rPr>
        <w:t xml:space="preserve"> in the United States, representing more than </w:t>
      </w:r>
      <w:r w:rsidRPr="00DD2D90">
        <w:rPr>
          <w:rStyle w:val="Emphasis"/>
        </w:rPr>
        <w:t>11 percent</w:t>
      </w:r>
      <w:r w:rsidRPr="00DD2D90">
        <w:rPr>
          <w:rStyle w:val="StyleUnderline"/>
        </w:rPr>
        <w:t xml:space="preserve"> of employed disabled people</w:t>
      </w:r>
      <w:r w:rsidRPr="009278EB">
        <w:rPr>
          <w:sz w:val="16"/>
        </w:rPr>
        <w:t xml:space="preserve">.** Among those who are employed, </w:t>
      </w:r>
      <w:r w:rsidRPr="00DD2D90">
        <w:rPr>
          <w:rStyle w:val="StyleUnderline"/>
          <w:highlight w:val="green"/>
        </w:rPr>
        <w:t>disabled people are</w:t>
      </w:r>
      <w:r w:rsidRPr="00DD2D90">
        <w:rPr>
          <w:rStyle w:val="StyleUnderline"/>
        </w:rPr>
        <w:t xml:space="preserve"> more than </w:t>
      </w:r>
      <w:r w:rsidRPr="00DD2D90">
        <w:rPr>
          <w:rStyle w:val="Emphasis"/>
          <w:highlight w:val="green"/>
        </w:rPr>
        <w:t>50 percent</w:t>
      </w:r>
      <w:r w:rsidRPr="00DD2D90">
        <w:rPr>
          <w:rStyle w:val="StyleUnderline"/>
          <w:highlight w:val="green"/>
        </w:rPr>
        <w:t xml:space="preserve"> more likely to be self-employed</w:t>
      </w:r>
      <w:r w:rsidRPr="00DD2D90">
        <w:rPr>
          <w:rStyle w:val="StyleUnderline"/>
        </w:rPr>
        <w:t xml:space="preserve"> than those without disabilities</w:t>
      </w:r>
      <w:r w:rsidRPr="009278EB">
        <w:rPr>
          <w:sz w:val="16"/>
        </w:rPr>
        <w:t xml:space="preserve">. This is </w:t>
      </w:r>
      <w:r w:rsidRPr="00DD2D90">
        <w:rPr>
          <w:rStyle w:val="StyleUnderline"/>
          <w:highlight w:val="green"/>
        </w:rPr>
        <w:t>due to</w:t>
      </w:r>
      <w:r w:rsidRPr="00DD2D90">
        <w:rPr>
          <w:rStyle w:val="StyleUnderline"/>
        </w:rPr>
        <w:t xml:space="preserve"> </w:t>
      </w:r>
      <w:r w:rsidRPr="009278EB">
        <w:rPr>
          <w:sz w:val="16"/>
        </w:rPr>
        <w:t xml:space="preserve">a constellation of factors, including the impact of </w:t>
      </w:r>
      <w:r w:rsidRPr="00DD2D90">
        <w:rPr>
          <w:rStyle w:val="StyleUnderline"/>
          <w:highlight w:val="green"/>
        </w:rPr>
        <w:t>discrimination</w:t>
      </w:r>
      <w:r w:rsidRPr="009278EB">
        <w:rPr>
          <w:sz w:val="16"/>
        </w:rPr>
        <w:t xml:space="preserve"> in traditional employment, </w:t>
      </w:r>
      <w:r w:rsidRPr="00DD2D90">
        <w:rPr>
          <w:rStyle w:val="StyleUnderline"/>
          <w:highlight w:val="green"/>
        </w:rPr>
        <w:t>greater flexibility</w:t>
      </w:r>
      <w:r w:rsidRPr="009278EB">
        <w:rPr>
          <w:sz w:val="16"/>
        </w:rPr>
        <w:t xml:space="preserve"> provided by self-employment, </w:t>
      </w:r>
      <w:r w:rsidRPr="00DD2D90">
        <w:rPr>
          <w:rStyle w:val="StyleUnderline"/>
          <w:highlight w:val="green"/>
        </w:rPr>
        <w:t>and</w:t>
      </w:r>
      <w:r w:rsidRPr="009278EB">
        <w:rPr>
          <w:sz w:val="16"/>
        </w:rPr>
        <w:t xml:space="preserve"> self-employment allowing better ability to manage </w:t>
      </w:r>
      <w:r w:rsidRPr="00DD2D90">
        <w:rPr>
          <w:rStyle w:val="StyleUnderline"/>
          <w:highlight w:val="green"/>
        </w:rPr>
        <w:t>health needs</w:t>
      </w:r>
      <w:r w:rsidRPr="009278EB">
        <w:rPr>
          <w:sz w:val="16"/>
        </w:rPr>
        <w:t xml:space="preserve">. Fink stated, “Self-employment would allow me to design my workspace and schedule to maintain productivity around my health needs and would let me plan around symptom flare-ups.”* Rates of self-employment are especially high among older people with disabilities: As of 2023, </w:t>
      </w:r>
      <w:r w:rsidRPr="00DD2D90">
        <w:rPr>
          <w:rStyle w:val="StyleUnderline"/>
        </w:rPr>
        <w:t>nearly 1 in 5 employed disabled people age 55 or older were self-employed.</w:t>
      </w:r>
      <w:r w:rsidR="00745271" w:rsidRPr="009278EB">
        <w:rPr>
          <w:sz w:val="16"/>
        </w:rPr>
        <w:t xml:space="preserve"> </w:t>
      </w:r>
      <w:r w:rsidRPr="00DD2D90">
        <w:rPr>
          <w:rStyle w:val="StyleUnderline"/>
          <w:highlight w:val="green"/>
        </w:rPr>
        <w:t>Skyrocketing premium costs will hit disabled</w:t>
      </w:r>
      <w:r w:rsidRPr="00DD2D90">
        <w:rPr>
          <w:rStyle w:val="StyleUnderline"/>
        </w:rPr>
        <w:t xml:space="preserve"> small-</w:t>
      </w:r>
      <w:r w:rsidRPr="00DD2D90">
        <w:rPr>
          <w:rStyle w:val="StyleUnderline"/>
          <w:highlight w:val="green"/>
        </w:rPr>
        <w:t>business owners and self-employed people</w:t>
      </w:r>
      <w:r w:rsidRPr="00DD2D90">
        <w:rPr>
          <w:rStyle w:val="StyleUnderline"/>
        </w:rPr>
        <w:t xml:space="preserve"> with disabilities </w:t>
      </w:r>
      <w:r w:rsidRPr="00DD2D90">
        <w:rPr>
          <w:rStyle w:val="Emphasis"/>
          <w:highlight w:val="green"/>
        </w:rPr>
        <w:t>especially hard</w:t>
      </w:r>
      <w:r w:rsidR="00745271" w:rsidRPr="009278EB">
        <w:rPr>
          <w:sz w:val="16"/>
        </w:rPr>
        <w:t xml:space="preserve"> </w:t>
      </w:r>
      <w:r w:rsidRPr="009278EB">
        <w:rPr>
          <w:sz w:val="16"/>
        </w:rPr>
        <w:t xml:space="preserve">Increased premium costs from the loss of enhanced premium tax credits are likely to hit disabled self-employed people particularly hard. Just as disabled employees are paid less than nondisabled employees, research shows that </w:t>
      </w:r>
      <w:r w:rsidRPr="00DD2D90">
        <w:rPr>
          <w:rStyle w:val="StyleUnderline"/>
        </w:rPr>
        <w:t xml:space="preserve">self-employed </w:t>
      </w:r>
      <w:r w:rsidRPr="00DD2D90">
        <w:rPr>
          <w:rStyle w:val="StyleUnderline"/>
          <w:highlight w:val="green"/>
        </w:rPr>
        <w:t>people with disabilities</w:t>
      </w:r>
      <w:r w:rsidRPr="00DD2D90">
        <w:rPr>
          <w:rStyle w:val="StyleUnderline"/>
        </w:rPr>
        <w:t xml:space="preserve"> </w:t>
      </w:r>
      <w:r w:rsidRPr="00DD2D90">
        <w:rPr>
          <w:rStyle w:val="StyleUnderline"/>
          <w:highlight w:val="green"/>
        </w:rPr>
        <w:t xml:space="preserve">earn </w:t>
      </w:r>
      <w:r w:rsidRPr="00DD2D90">
        <w:rPr>
          <w:rStyle w:val="Emphasis"/>
          <w:highlight w:val="green"/>
        </w:rPr>
        <w:t>much less</w:t>
      </w:r>
      <w:r w:rsidRPr="00DD2D90">
        <w:rPr>
          <w:rStyle w:val="StyleUnderline"/>
        </w:rPr>
        <w:t xml:space="preserve"> than nondisabled self-employed people</w:t>
      </w:r>
      <w:r w:rsidRPr="009278EB">
        <w:rPr>
          <w:sz w:val="16"/>
        </w:rPr>
        <w:t xml:space="preserve">. This means that </w:t>
      </w:r>
      <w:r w:rsidRPr="00DD2D90">
        <w:rPr>
          <w:rStyle w:val="StyleUnderline"/>
          <w:highlight w:val="green"/>
        </w:rPr>
        <w:t>when premium costs rise, disabled self-employed people are especially unlikely to be able to afford the</w:t>
      </w:r>
      <w:r w:rsidRPr="00DD2D90">
        <w:rPr>
          <w:rStyle w:val="StyleUnderline"/>
        </w:rPr>
        <w:t xml:space="preserve"> suddenly </w:t>
      </w:r>
      <w:r w:rsidRPr="00DD2D90">
        <w:rPr>
          <w:rStyle w:val="StyleUnderline"/>
          <w:highlight w:val="green"/>
        </w:rPr>
        <w:t>increased rates</w:t>
      </w:r>
      <w:r w:rsidRPr="009278EB">
        <w:rPr>
          <w:sz w:val="16"/>
        </w:rPr>
        <w:t xml:space="preserve">. As a result, </w:t>
      </w:r>
      <w:r w:rsidRPr="00DD2D90">
        <w:rPr>
          <w:rStyle w:val="StyleUnderline"/>
          <w:highlight w:val="green"/>
        </w:rPr>
        <w:t>disabled</w:t>
      </w:r>
      <w:r w:rsidRPr="00DD2D90">
        <w:rPr>
          <w:rStyle w:val="StyleUnderline"/>
        </w:rPr>
        <w:t xml:space="preserve"> self-employed </w:t>
      </w:r>
      <w:r w:rsidRPr="00DD2D90">
        <w:rPr>
          <w:rStyle w:val="StyleUnderline"/>
          <w:highlight w:val="green"/>
        </w:rPr>
        <w:t>people may face increased financial struggles</w:t>
      </w:r>
      <w:r w:rsidRPr="00DD2D90">
        <w:rPr>
          <w:rStyle w:val="StyleUnderline"/>
        </w:rPr>
        <w:t xml:space="preserve">, </w:t>
      </w:r>
      <w:r w:rsidRPr="00DD2D90">
        <w:rPr>
          <w:rStyle w:val="StyleUnderline"/>
          <w:highlight w:val="green"/>
        </w:rPr>
        <w:t>be pushed into less supportive plans, or</w:t>
      </w:r>
      <w:r w:rsidRPr="00DD2D90">
        <w:rPr>
          <w:rStyle w:val="StyleUnderline"/>
        </w:rPr>
        <w:t xml:space="preserve"> even </w:t>
      </w:r>
      <w:r w:rsidRPr="00DD2D90">
        <w:rPr>
          <w:rStyle w:val="StyleUnderline"/>
          <w:highlight w:val="green"/>
        </w:rPr>
        <w:t>be unable to afford</w:t>
      </w:r>
      <w:r w:rsidRPr="00DD2D90">
        <w:rPr>
          <w:rStyle w:val="StyleUnderline"/>
        </w:rPr>
        <w:t xml:space="preserve"> </w:t>
      </w:r>
      <w:r w:rsidRPr="009278EB">
        <w:rPr>
          <w:sz w:val="16"/>
        </w:rPr>
        <w:t>the</w:t>
      </w:r>
      <w:r w:rsidRPr="00DD2D90">
        <w:rPr>
          <w:rStyle w:val="StyleUnderline"/>
        </w:rPr>
        <w:t xml:space="preserve"> </w:t>
      </w:r>
      <w:r w:rsidRPr="00DD2D90">
        <w:rPr>
          <w:rStyle w:val="StyleUnderline"/>
          <w:highlight w:val="green"/>
        </w:rPr>
        <w:t>coverage</w:t>
      </w:r>
      <w:r w:rsidRPr="009278EB">
        <w:rPr>
          <w:sz w:val="16"/>
        </w:rPr>
        <w:t xml:space="preserve"> their families need.</w:t>
      </w:r>
      <w:r w:rsidR="00745271" w:rsidRPr="009278EB">
        <w:rPr>
          <w:sz w:val="16"/>
        </w:rPr>
        <w:t xml:space="preserve"> </w:t>
      </w:r>
      <w:r w:rsidRPr="009278EB">
        <w:rPr>
          <w:sz w:val="16"/>
        </w:rPr>
        <w:t>In some states, these impacts are likely to be especially pronounced. In South Dakota, 91 percent of the self-employed workers and small-business owners with marketplace coverage claimed premium tax credits in 2022—the highest rate in the country, tied with Wyoming. South Dakota also has one of the highest rates of self-employment among disabled people at 13.9 percent of employed disabled people. Similarly, 88 percent of Florida’s self-employed workers and small-business owners with marketplace coverage relied on premium tax credits—likely including many of the nearly 14 percent of employed disabled Floridians who are self-employed.**</w:t>
      </w:r>
      <w:r w:rsidR="00745271" w:rsidRPr="009278EB">
        <w:rPr>
          <w:sz w:val="16"/>
        </w:rPr>
        <w:t xml:space="preserve"> </w:t>
      </w:r>
      <w:r w:rsidRPr="009278EB">
        <w:rPr>
          <w:sz w:val="16"/>
        </w:rPr>
        <w:t>Spotlight on disabled veterans</w:t>
      </w:r>
      <w:r w:rsidR="00745271" w:rsidRPr="009278EB">
        <w:rPr>
          <w:sz w:val="16"/>
        </w:rPr>
        <w:t xml:space="preserve"> </w:t>
      </w:r>
      <w:r w:rsidRPr="009278EB">
        <w:rPr>
          <w:sz w:val="16"/>
        </w:rPr>
        <w:t>Health insurance cost hikes brought on by congressional inaction will also harm disabled veterans. As of 2023, among business owners, veterans are much more likely to be disabled than nonveterans. Self-employed veterans, whether their business is incorporated or not, are more likely to be disabled than veterans in traditional employment. Self-employment may be even more important to disabled veterans’ economic stability now, given that prior to the Trump administration’s unprecedented decimation of the federal workforce, more than one-third of employed veterans with service-connected disabilities worked for the federal government. While the Department of Veterans Affairs provides critical health care services—particularly for those with service-connected disabilities—it does not cover all veterans or all health needs. Many veterans, particularly in states that have not expanded Medicaid coverage, rely on marketplace coverage supported by premium tax credits.</w:t>
      </w:r>
      <w:r w:rsidR="00745271" w:rsidRPr="009278EB">
        <w:rPr>
          <w:sz w:val="16"/>
        </w:rPr>
        <w:t xml:space="preserve"> </w:t>
      </w:r>
      <w:r w:rsidRPr="009278EB">
        <w:rPr>
          <w:sz w:val="16"/>
        </w:rPr>
        <w:t>The Trump administration and Republican congressional leaders are cutting off essential supports that allow disabled people to work</w:t>
      </w:r>
      <w:r w:rsidR="00745271" w:rsidRPr="009278EB">
        <w:rPr>
          <w:sz w:val="16"/>
        </w:rPr>
        <w:t xml:space="preserve"> </w:t>
      </w:r>
      <w:r w:rsidRPr="009278EB">
        <w:rPr>
          <w:sz w:val="16"/>
        </w:rPr>
        <w:t xml:space="preserve">One’s health status and ability to work are intertwined. </w:t>
      </w:r>
      <w:r w:rsidRPr="00DD2D90">
        <w:rPr>
          <w:rStyle w:val="StyleUnderline"/>
        </w:rPr>
        <w:t xml:space="preserve">Health </w:t>
      </w:r>
      <w:r w:rsidRPr="00DD2D90">
        <w:rPr>
          <w:rStyle w:val="StyleUnderline"/>
          <w:highlight w:val="green"/>
        </w:rPr>
        <w:t>insurance is essential for helping people</w:t>
      </w:r>
      <w:r w:rsidRPr="00DD2D90">
        <w:rPr>
          <w:rStyle w:val="StyleUnderline"/>
        </w:rPr>
        <w:t xml:space="preserve"> obtain and </w:t>
      </w:r>
      <w:r w:rsidRPr="00DD2D90">
        <w:rPr>
          <w:rStyle w:val="StyleUnderline"/>
          <w:highlight w:val="green"/>
        </w:rPr>
        <w:t>maintain employment as it improves health outcomes</w:t>
      </w:r>
      <w:r w:rsidRPr="00DD2D90">
        <w:rPr>
          <w:rStyle w:val="StyleUnderline"/>
        </w:rPr>
        <w:t xml:space="preserve"> </w:t>
      </w:r>
      <w:r w:rsidRPr="00DD2D90">
        <w:rPr>
          <w:rStyle w:val="StyleUnderline"/>
          <w:highlight w:val="green"/>
        </w:rPr>
        <w:t>by</w:t>
      </w:r>
      <w:r w:rsidRPr="00DD2D90">
        <w:rPr>
          <w:rStyle w:val="StyleUnderline"/>
        </w:rPr>
        <w:t xml:space="preserve"> facilitating access to </w:t>
      </w:r>
      <w:r w:rsidRPr="00DD2D90">
        <w:rPr>
          <w:rStyle w:val="StyleUnderline"/>
          <w:highlight w:val="green"/>
        </w:rPr>
        <w:t>preventive care</w:t>
      </w:r>
      <w:r w:rsidRPr="00DD2D90">
        <w:rPr>
          <w:rStyle w:val="StyleUnderline"/>
        </w:rPr>
        <w:t xml:space="preserve"> and medical treatments</w:t>
      </w:r>
      <w:r w:rsidRPr="009278EB">
        <w:rPr>
          <w:sz w:val="16"/>
        </w:rPr>
        <w:t>. A study of Medicaid expansion in Ohio indicated that wi</w:t>
      </w:r>
      <w:r w:rsidRPr="00DD2D90">
        <w:rPr>
          <w:rStyle w:val="StyleUnderline"/>
        </w:rPr>
        <w:t>th Medicaid, those who were already working found it easier to work (</w:t>
      </w:r>
      <w:r w:rsidRPr="00DD2D90">
        <w:rPr>
          <w:rStyle w:val="Emphasis"/>
        </w:rPr>
        <w:t>83.5 percent</w:t>
      </w:r>
      <w:r w:rsidRPr="00DD2D90">
        <w:rPr>
          <w:rStyle w:val="StyleUnderline"/>
        </w:rPr>
        <w:t>) and those who were looking for work found it easier to keep looking (</w:t>
      </w:r>
      <w:r w:rsidRPr="00DD2D90">
        <w:rPr>
          <w:rStyle w:val="Emphasis"/>
        </w:rPr>
        <w:t>60 percent</w:t>
      </w:r>
      <w:r w:rsidRPr="009278EB">
        <w:rPr>
          <w:sz w:val="16"/>
        </w:rPr>
        <w:t>). This is unsurprising, as a majority of those on Medicaid across the United States were either working (64 percent), caring for someone (12 percent), attending school (7 percent), or too disabled to work (10 percent).</w:t>
      </w:r>
      <w:r w:rsidR="00745271" w:rsidRPr="009278EB">
        <w:rPr>
          <w:sz w:val="16"/>
        </w:rPr>
        <w:t xml:space="preserve"> </w:t>
      </w:r>
      <w:r w:rsidRPr="009278EB">
        <w:rPr>
          <w:sz w:val="16"/>
        </w:rPr>
        <w:t>Yet the Trump administration and congressional Republicans passed legislation to strip Medicaid. Speaker Mike Johnson (R-LA) argued that work reporting requirements under Medicaid serve a “moral” purpose because “when you make young men work, it’s good for them, it’s good for their dignity.” Similarly, Trump administration leaders touted these requirements as spurring people to the “purpose and dignity” of work, which “strengthens families and communities as it gives new life to start-ups and growing businesses.” While these leaders attempt to disparage individuals on Medicaid and those without insurance, the reality is that a significant majority of families lacking insurance (73.7 percent) include at least one full-time employed individual.</w:t>
      </w:r>
      <w:r w:rsidR="00745271" w:rsidRPr="009278EB">
        <w:rPr>
          <w:sz w:val="16"/>
        </w:rPr>
        <w:t xml:space="preserve"> </w:t>
      </w:r>
      <w:r w:rsidRPr="009278EB">
        <w:rPr>
          <w:sz w:val="16"/>
        </w:rPr>
        <w:t xml:space="preserve">The </w:t>
      </w:r>
      <w:r w:rsidRPr="00DD2D90">
        <w:rPr>
          <w:rStyle w:val="StyleUnderline"/>
        </w:rPr>
        <w:t>cuts to Medicaid, along with the expiration of the enhanced premium tax credits, compound the financial strains disabled workers face.</w:t>
      </w:r>
      <w:r w:rsidRPr="009278EB">
        <w:rPr>
          <w:sz w:val="16"/>
        </w:rPr>
        <w:t xml:space="preserve"> Self-employed working individuals, including disabled workers, are more likely to rely on either health insurance through the marketplace or Medicaid in expansion states. </w:t>
      </w:r>
      <w:r w:rsidRPr="00DD2D90">
        <w:rPr>
          <w:rStyle w:val="StyleUnderline"/>
        </w:rPr>
        <w:t xml:space="preserve">Without these choices, </w:t>
      </w:r>
      <w:r w:rsidRPr="00DD2D90">
        <w:rPr>
          <w:rStyle w:val="StyleUnderline"/>
          <w:highlight w:val="green"/>
        </w:rPr>
        <w:t>disabled workers must</w:t>
      </w:r>
      <w:r w:rsidRPr="00DD2D90">
        <w:rPr>
          <w:rStyle w:val="StyleUnderline"/>
        </w:rPr>
        <w:t xml:space="preserve"> either rely on work-based health insurance or </w:t>
      </w:r>
      <w:r w:rsidRPr="00DD2D90">
        <w:rPr>
          <w:rStyle w:val="StyleUnderline"/>
          <w:highlight w:val="green"/>
        </w:rPr>
        <w:t>leave the workforce to get on Medicaid</w:t>
      </w:r>
      <w:r w:rsidRPr="009278EB">
        <w:rPr>
          <w:sz w:val="16"/>
        </w:rPr>
        <w:t xml:space="preserve">, which has a five-month waiting period, and Social Security disability benefits. “Due to my disabilities, I have pretty high health care needs,” Fink stated. “And thus, </w:t>
      </w:r>
      <w:r w:rsidRPr="00DD2D90">
        <w:rPr>
          <w:rStyle w:val="StyleUnderline"/>
        </w:rPr>
        <w:t>I cannot take on contract work or any kind of … [work] that doesn’t have a fully covered 100 percent employer-backed insurance</w:t>
      </w:r>
      <w:r w:rsidRPr="009278EB">
        <w:rPr>
          <w:sz w:val="16"/>
        </w:rPr>
        <w:t xml:space="preserve"> </w:t>
      </w:r>
      <w:r w:rsidRPr="00DD2D90">
        <w:rPr>
          <w:rStyle w:val="StyleUnderline"/>
        </w:rPr>
        <w:t>plan</w:t>
      </w:r>
      <w:r w:rsidRPr="009278EB">
        <w:rPr>
          <w:sz w:val="16"/>
        </w:rPr>
        <w:t>.”*</w:t>
      </w:r>
      <w:r w:rsidR="00745271" w:rsidRPr="009278EB">
        <w:rPr>
          <w:sz w:val="16"/>
        </w:rPr>
        <w:t xml:space="preserve"> </w:t>
      </w:r>
      <w:r w:rsidRPr="009278EB">
        <w:rPr>
          <w:sz w:val="16"/>
        </w:rPr>
        <w:t>Conclusion</w:t>
      </w:r>
      <w:r w:rsidR="00745271" w:rsidRPr="009278EB">
        <w:rPr>
          <w:sz w:val="16"/>
        </w:rPr>
        <w:t xml:space="preserve"> </w:t>
      </w:r>
      <w:r w:rsidRPr="009278EB">
        <w:rPr>
          <w:sz w:val="16"/>
        </w:rPr>
        <w:t>While Americans across the country—including those with disabilities—are confronting the impact of expiring enhanced premium tax credits as they seek to enroll in health insurance for next year, it is not too late to act. As a recent CAP analysis has highlighted, if Congress acts swiftly, it can restore the full credits for next year in time for marketplaces to incorporate the changes and give families real relief. People with disabilities, along with the rest of the more than 20 million people who rely on these credits to afford their coverage, are counting on their elected leaders to step up for them and their families.</w:t>
      </w:r>
    </w:p>
    <w:p w14:paraId="11160E5A" w14:textId="77777777" w:rsidR="00FA1D49" w:rsidRPr="009278EB" w:rsidRDefault="00FA1D49">
      <w:pPr>
        <w:rPr>
          <w:rFonts w:eastAsiaTheme="majorEastAsia" w:cstheme="majorBidi"/>
          <w:b/>
          <w:iCs/>
          <w:sz w:val="16"/>
        </w:rPr>
      </w:pPr>
      <w:r w:rsidRPr="009278EB">
        <w:rPr>
          <w:sz w:val="16"/>
        </w:rPr>
        <w:br w:type="page"/>
      </w:r>
    </w:p>
    <w:p w14:paraId="37446E2F" w14:textId="437F98CF" w:rsidR="009C702C" w:rsidRPr="009278EB" w:rsidRDefault="009C702C" w:rsidP="009C702C">
      <w:pPr>
        <w:pStyle w:val="Heading4"/>
        <w:rPr>
          <w:szCs w:val="26"/>
        </w:rPr>
      </w:pPr>
      <w:r w:rsidRPr="009278EB">
        <w:rPr>
          <w:szCs w:val="26"/>
        </w:rPr>
        <w:t>Greater insurance coverage helps disabled folk</w:t>
      </w:r>
    </w:p>
    <w:p w14:paraId="5743DE22" w14:textId="77777777" w:rsidR="009C702C" w:rsidRPr="00DD2D90" w:rsidRDefault="009C702C" w:rsidP="009C702C">
      <w:r w:rsidRPr="009278EB">
        <w:rPr>
          <w:b/>
          <w:bCs/>
          <w:sz w:val="26"/>
          <w:szCs w:val="26"/>
        </w:rPr>
        <w:t>Azizatunnisa et al. 24</w:t>
      </w:r>
      <w:r w:rsidRPr="00DD2D90">
        <w:t xml:space="preserve"> [Luthfi Azizatunnisa, Hannah Kuper, and Lena Morgon Banks, all researchers at the International Centre for Evidence in Disability at the London School of Hygiene and Tropical Medicine, 2024, "Access to health insurance amongst people with disabilities and its association with healthcare use, health status and financial protection in low- and middle-income countries: a systematic review", PubMed Central (PMC), https://pmc.ncbi.nlm.nih.gov/articles/PMC11658242/]/Kankee</w:t>
      </w:r>
    </w:p>
    <w:p w14:paraId="07A5BED4" w14:textId="6550CC7E" w:rsidR="009C702C" w:rsidRPr="009278EB" w:rsidRDefault="009C702C" w:rsidP="009C702C">
      <w:pPr>
        <w:rPr>
          <w:sz w:val="16"/>
        </w:rPr>
      </w:pPr>
      <w:r w:rsidRPr="009278EB">
        <w:rPr>
          <w:sz w:val="16"/>
        </w:rPr>
        <w:t>Background</w:t>
      </w:r>
      <w:r w:rsidR="005C53D5" w:rsidRPr="009278EB">
        <w:rPr>
          <w:sz w:val="16"/>
        </w:rPr>
        <w:t xml:space="preserve"> </w:t>
      </w:r>
      <w:r w:rsidRPr="009278EB">
        <w:rPr>
          <w:sz w:val="16"/>
        </w:rPr>
        <w:t>Persons with disabilities are “those who have long-term physical, mental, intellectual or sensory impairments which in interaction with various barriers may hinder their full and effective participation in society on an equal basis with others” [1]. Worldwide, approximately 1</w:t>
      </w:r>
      <w:r w:rsidRPr="00DD2D90">
        <w:rPr>
          <w:rStyle w:val="StyleUnderline"/>
        </w:rPr>
        <w:t>.3 billion people, constituting 16% of the global population, are living with disabilities</w:t>
      </w:r>
      <w:r w:rsidRPr="009278EB">
        <w:rPr>
          <w:sz w:val="16"/>
        </w:rPr>
        <w:t xml:space="preserve"> [2, 3]. Of this demographic, 80% reside in low- and middle-income countries (LMICs), and a significant proportion live in poverty [4, 5].</w:t>
      </w:r>
      <w:r w:rsidR="005C53D5" w:rsidRPr="009278EB">
        <w:rPr>
          <w:sz w:val="16"/>
        </w:rPr>
        <w:t xml:space="preserve"> </w:t>
      </w:r>
      <w:r w:rsidRPr="00DD2D90">
        <w:rPr>
          <w:rStyle w:val="StyleUnderline"/>
        </w:rPr>
        <w:t>People with disabilities have triple health needs: general healthcare needs</w:t>
      </w:r>
      <w:r w:rsidRPr="009278EB">
        <w:rPr>
          <w:sz w:val="16"/>
        </w:rPr>
        <w:t xml:space="preserve"> (e.g., promotive, preventive, curative care), similar to the rest of the population; </w:t>
      </w:r>
      <w:r w:rsidRPr="00DD2D90">
        <w:rPr>
          <w:rStyle w:val="StyleUnderline"/>
        </w:rPr>
        <w:t>health needs related to their impairments</w:t>
      </w:r>
      <w:r w:rsidRPr="009278EB">
        <w:rPr>
          <w:sz w:val="16"/>
        </w:rPr>
        <w:t xml:space="preserve"> (e.g., specialistic healthcare, rehabilitation, assistive technology); </w:t>
      </w:r>
      <w:r w:rsidRPr="00DD2D90">
        <w:rPr>
          <w:rStyle w:val="StyleUnderline"/>
        </w:rPr>
        <w:t>and health needs for secondary health conditions</w:t>
      </w:r>
      <w:r w:rsidRPr="009278EB">
        <w:rPr>
          <w:sz w:val="16"/>
        </w:rPr>
        <w:t xml:space="preserve"> tied to their impairment (e.g., pressure sore, urinary tract infection) [6–8]. Consequently, </w:t>
      </w:r>
      <w:r w:rsidRPr="00DD2D90">
        <w:rPr>
          <w:rStyle w:val="StyleUnderline"/>
          <w:highlight w:val="green"/>
        </w:rPr>
        <w:t>people with disabilities</w:t>
      </w:r>
      <w:r w:rsidRPr="00DD2D90">
        <w:rPr>
          <w:rStyle w:val="StyleUnderline"/>
        </w:rPr>
        <w:t xml:space="preserve"> often </w:t>
      </w:r>
      <w:r w:rsidRPr="00DD2D90">
        <w:rPr>
          <w:rStyle w:val="StyleUnderline"/>
          <w:highlight w:val="green"/>
        </w:rPr>
        <w:t xml:space="preserve">require more healthcare </w:t>
      </w:r>
      <w:r w:rsidRPr="00DD2D90">
        <w:rPr>
          <w:rStyle w:val="StyleUnderline"/>
        </w:rPr>
        <w:t xml:space="preserve">services </w:t>
      </w:r>
      <w:r w:rsidRPr="00DD2D90">
        <w:rPr>
          <w:rStyle w:val="StyleUnderline"/>
          <w:highlight w:val="green"/>
        </w:rPr>
        <w:t>and higher health costs</w:t>
      </w:r>
      <w:r w:rsidRPr="00DD2D90">
        <w:rPr>
          <w:rStyle w:val="StyleUnderline"/>
        </w:rPr>
        <w:t xml:space="preserve"> compared to those without disabilities</w:t>
      </w:r>
      <w:r w:rsidRPr="009278EB">
        <w:rPr>
          <w:sz w:val="16"/>
        </w:rPr>
        <w:t xml:space="preserve"> [6, 9–13]. Nonetheless, people with disabilities typically encounter more challenges when seeking healthcare, including financial barriers to access [14–20]. They incur higher healthcare costs than the general population because of their higher healthcare needs [21], indirect expenses such as personal assistance and accessible transportation [8, 22, 23], and services beyond the scope of the public healthcare system. However, </w:t>
      </w:r>
      <w:r w:rsidRPr="00DD2D90">
        <w:rPr>
          <w:rStyle w:val="StyleUnderline"/>
          <w:highlight w:val="green"/>
        </w:rPr>
        <w:t>they are often less able to meet</w:t>
      </w:r>
      <w:r w:rsidRPr="00DD2D90">
        <w:rPr>
          <w:rStyle w:val="StyleUnderline"/>
        </w:rPr>
        <w:t xml:space="preserve"> these </w:t>
      </w:r>
      <w:r w:rsidRPr="00DD2D90">
        <w:rPr>
          <w:rStyle w:val="StyleUnderline"/>
          <w:highlight w:val="green"/>
        </w:rPr>
        <w:t>costs</w:t>
      </w:r>
      <w:r w:rsidRPr="00DD2D90">
        <w:rPr>
          <w:rStyle w:val="StyleUnderline"/>
        </w:rPr>
        <w:t xml:space="preserve">, </w:t>
      </w:r>
      <w:r w:rsidRPr="00DD2D90">
        <w:rPr>
          <w:rStyle w:val="StyleUnderline"/>
          <w:highlight w:val="green"/>
        </w:rPr>
        <w:t>as they have a heightened risk of poverty</w:t>
      </w:r>
      <w:r w:rsidRPr="009278EB">
        <w:rPr>
          <w:sz w:val="16"/>
        </w:rPr>
        <w:t xml:space="preserve"> </w:t>
      </w:r>
      <w:r w:rsidRPr="00DD2D90">
        <w:rPr>
          <w:rStyle w:val="StyleUnderline"/>
          <w:highlight w:val="green"/>
        </w:rPr>
        <w:t>and</w:t>
      </w:r>
      <w:r w:rsidRPr="009278EB">
        <w:rPr>
          <w:sz w:val="16"/>
        </w:rPr>
        <w:t xml:space="preserve"> </w:t>
      </w:r>
      <w:r w:rsidRPr="00DD2D90">
        <w:rPr>
          <w:rStyle w:val="StyleUnderline"/>
          <w:highlight w:val="green"/>
        </w:rPr>
        <w:t>lack of health insurance</w:t>
      </w:r>
      <w:r w:rsidRPr="009278EB">
        <w:rPr>
          <w:sz w:val="16"/>
        </w:rPr>
        <w:t xml:space="preserve"> or health insurance not covering their essential needs [10, 11, 24]. Indeed, evidence shows that </w:t>
      </w:r>
      <w:r w:rsidRPr="00DD2D90">
        <w:rPr>
          <w:rStyle w:val="StyleUnderline"/>
        </w:rPr>
        <w:t xml:space="preserve">people with disabilities are at a higher risk of </w:t>
      </w:r>
      <w:r w:rsidRPr="00DD2D90">
        <w:rPr>
          <w:rStyle w:val="StyleUnderline"/>
          <w:highlight w:val="green"/>
        </w:rPr>
        <w:t>catastrophic health expenditure</w:t>
      </w:r>
      <w:r w:rsidRPr="009278EB">
        <w:rPr>
          <w:sz w:val="16"/>
        </w:rPr>
        <w:t xml:space="preserve"> (CHE) [7], </w:t>
      </w:r>
      <w:r w:rsidRPr="00DD2D90">
        <w:rPr>
          <w:rStyle w:val="StyleUnderline"/>
        </w:rPr>
        <w:t xml:space="preserve">which </w:t>
      </w:r>
      <w:r w:rsidRPr="00DD2D90">
        <w:rPr>
          <w:rStyle w:val="StyleUnderline"/>
          <w:highlight w:val="green"/>
        </w:rPr>
        <w:t>may push them</w:t>
      </w:r>
      <w:r w:rsidRPr="00DD2D90">
        <w:rPr>
          <w:rStyle w:val="StyleUnderline"/>
        </w:rPr>
        <w:t xml:space="preserve"> further </w:t>
      </w:r>
      <w:r w:rsidRPr="00DD2D90">
        <w:rPr>
          <w:rStyle w:val="StyleUnderline"/>
          <w:highlight w:val="green"/>
        </w:rPr>
        <w:t>into poverty</w:t>
      </w:r>
      <w:r w:rsidRPr="009278EB">
        <w:rPr>
          <w:sz w:val="16"/>
        </w:rPr>
        <w:t xml:space="preserve"> [25–32].</w:t>
      </w:r>
      <w:r w:rsidR="005C53D5" w:rsidRPr="009278EB">
        <w:rPr>
          <w:sz w:val="16"/>
        </w:rPr>
        <w:t xml:space="preserve"> </w:t>
      </w:r>
      <w:r w:rsidRPr="00DD2D90">
        <w:rPr>
          <w:rStyle w:val="StyleUnderline"/>
        </w:rPr>
        <w:t xml:space="preserve">Health </w:t>
      </w:r>
      <w:r w:rsidRPr="00DD2D90">
        <w:rPr>
          <w:rStyle w:val="StyleUnderline"/>
          <w:highlight w:val="green"/>
        </w:rPr>
        <w:t>insurance can serve as a</w:t>
      </w:r>
      <w:r w:rsidRPr="00DD2D90">
        <w:rPr>
          <w:rStyle w:val="StyleUnderline"/>
        </w:rPr>
        <w:t xml:space="preserve"> </w:t>
      </w:r>
      <w:r w:rsidRPr="00DD2D90">
        <w:rPr>
          <w:rStyle w:val="Emphasis"/>
          <w:highlight w:val="green"/>
        </w:rPr>
        <w:t>protective mechanism</w:t>
      </w:r>
      <w:r w:rsidRPr="009278EB">
        <w:rPr>
          <w:sz w:val="16"/>
          <w:highlight w:val="green"/>
        </w:rPr>
        <w:t xml:space="preserve"> </w:t>
      </w:r>
      <w:r w:rsidRPr="00DD2D90">
        <w:rPr>
          <w:rStyle w:val="StyleUnderline"/>
          <w:highlight w:val="green"/>
        </w:rPr>
        <w:t>shielding individuals</w:t>
      </w:r>
      <w:r w:rsidRPr="009278EB">
        <w:rPr>
          <w:sz w:val="16"/>
        </w:rPr>
        <w:t xml:space="preserve"> or households </w:t>
      </w:r>
      <w:r w:rsidRPr="00DD2D90">
        <w:rPr>
          <w:rStyle w:val="StyleUnderline"/>
          <w:highlight w:val="green"/>
        </w:rPr>
        <w:t>from</w:t>
      </w:r>
      <w:r w:rsidRPr="009278EB">
        <w:rPr>
          <w:sz w:val="16"/>
        </w:rPr>
        <w:t xml:space="preserve"> the </w:t>
      </w:r>
      <w:r w:rsidRPr="00DD2D90">
        <w:rPr>
          <w:rStyle w:val="StyleUnderline"/>
        </w:rPr>
        <w:t xml:space="preserve">financial strain that could lead to </w:t>
      </w:r>
      <w:r w:rsidRPr="00DD2D90">
        <w:rPr>
          <w:rStyle w:val="StyleUnderline"/>
          <w:highlight w:val="green"/>
        </w:rPr>
        <w:t>impoverishment</w:t>
      </w:r>
      <w:r w:rsidRPr="009278EB">
        <w:rPr>
          <w:sz w:val="16"/>
        </w:rPr>
        <w:t xml:space="preserve"> when seeking needed healthcare. Among the general population, </w:t>
      </w:r>
      <w:r w:rsidRPr="00DD2D90">
        <w:rPr>
          <w:rStyle w:val="StyleUnderline"/>
        </w:rPr>
        <w:t xml:space="preserve">health </w:t>
      </w:r>
      <w:r w:rsidRPr="00DD2D90">
        <w:rPr>
          <w:rStyle w:val="StyleUnderline"/>
          <w:highlight w:val="green"/>
        </w:rPr>
        <w:t>insurance has been associated with a decrease in</w:t>
      </w:r>
      <w:r w:rsidRPr="00DD2D90">
        <w:rPr>
          <w:rStyle w:val="StyleUnderline"/>
        </w:rPr>
        <w:t xml:space="preserve"> </w:t>
      </w:r>
      <w:r w:rsidRPr="00DD2D90">
        <w:rPr>
          <w:rStyle w:val="StyleUnderline"/>
          <w:highlight w:val="green"/>
        </w:rPr>
        <w:t>o</w:t>
      </w:r>
      <w:r w:rsidRPr="00DD2D90">
        <w:rPr>
          <w:rStyle w:val="StyleUnderline"/>
        </w:rPr>
        <w:t>ut-</w:t>
      </w:r>
      <w:r w:rsidRPr="00DD2D90">
        <w:rPr>
          <w:rStyle w:val="StyleUnderline"/>
          <w:highlight w:val="green"/>
        </w:rPr>
        <w:t>o</w:t>
      </w:r>
      <w:r w:rsidRPr="00DD2D90">
        <w:rPr>
          <w:rStyle w:val="StyleUnderline"/>
        </w:rPr>
        <w:t>f-</w:t>
      </w:r>
      <w:r w:rsidRPr="00DD2D90">
        <w:rPr>
          <w:rStyle w:val="StyleUnderline"/>
          <w:highlight w:val="green"/>
        </w:rPr>
        <w:t>p</w:t>
      </w:r>
      <w:r w:rsidRPr="00DD2D90">
        <w:rPr>
          <w:rStyle w:val="StyleUnderline"/>
        </w:rPr>
        <w:t>ocket payment</w:t>
      </w:r>
      <w:r w:rsidRPr="009278EB">
        <w:rPr>
          <w:sz w:val="16"/>
        </w:rPr>
        <w:t xml:space="preserve"> (OOP) [33–42], </w:t>
      </w:r>
      <w:r w:rsidRPr="00DD2D90">
        <w:rPr>
          <w:rStyle w:val="StyleUnderline"/>
          <w:highlight w:val="green"/>
        </w:rPr>
        <w:t>reduced reliance on</w:t>
      </w:r>
      <w:r w:rsidRPr="00DD2D90">
        <w:rPr>
          <w:rStyle w:val="StyleUnderline"/>
        </w:rPr>
        <w:t xml:space="preserve"> negative </w:t>
      </w:r>
      <w:r w:rsidRPr="00DD2D90">
        <w:rPr>
          <w:rStyle w:val="StyleUnderline"/>
          <w:highlight w:val="green"/>
        </w:rPr>
        <w:t>financial</w:t>
      </w:r>
      <w:r w:rsidRPr="00DD2D90">
        <w:rPr>
          <w:rStyle w:val="StyleUnderline"/>
        </w:rPr>
        <w:t xml:space="preserve"> </w:t>
      </w:r>
      <w:r w:rsidRPr="00DD2D90">
        <w:rPr>
          <w:rStyle w:val="StyleUnderline"/>
          <w:highlight w:val="green"/>
        </w:rPr>
        <w:t>coping mechanisms</w:t>
      </w:r>
      <w:r w:rsidRPr="00DD2D90">
        <w:rPr>
          <w:rStyle w:val="StyleUnderline"/>
        </w:rPr>
        <w:t xml:space="preserve"> for health-related issues</w:t>
      </w:r>
      <w:r w:rsidRPr="009278EB">
        <w:rPr>
          <w:sz w:val="16"/>
        </w:rPr>
        <w:t xml:space="preserve"> (e.g., borrowing money, selling assets, forgoing other needs) [33, 43, 44], </w:t>
      </w:r>
      <w:r w:rsidRPr="00DD2D90">
        <w:rPr>
          <w:rStyle w:val="StyleUnderline"/>
          <w:highlight w:val="green"/>
        </w:rPr>
        <w:t>and lower risk of</w:t>
      </w:r>
      <w:r w:rsidRPr="00DD2D90">
        <w:rPr>
          <w:rStyle w:val="StyleUnderline"/>
        </w:rPr>
        <w:t xml:space="preserve"> incurring </w:t>
      </w:r>
      <w:r w:rsidRPr="00DD2D90">
        <w:rPr>
          <w:rStyle w:val="StyleUnderline"/>
          <w:highlight w:val="green"/>
        </w:rPr>
        <w:t>CHE</w:t>
      </w:r>
      <w:r w:rsidRPr="009278EB">
        <w:rPr>
          <w:sz w:val="16"/>
        </w:rPr>
        <w:t xml:space="preserve"> [36, 45]. Additionally, evidence from the general population shows that </w:t>
      </w:r>
      <w:r w:rsidRPr="00DD2D90">
        <w:rPr>
          <w:rStyle w:val="StyleUnderline"/>
        </w:rPr>
        <w:t>health insurance is associated with enhanced access to healthcare</w:t>
      </w:r>
      <w:r w:rsidRPr="009278EB">
        <w:rPr>
          <w:sz w:val="16"/>
        </w:rPr>
        <w:t xml:space="preserve"> [46, 47], </w:t>
      </w:r>
      <w:r w:rsidRPr="00DD2D90">
        <w:rPr>
          <w:rStyle w:val="StyleUnderline"/>
        </w:rPr>
        <w:t>increased healthcare utilization</w:t>
      </w:r>
      <w:r w:rsidRPr="009278EB">
        <w:rPr>
          <w:sz w:val="16"/>
        </w:rPr>
        <w:t xml:space="preserve"> [34, 36, 38, 41, 46, 48, 49], </w:t>
      </w:r>
      <w:r w:rsidRPr="00DD2D90">
        <w:rPr>
          <w:rStyle w:val="StyleUnderline"/>
        </w:rPr>
        <w:t>and improved health outcomes</w:t>
      </w:r>
      <w:r w:rsidRPr="009278EB">
        <w:rPr>
          <w:sz w:val="16"/>
        </w:rPr>
        <w:t xml:space="preserve"> [50–52]. Studies from high-income countries underscore the pivotal role of health insurance in facilitating access to healthcare services and assistive technology amongst individuals with disabilities [53–56]. However, the evidence regarding the coverage and potential impacts of health insurance for people with disabilities in LMICs remains limited and may differ for this group compared to the general population. Health insurance, for instance, might fall short in addressing their needs for impairment-related healthcare or adequately covering indirect costs of seeking care [15, 57]. Even with health insurance coverage, a significant gap may persist in healthcare access between individuals with disabilities and those without disabilities [56], as they face a range of additional barriers to seeking care.</w:t>
      </w:r>
      <w:r w:rsidR="005C53D5" w:rsidRPr="009278EB">
        <w:rPr>
          <w:sz w:val="16"/>
        </w:rPr>
        <w:t xml:space="preserve"> </w:t>
      </w:r>
      <w:r w:rsidRPr="009278EB">
        <w:rPr>
          <w:sz w:val="16"/>
        </w:rPr>
        <w:t>Previous reviews have highlighted the scarcity of high-quality evidence on health insurance among individuals with disabilities in LMICs [58, 59]. However, newer data may have emerged in the 7–10 years since these reviews were conducted, particularly given the increased roll-out of health insurance programmes in LMICs. Therefore, this systematic review aims to comprehensively review existing evidence on health insurance coverage and its association with healthcare utilization, financial protection, and health status/outcomes among people with disabilities in LMICs.</w:t>
      </w:r>
      <w:r w:rsidR="005C53D5" w:rsidRPr="009278EB">
        <w:rPr>
          <w:sz w:val="16"/>
        </w:rPr>
        <w:t xml:space="preserve"> </w:t>
      </w:r>
      <w:r w:rsidRPr="009278EB">
        <w:rPr>
          <w:sz w:val="16"/>
        </w:rPr>
        <w:t xml:space="preserve">Methods </w:t>
      </w:r>
    </w:p>
    <w:p w14:paraId="79BD0A68" w14:textId="77777777" w:rsidR="00FA1D49" w:rsidRPr="009278EB" w:rsidRDefault="00FA1D49">
      <w:pPr>
        <w:rPr>
          <w:rFonts w:eastAsiaTheme="majorEastAsia" w:cstheme="majorBidi"/>
          <w:b/>
          <w:iCs/>
          <w:sz w:val="16"/>
        </w:rPr>
      </w:pPr>
      <w:r w:rsidRPr="009278EB">
        <w:rPr>
          <w:sz w:val="16"/>
        </w:rPr>
        <w:br w:type="page"/>
      </w:r>
    </w:p>
    <w:p w14:paraId="3A484324" w14:textId="16313B4F" w:rsidR="009C702C" w:rsidRPr="009278EB" w:rsidRDefault="00460DDD" w:rsidP="009C702C">
      <w:pPr>
        <w:pStyle w:val="Heading4"/>
        <w:rPr>
          <w:szCs w:val="26"/>
        </w:rPr>
      </w:pPr>
      <w:r w:rsidRPr="009278EB">
        <w:rPr>
          <w:szCs w:val="26"/>
        </w:rPr>
        <w:t>ESI encourages a</w:t>
      </w:r>
      <w:r w:rsidR="009C702C" w:rsidRPr="009278EB">
        <w:rPr>
          <w:szCs w:val="26"/>
        </w:rPr>
        <w:t>ge</w:t>
      </w:r>
      <w:r w:rsidRPr="009278EB">
        <w:rPr>
          <w:szCs w:val="26"/>
        </w:rPr>
        <w:t xml:space="preserve"> discrimination and wage stagnation amongst seniors</w:t>
      </w:r>
    </w:p>
    <w:p w14:paraId="0144A1FC" w14:textId="77777777" w:rsidR="009C702C" w:rsidRPr="00DD2D90" w:rsidRDefault="009C702C" w:rsidP="009C702C">
      <w:r w:rsidRPr="009278EB">
        <w:rPr>
          <w:b/>
          <w:bCs/>
          <w:sz w:val="26"/>
          <w:szCs w:val="26"/>
        </w:rPr>
        <w:t>Davis 23</w:t>
      </w:r>
      <w:r w:rsidRPr="00DD2D90">
        <w:t xml:space="preserve"> [Owen F. Davis, Senior Economist at the New York City Independent Budget Office and Ph.D. Candidate at the New School for Social Research, 12-01-2023, “Older Workers and Employer-Sponsored Health Insurance Premiums: Evidence </w:t>
      </w:r>
      <w:proofErr w:type="gramStart"/>
      <w:r w:rsidRPr="00DD2D90">
        <w:t>From</w:t>
      </w:r>
      <w:proofErr w:type="gramEnd"/>
      <w:r w:rsidRPr="00DD2D90">
        <w:t xml:space="preserve"> Linked Administrative and Survey Data,” U.S. Census Bureau Center for Economic Studies Working Papers, https://ofdavis.com/owhi.pdf]/Kankee</w:t>
      </w:r>
    </w:p>
    <w:p w14:paraId="4C5BE531" w14:textId="1197D43D" w:rsidR="009C702C" w:rsidRPr="009278EB" w:rsidRDefault="009C702C" w:rsidP="009C702C">
      <w:pPr>
        <w:rPr>
          <w:sz w:val="16"/>
        </w:rPr>
      </w:pPr>
      <w:r w:rsidRPr="009278EB">
        <w:rPr>
          <w:sz w:val="16"/>
        </w:rPr>
        <w:t>The role of employee age in employers’ decisions surrounding health insurance is a topic</w:t>
      </w:r>
      <w:r w:rsidR="003551FB" w:rsidRPr="009278EB">
        <w:rPr>
          <w:sz w:val="16"/>
        </w:rPr>
        <w:t xml:space="preserve"> </w:t>
      </w:r>
      <w:r w:rsidRPr="009278EB">
        <w:rPr>
          <w:sz w:val="16"/>
        </w:rPr>
        <w:t>of long-standing public-policy concern. This study quantifies the impact of workforce age</w:t>
      </w:r>
      <w:r w:rsidR="003551FB" w:rsidRPr="009278EB">
        <w:rPr>
          <w:sz w:val="16"/>
        </w:rPr>
        <w:t xml:space="preserve"> </w:t>
      </w:r>
      <w:r w:rsidRPr="009278EB">
        <w:rPr>
          <w:sz w:val="16"/>
        </w:rPr>
        <w:t>structure on health insurance premiums by linking administrative earnings records from the</w:t>
      </w:r>
      <w:r w:rsidR="003551FB" w:rsidRPr="009278EB">
        <w:rPr>
          <w:sz w:val="16"/>
        </w:rPr>
        <w:t xml:space="preserve"> </w:t>
      </w:r>
      <w:r w:rsidRPr="009278EB">
        <w:rPr>
          <w:sz w:val="16"/>
        </w:rPr>
        <w:t>Longitudinal Employer-Household Dynamics data set to rich plan-level data from private</w:t>
      </w:r>
      <w:r w:rsidR="003551FB" w:rsidRPr="009278EB">
        <w:rPr>
          <w:sz w:val="16"/>
        </w:rPr>
        <w:t xml:space="preserve"> </w:t>
      </w:r>
      <w:r w:rsidRPr="009278EB">
        <w:rPr>
          <w:sz w:val="16"/>
        </w:rPr>
        <w:t>employers surveyed by the Medical Expenditure Panel Survey–Insurance Component. The</w:t>
      </w:r>
      <w:r w:rsidR="003551FB" w:rsidRPr="009278EB">
        <w:rPr>
          <w:sz w:val="16"/>
        </w:rPr>
        <w:t xml:space="preserve"> </w:t>
      </w:r>
      <w:r w:rsidRPr="009278EB">
        <w:rPr>
          <w:sz w:val="16"/>
        </w:rPr>
        <w:t xml:space="preserve">baseline results indicate that </w:t>
      </w:r>
      <w:r w:rsidRPr="00DD2D90">
        <w:rPr>
          <w:rStyle w:val="StyleUnderline"/>
          <w:highlight w:val="green"/>
        </w:rPr>
        <w:t xml:space="preserve">a </w:t>
      </w:r>
      <w:r w:rsidRPr="00DD2D90">
        <w:rPr>
          <w:rStyle w:val="Emphasis"/>
          <w:highlight w:val="green"/>
        </w:rPr>
        <w:t>10 percentage-point</w:t>
      </w:r>
      <w:r w:rsidRPr="00DD2D90">
        <w:rPr>
          <w:rStyle w:val="StyleUnderline"/>
          <w:highlight w:val="green"/>
        </w:rPr>
        <w:t xml:space="preserve"> increase in the share of a firm’s workforce</w:t>
      </w:r>
      <w:r w:rsidR="003551FB" w:rsidRPr="00DD2D90">
        <w:rPr>
          <w:rStyle w:val="StyleUnderline"/>
          <w:highlight w:val="green"/>
        </w:rPr>
        <w:t xml:space="preserve"> </w:t>
      </w:r>
      <w:r w:rsidRPr="00DD2D90">
        <w:rPr>
          <w:rStyle w:val="StyleUnderline"/>
          <w:highlight w:val="green"/>
        </w:rPr>
        <w:t xml:space="preserve">ages 50 and older is associated with </w:t>
      </w:r>
      <w:r w:rsidRPr="00DD2D90">
        <w:rPr>
          <w:rStyle w:val="Emphasis"/>
          <w:highlight w:val="green"/>
        </w:rPr>
        <w:t>4.3%</w:t>
      </w:r>
      <w:r w:rsidRPr="00DD2D90">
        <w:rPr>
          <w:rStyle w:val="StyleUnderline"/>
          <w:highlight w:val="green"/>
        </w:rPr>
        <w:t xml:space="preserve"> higher single-coverage premiums</w:t>
      </w:r>
      <w:r w:rsidRPr="009278EB">
        <w:rPr>
          <w:sz w:val="16"/>
        </w:rPr>
        <w:t>, an estimate that</w:t>
      </w:r>
      <w:r w:rsidR="003551FB" w:rsidRPr="009278EB">
        <w:rPr>
          <w:sz w:val="16"/>
        </w:rPr>
        <w:t xml:space="preserve"> </w:t>
      </w:r>
      <w:r w:rsidRPr="009278EB">
        <w:rPr>
          <w:sz w:val="16"/>
        </w:rPr>
        <w:t>varies significantly by firm size, managed-care provision, and plan funding mechanism. I</w:t>
      </w:r>
      <w:r w:rsidR="003551FB" w:rsidRPr="009278EB">
        <w:rPr>
          <w:sz w:val="16"/>
        </w:rPr>
        <w:t xml:space="preserve"> </w:t>
      </w:r>
      <w:r w:rsidRPr="009278EB">
        <w:rPr>
          <w:sz w:val="16"/>
        </w:rPr>
        <w:t>further explore how the age-premium relationship changes under community rating policies</w:t>
      </w:r>
      <w:r w:rsidR="003551FB" w:rsidRPr="009278EB">
        <w:rPr>
          <w:sz w:val="16"/>
        </w:rPr>
        <w:t xml:space="preserve"> </w:t>
      </w:r>
      <w:r w:rsidRPr="009278EB">
        <w:rPr>
          <w:sz w:val="16"/>
        </w:rPr>
        <w:t>that limit the degree to which insurers can vary small-group premiums according to the</w:t>
      </w:r>
      <w:r w:rsidR="003551FB" w:rsidRPr="009278EB">
        <w:rPr>
          <w:sz w:val="16"/>
        </w:rPr>
        <w:t xml:space="preserve"> </w:t>
      </w:r>
      <w:r w:rsidRPr="009278EB">
        <w:rPr>
          <w:sz w:val="16"/>
        </w:rPr>
        <w:t>age and health of the workforce. Using the implementation of the Affordable Care Act’s</w:t>
      </w:r>
      <w:r w:rsidR="003551FB" w:rsidRPr="009278EB">
        <w:rPr>
          <w:sz w:val="16"/>
        </w:rPr>
        <w:t xml:space="preserve"> </w:t>
      </w:r>
      <w:r w:rsidRPr="009278EB">
        <w:rPr>
          <w:sz w:val="16"/>
        </w:rPr>
        <w:t>community ratings provisions in 2014 as a quasi-experimental exogenous shock, I find that the</w:t>
      </w:r>
      <w:r w:rsidR="003551FB" w:rsidRPr="009278EB">
        <w:rPr>
          <w:sz w:val="16"/>
        </w:rPr>
        <w:t xml:space="preserve"> </w:t>
      </w:r>
      <w:r w:rsidRPr="009278EB">
        <w:rPr>
          <w:sz w:val="16"/>
        </w:rPr>
        <w:t>relationship between workforce age and small-group premiums is mitigated under age- and</w:t>
      </w:r>
      <w:r w:rsidR="003551FB" w:rsidRPr="009278EB">
        <w:rPr>
          <w:sz w:val="16"/>
        </w:rPr>
        <w:t xml:space="preserve"> </w:t>
      </w:r>
      <w:r w:rsidRPr="009278EB">
        <w:rPr>
          <w:sz w:val="16"/>
        </w:rPr>
        <w:t>health-focused ratings policies. Finally, I examine the effects on health insurance premiums</w:t>
      </w:r>
      <w:r w:rsidR="003551FB" w:rsidRPr="009278EB">
        <w:rPr>
          <w:sz w:val="16"/>
        </w:rPr>
        <w:t xml:space="preserve"> </w:t>
      </w:r>
      <w:r w:rsidRPr="009278EB">
        <w:rPr>
          <w:sz w:val="16"/>
        </w:rPr>
        <w:t>of Medicare acting as first payer for the smallest firms. Results suggest that the effect of age</w:t>
      </w:r>
      <w:r w:rsidR="003551FB" w:rsidRPr="009278EB">
        <w:rPr>
          <w:sz w:val="16"/>
        </w:rPr>
        <w:t xml:space="preserve"> </w:t>
      </w:r>
      <w:r w:rsidRPr="009278EB">
        <w:rPr>
          <w:sz w:val="16"/>
        </w:rPr>
        <w:t>on premiums is reduced by 25% when Medicare acts as first payer.</w:t>
      </w:r>
      <w:r w:rsidR="003551FB" w:rsidRPr="009278EB">
        <w:rPr>
          <w:sz w:val="16"/>
        </w:rPr>
        <w:t xml:space="preserve"> </w:t>
      </w:r>
      <w:r w:rsidRPr="009278EB">
        <w:rPr>
          <w:sz w:val="16"/>
        </w:rPr>
        <w:t>1 Introduction</w:t>
      </w:r>
      <w:r w:rsidR="003551FB" w:rsidRPr="009278EB">
        <w:rPr>
          <w:sz w:val="16"/>
        </w:rPr>
        <w:t xml:space="preserve"> </w:t>
      </w:r>
      <w:r w:rsidRPr="009278EB">
        <w:rPr>
          <w:sz w:val="16"/>
        </w:rPr>
        <w:t>The aging of the U.S. workforce makes the employment prospects of older workers a top</w:t>
      </w:r>
      <w:r w:rsidR="003551FB" w:rsidRPr="009278EB">
        <w:rPr>
          <w:sz w:val="16"/>
        </w:rPr>
        <w:t xml:space="preserve"> </w:t>
      </w:r>
      <w:r w:rsidRPr="009278EB">
        <w:rPr>
          <w:sz w:val="16"/>
        </w:rPr>
        <w:t xml:space="preserve">public-policy concern. </w:t>
      </w:r>
      <w:r w:rsidRPr="00DD2D90">
        <w:rPr>
          <w:rStyle w:val="StyleUnderline"/>
          <w:highlight w:val="green"/>
        </w:rPr>
        <w:t>One</w:t>
      </w:r>
      <w:r w:rsidRPr="00DD2D90">
        <w:rPr>
          <w:rStyle w:val="StyleUnderline"/>
        </w:rPr>
        <w:t xml:space="preserve"> suspected </w:t>
      </w:r>
      <w:r w:rsidRPr="00DD2D90">
        <w:rPr>
          <w:rStyle w:val="StyleUnderline"/>
          <w:highlight w:val="green"/>
        </w:rPr>
        <w:t>barrier to hiring</w:t>
      </w:r>
      <w:r w:rsidRPr="00DD2D90">
        <w:rPr>
          <w:rStyle w:val="StyleUnderline"/>
        </w:rPr>
        <w:t xml:space="preserve"> and retaining </w:t>
      </w:r>
      <w:r w:rsidRPr="00DD2D90">
        <w:rPr>
          <w:rStyle w:val="StyleUnderline"/>
          <w:highlight w:val="green"/>
        </w:rPr>
        <w:t>older workers is the cost of</w:t>
      </w:r>
      <w:r w:rsidRPr="00DD2D90">
        <w:rPr>
          <w:rStyle w:val="StyleUnderline"/>
        </w:rPr>
        <w:t xml:space="preserve"> health </w:t>
      </w:r>
      <w:r w:rsidRPr="00DD2D90">
        <w:rPr>
          <w:rStyle w:val="StyleUnderline"/>
          <w:highlight w:val="green"/>
        </w:rPr>
        <w:t>insurance</w:t>
      </w:r>
      <w:r w:rsidRPr="009278EB">
        <w:rPr>
          <w:sz w:val="16"/>
        </w:rPr>
        <w:t xml:space="preserve">. </w:t>
      </w:r>
      <w:r w:rsidRPr="00DD2D90">
        <w:rPr>
          <w:rStyle w:val="StyleUnderline"/>
        </w:rPr>
        <w:t>Although the higher health costs incurred by older workers may be passed</w:t>
      </w:r>
      <w:r w:rsidR="003551FB" w:rsidRPr="00DD2D90">
        <w:rPr>
          <w:rStyle w:val="StyleUnderline"/>
        </w:rPr>
        <w:t xml:space="preserve"> </w:t>
      </w:r>
      <w:r w:rsidRPr="00DD2D90">
        <w:rPr>
          <w:rStyle w:val="StyleUnderline"/>
        </w:rPr>
        <w:t>through to their own wages, these costs are also borne to some degree by their employers</w:t>
      </w:r>
      <w:r w:rsidRPr="009278EB">
        <w:rPr>
          <w:sz w:val="16"/>
        </w:rPr>
        <w:t>. The</w:t>
      </w:r>
      <w:r w:rsidR="003551FB" w:rsidRPr="009278EB">
        <w:rPr>
          <w:sz w:val="16"/>
        </w:rPr>
        <w:t xml:space="preserve"> </w:t>
      </w:r>
      <w:r w:rsidRPr="009278EB">
        <w:rPr>
          <w:sz w:val="16"/>
        </w:rPr>
        <w:t xml:space="preserve">salience of </w:t>
      </w:r>
      <w:r w:rsidRPr="00DD2D90">
        <w:rPr>
          <w:rStyle w:val="StyleUnderline"/>
          <w:highlight w:val="green"/>
        </w:rPr>
        <w:t>older workers’ health costs has grown</w:t>
      </w:r>
      <w:r w:rsidRPr="009278EB">
        <w:rPr>
          <w:sz w:val="16"/>
        </w:rPr>
        <w:t xml:space="preserve"> in recent decades </w:t>
      </w:r>
      <w:r w:rsidRPr="00DD2D90">
        <w:rPr>
          <w:rStyle w:val="StyleUnderline"/>
        </w:rPr>
        <w:t>as the working population</w:t>
      </w:r>
      <w:r w:rsidR="003551FB" w:rsidRPr="00DD2D90">
        <w:rPr>
          <w:rStyle w:val="StyleUnderline"/>
        </w:rPr>
        <w:t xml:space="preserve"> </w:t>
      </w:r>
      <w:r w:rsidRPr="00DD2D90">
        <w:rPr>
          <w:rStyle w:val="StyleUnderline"/>
        </w:rPr>
        <w:t xml:space="preserve">has skewed older and </w:t>
      </w:r>
      <w:r w:rsidRPr="00DD2D90">
        <w:rPr>
          <w:rStyle w:val="StyleUnderline"/>
          <w:highlight w:val="green"/>
        </w:rPr>
        <w:t>as</w:t>
      </w:r>
      <w:r w:rsidRPr="00DD2D90">
        <w:rPr>
          <w:rStyle w:val="StyleUnderline"/>
        </w:rPr>
        <w:t xml:space="preserve"> </w:t>
      </w:r>
      <w:r w:rsidRPr="00DD2D90">
        <w:rPr>
          <w:rStyle w:val="StyleUnderline"/>
          <w:highlight w:val="green"/>
        </w:rPr>
        <w:t>expenditures on</w:t>
      </w:r>
      <w:r w:rsidRPr="00DD2D90">
        <w:rPr>
          <w:rStyle w:val="StyleUnderline"/>
        </w:rPr>
        <w:t xml:space="preserve"> </w:t>
      </w:r>
      <w:r w:rsidRPr="00DD2D90">
        <w:rPr>
          <w:rStyle w:val="StyleUnderline"/>
          <w:highlight w:val="green"/>
        </w:rPr>
        <w:t>employer</w:t>
      </w:r>
      <w:r w:rsidRPr="00DD2D90">
        <w:rPr>
          <w:rStyle w:val="StyleUnderline"/>
        </w:rPr>
        <w:t xml:space="preserve">-provided health </w:t>
      </w:r>
      <w:r w:rsidRPr="00DD2D90">
        <w:rPr>
          <w:rStyle w:val="StyleUnderline"/>
          <w:highlight w:val="green"/>
        </w:rPr>
        <w:t xml:space="preserve">benefits have </w:t>
      </w:r>
      <w:r w:rsidRPr="00DD2D90">
        <w:rPr>
          <w:rStyle w:val="Emphasis"/>
          <w:highlight w:val="green"/>
        </w:rPr>
        <w:t>exploded</w:t>
      </w:r>
      <w:r w:rsidRPr="009278EB">
        <w:rPr>
          <w:sz w:val="16"/>
        </w:rPr>
        <w:t>, with</w:t>
      </w:r>
      <w:r w:rsidR="003551FB" w:rsidRPr="009278EB">
        <w:rPr>
          <w:sz w:val="16"/>
        </w:rPr>
        <w:t xml:space="preserve"> </w:t>
      </w:r>
      <w:r w:rsidRPr="009278EB">
        <w:rPr>
          <w:sz w:val="16"/>
        </w:rPr>
        <w:t xml:space="preserve">costs </w:t>
      </w:r>
      <w:r w:rsidRPr="00DD2D90">
        <w:rPr>
          <w:rStyle w:val="StyleUnderline"/>
          <w:highlight w:val="green"/>
        </w:rPr>
        <w:t>now equivalent to</w:t>
      </w:r>
      <w:r w:rsidRPr="009278EB">
        <w:rPr>
          <w:sz w:val="16"/>
        </w:rPr>
        <w:t xml:space="preserve"> about to </w:t>
      </w:r>
      <w:r w:rsidRPr="00DD2D90">
        <w:rPr>
          <w:rStyle w:val="Emphasis"/>
          <w:highlight w:val="green"/>
        </w:rPr>
        <w:t>12%</w:t>
      </w:r>
      <w:r w:rsidRPr="009278EB">
        <w:rPr>
          <w:sz w:val="16"/>
          <w:highlight w:val="green"/>
        </w:rPr>
        <w:t xml:space="preserve"> </w:t>
      </w:r>
      <w:r w:rsidRPr="00DD2D90">
        <w:rPr>
          <w:rStyle w:val="StyleUnderline"/>
          <w:highlight w:val="green"/>
        </w:rPr>
        <w:t>of total wages</w:t>
      </w:r>
      <w:r w:rsidRPr="009278EB">
        <w:rPr>
          <w:sz w:val="16"/>
        </w:rPr>
        <w:t xml:space="preserve"> (Bureau of Labor Statistics, 2021). </w:t>
      </w:r>
      <w:r w:rsidRPr="00DD2D90">
        <w:rPr>
          <w:rStyle w:val="StyleUnderline"/>
        </w:rPr>
        <w:t>This</w:t>
      </w:r>
      <w:r w:rsidR="003551FB" w:rsidRPr="009278EB">
        <w:rPr>
          <w:sz w:val="16"/>
        </w:rPr>
        <w:t xml:space="preserve"> </w:t>
      </w:r>
      <w:r w:rsidRPr="009278EB">
        <w:rPr>
          <w:sz w:val="16"/>
        </w:rPr>
        <w:t xml:space="preserve">all combines to potentially </w:t>
      </w:r>
      <w:r w:rsidRPr="00DD2D90">
        <w:rPr>
          <w:rStyle w:val="StyleUnderline"/>
        </w:rPr>
        <w:t>disadvantage older job-seekers</w:t>
      </w:r>
      <w:r w:rsidRPr="009278EB">
        <w:rPr>
          <w:sz w:val="16"/>
        </w:rPr>
        <w:t>; while older workers are perceived to</w:t>
      </w:r>
      <w:r w:rsidR="003551FB" w:rsidRPr="009278EB">
        <w:rPr>
          <w:sz w:val="16"/>
        </w:rPr>
        <w:t xml:space="preserve"> </w:t>
      </w:r>
      <w:r w:rsidRPr="009278EB">
        <w:rPr>
          <w:sz w:val="16"/>
        </w:rPr>
        <w:t xml:space="preserve">offer positive qualities such as know-how and people skills, </w:t>
      </w:r>
      <w:r w:rsidRPr="00DD2D90">
        <w:rPr>
          <w:rStyle w:val="StyleUnderline"/>
          <w:highlight w:val="green"/>
        </w:rPr>
        <w:t>employers</w:t>
      </w:r>
      <w:r w:rsidRPr="009278EB">
        <w:rPr>
          <w:sz w:val="16"/>
        </w:rPr>
        <w:t xml:space="preserve"> also </w:t>
      </w:r>
      <w:r w:rsidRPr="00DD2D90">
        <w:rPr>
          <w:rStyle w:val="StyleUnderline"/>
          <w:highlight w:val="green"/>
        </w:rPr>
        <w:t xml:space="preserve">consider them </w:t>
      </w:r>
      <w:r w:rsidRPr="00DD2D90">
        <w:rPr>
          <w:rStyle w:val="Emphasis"/>
          <w:highlight w:val="green"/>
        </w:rPr>
        <w:t>more</w:t>
      </w:r>
      <w:r w:rsidR="003551FB" w:rsidRPr="00DD2D90">
        <w:rPr>
          <w:rStyle w:val="Emphasis"/>
          <w:highlight w:val="green"/>
        </w:rPr>
        <w:t xml:space="preserve"> </w:t>
      </w:r>
      <w:r w:rsidRPr="00DD2D90">
        <w:rPr>
          <w:rStyle w:val="Emphasis"/>
          <w:highlight w:val="green"/>
        </w:rPr>
        <w:t>costly</w:t>
      </w:r>
      <w:r w:rsidRPr="00DD2D90">
        <w:rPr>
          <w:rStyle w:val="StyleUnderline"/>
          <w:highlight w:val="green"/>
        </w:rPr>
        <w:t xml:space="preserve"> to employ and age discrimination is well documented</w:t>
      </w:r>
      <w:r w:rsidRPr="009278EB">
        <w:rPr>
          <w:sz w:val="16"/>
        </w:rPr>
        <w:t>.</w:t>
      </w:r>
      <w:r w:rsidR="003551FB" w:rsidRPr="009278EB">
        <w:rPr>
          <w:sz w:val="16"/>
        </w:rPr>
        <w:t xml:space="preserve"> </w:t>
      </w:r>
      <w:r w:rsidRPr="009278EB">
        <w:rPr>
          <w:sz w:val="16"/>
        </w:rPr>
        <w:t xml:space="preserve">The </w:t>
      </w:r>
      <w:r w:rsidRPr="00DD2D90">
        <w:rPr>
          <w:rStyle w:val="StyleUnderline"/>
        </w:rPr>
        <w:t>expense</w:t>
      </w:r>
      <w:r w:rsidRPr="009278EB">
        <w:rPr>
          <w:sz w:val="16"/>
        </w:rPr>
        <w:t xml:space="preserve"> and burdens </w:t>
      </w:r>
      <w:r w:rsidRPr="00DD2D90">
        <w:rPr>
          <w:rStyle w:val="StyleUnderline"/>
        </w:rPr>
        <w:t xml:space="preserve">associated with </w:t>
      </w:r>
      <w:r w:rsidRPr="009278EB">
        <w:rPr>
          <w:sz w:val="16"/>
        </w:rPr>
        <w:t xml:space="preserve">obtaining insurance for </w:t>
      </w:r>
      <w:r w:rsidRPr="00DD2D90">
        <w:rPr>
          <w:rStyle w:val="StyleUnderline"/>
        </w:rPr>
        <w:t>an</w:t>
      </w:r>
      <w:r w:rsidRPr="009278EB">
        <w:rPr>
          <w:sz w:val="16"/>
        </w:rPr>
        <w:t xml:space="preserve"> </w:t>
      </w:r>
      <w:r w:rsidRPr="00DD2D90">
        <w:rPr>
          <w:rStyle w:val="StyleUnderline"/>
        </w:rPr>
        <w:t>older and harder-to-</w:t>
      </w:r>
      <w:r w:rsidR="003551FB" w:rsidRPr="00DD2D90">
        <w:rPr>
          <w:rStyle w:val="StyleUnderline"/>
        </w:rPr>
        <w:t xml:space="preserve"> </w:t>
      </w:r>
      <w:r w:rsidRPr="00DD2D90">
        <w:rPr>
          <w:rStyle w:val="StyleUnderline"/>
        </w:rPr>
        <w:t>insure workforce, particularly among small employers</w:t>
      </w:r>
      <w:r w:rsidRPr="009278EB">
        <w:rPr>
          <w:sz w:val="16"/>
        </w:rPr>
        <w:t xml:space="preserve">, have </w:t>
      </w:r>
      <w:r w:rsidRPr="00DD2D90">
        <w:rPr>
          <w:rStyle w:val="StyleUnderline"/>
        </w:rPr>
        <w:t>drawn attention</w:t>
      </w:r>
      <w:r w:rsidRPr="009278EB">
        <w:rPr>
          <w:sz w:val="16"/>
        </w:rPr>
        <w:t xml:space="preserve"> from policy-makers</w:t>
      </w:r>
      <w:r w:rsidR="003551FB" w:rsidRPr="009278EB">
        <w:rPr>
          <w:sz w:val="16"/>
        </w:rPr>
        <w:t xml:space="preserve"> </w:t>
      </w:r>
      <w:r w:rsidRPr="009278EB">
        <w:rPr>
          <w:sz w:val="16"/>
        </w:rPr>
        <w:t>for decades. U.S. states implemented a wave of small-group insurance reforms in the 1990s and</w:t>
      </w:r>
      <w:r w:rsidR="003551FB" w:rsidRPr="009278EB">
        <w:rPr>
          <w:sz w:val="16"/>
        </w:rPr>
        <w:t xml:space="preserve"> </w:t>
      </w:r>
      <w:r w:rsidRPr="009278EB">
        <w:rPr>
          <w:sz w:val="16"/>
        </w:rPr>
        <w:t>thereafter, culminating in the 2010 Patient Protection and Affordable Care Act or ACA. These</w:t>
      </w:r>
      <w:r w:rsidR="003551FB" w:rsidRPr="009278EB">
        <w:rPr>
          <w:sz w:val="16"/>
        </w:rPr>
        <w:t xml:space="preserve"> </w:t>
      </w:r>
      <w:r w:rsidRPr="009278EB">
        <w:rPr>
          <w:sz w:val="16"/>
        </w:rPr>
        <w:t>policies included ratings reforms, which limit how much insurers can adjust premiums based</w:t>
      </w:r>
      <w:r w:rsidR="003551FB" w:rsidRPr="009278EB">
        <w:rPr>
          <w:sz w:val="16"/>
        </w:rPr>
        <w:t xml:space="preserve"> </w:t>
      </w:r>
      <w:r w:rsidRPr="009278EB">
        <w:rPr>
          <w:sz w:val="16"/>
        </w:rPr>
        <w:t>on health conditions and workforce demographic characteristics such as age and gender. These</w:t>
      </w:r>
      <w:r w:rsidR="003551FB" w:rsidRPr="009278EB">
        <w:rPr>
          <w:sz w:val="16"/>
        </w:rPr>
        <w:t xml:space="preserve"> </w:t>
      </w:r>
      <w:r w:rsidRPr="009278EB">
        <w:rPr>
          <w:sz w:val="16"/>
        </w:rPr>
        <w:t>polices promised to bring stable and affordable health insurance options into reach for smaller</w:t>
      </w:r>
      <w:r w:rsidR="003551FB" w:rsidRPr="009278EB">
        <w:rPr>
          <w:sz w:val="16"/>
        </w:rPr>
        <w:t xml:space="preserve"> </w:t>
      </w:r>
      <w:r w:rsidRPr="009278EB">
        <w:rPr>
          <w:sz w:val="16"/>
        </w:rPr>
        <w:t>employers with older or less healthy employee pools while mitigating one of the barriers older</w:t>
      </w:r>
      <w:r w:rsidR="003551FB" w:rsidRPr="009278EB">
        <w:rPr>
          <w:sz w:val="16"/>
        </w:rPr>
        <w:t xml:space="preserve"> </w:t>
      </w:r>
      <w:r w:rsidRPr="009278EB">
        <w:rPr>
          <w:sz w:val="16"/>
        </w:rPr>
        <w:t>job-seekers may face. Yet ratings reforms and attendant policies also entailed the potentially</w:t>
      </w:r>
      <w:r w:rsidR="003551FB" w:rsidRPr="009278EB">
        <w:rPr>
          <w:sz w:val="16"/>
        </w:rPr>
        <w:t xml:space="preserve"> </w:t>
      </w:r>
      <w:r w:rsidRPr="009278EB">
        <w:rPr>
          <w:sz w:val="16"/>
        </w:rPr>
        <w:t xml:space="preserve">undesirable trade-offs: </w:t>
      </w:r>
      <w:r w:rsidRPr="00DD2D90">
        <w:rPr>
          <w:rStyle w:val="StyleUnderline"/>
        </w:rPr>
        <w:t>cross-subsidization of high-risk participants by younger and healthier</w:t>
      </w:r>
      <w:r w:rsidR="003551FB" w:rsidRPr="00DD2D90">
        <w:rPr>
          <w:rStyle w:val="StyleUnderline"/>
        </w:rPr>
        <w:t xml:space="preserve"> </w:t>
      </w:r>
      <w:r w:rsidRPr="00DD2D90">
        <w:rPr>
          <w:rStyle w:val="StyleUnderline"/>
        </w:rPr>
        <w:t>workers leading to changes in insurance offer decisions and lower insurance take-up in low-risk</w:t>
      </w:r>
      <w:r w:rsidR="003551FB" w:rsidRPr="00DD2D90">
        <w:rPr>
          <w:rStyle w:val="StyleUnderline"/>
        </w:rPr>
        <w:t xml:space="preserve"> </w:t>
      </w:r>
      <w:r w:rsidRPr="00DD2D90">
        <w:rPr>
          <w:rStyle w:val="StyleUnderline"/>
        </w:rPr>
        <w:t>segments</w:t>
      </w:r>
      <w:r w:rsidRPr="009278EB">
        <w:rPr>
          <w:sz w:val="16"/>
        </w:rPr>
        <w:t>.</w:t>
      </w:r>
      <w:r w:rsidR="003551FB" w:rsidRPr="009278EB">
        <w:rPr>
          <w:sz w:val="16"/>
        </w:rPr>
        <w:t xml:space="preserve"> </w:t>
      </w:r>
      <w:r w:rsidRPr="009278EB">
        <w:rPr>
          <w:sz w:val="16"/>
        </w:rPr>
        <w:t>This study examines the association between the age of a firm’s workforce and the cost</w:t>
      </w:r>
      <w:r w:rsidR="003551FB" w:rsidRPr="009278EB">
        <w:rPr>
          <w:sz w:val="16"/>
        </w:rPr>
        <w:t xml:space="preserve"> </w:t>
      </w:r>
      <w:r w:rsidRPr="009278EB">
        <w:rPr>
          <w:sz w:val="16"/>
        </w:rPr>
        <w:t>of its health insurance premiums, as well as the impact of state and federal policies on these</w:t>
      </w:r>
      <w:r w:rsidR="003551FB" w:rsidRPr="009278EB">
        <w:rPr>
          <w:sz w:val="16"/>
        </w:rPr>
        <w:t xml:space="preserve"> </w:t>
      </w:r>
      <w:r w:rsidRPr="009278EB">
        <w:rPr>
          <w:sz w:val="16"/>
        </w:rPr>
        <w:t>associations. To accomplish this, I link administrative employment and demographic data with</w:t>
      </w:r>
      <w:r w:rsidR="003551FB" w:rsidRPr="009278EB">
        <w:rPr>
          <w:sz w:val="16"/>
        </w:rPr>
        <w:t xml:space="preserve"> </w:t>
      </w:r>
      <w:r w:rsidRPr="009278EB">
        <w:rPr>
          <w:sz w:val="16"/>
        </w:rPr>
        <w:t>rich survey data from the Medical Expenditure Panel Survey–Insurance Component (MEPS-</w:t>
      </w:r>
      <w:r w:rsidR="003551FB" w:rsidRPr="009278EB">
        <w:rPr>
          <w:sz w:val="16"/>
        </w:rPr>
        <w:t xml:space="preserve"> </w:t>
      </w:r>
      <w:r w:rsidRPr="009278EB">
        <w:rPr>
          <w:sz w:val="16"/>
        </w:rPr>
        <w:t>IC), building on the work of Abramowitz et al. (2018). The resulting data set captures the</w:t>
      </w:r>
      <w:r w:rsidR="003551FB" w:rsidRPr="009278EB">
        <w:rPr>
          <w:sz w:val="16"/>
        </w:rPr>
        <w:t xml:space="preserve"> </w:t>
      </w:r>
      <w:r w:rsidRPr="009278EB">
        <w:rPr>
          <w:sz w:val="16"/>
        </w:rPr>
        <w:t>age structure of MEPS-IC firms far more accurately than the comparable measures collected</w:t>
      </w:r>
      <w:r w:rsidR="003551FB" w:rsidRPr="009278EB">
        <w:rPr>
          <w:sz w:val="16"/>
        </w:rPr>
        <w:t xml:space="preserve"> </w:t>
      </w:r>
      <w:r w:rsidRPr="009278EB">
        <w:rPr>
          <w:sz w:val="16"/>
        </w:rPr>
        <w:t>in the survey—namely, the share of workers 50 and older—allowing for more precise estimates</w:t>
      </w:r>
      <w:r w:rsidR="003551FB" w:rsidRPr="009278EB">
        <w:rPr>
          <w:sz w:val="16"/>
        </w:rPr>
        <w:t xml:space="preserve"> </w:t>
      </w:r>
      <w:r w:rsidRPr="009278EB">
        <w:rPr>
          <w:sz w:val="16"/>
        </w:rPr>
        <w:t>of relationships between employees’ age and the characteristics of employer-sponsored health</w:t>
      </w:r>
      <w:r w:rsidR="003551FB" w:rsidRPr="009278EB">
        <w:rPr>
          <w:sz w:val="16"/>
        </w:rPr>
        <w:t xml:space="preserve"> </w:t>
      </w:r>
      <w:r w:rsidRPr="009278EB">
        <w:rPr>
          <w:sz w:val="16"/>
        </w:rPr>
        <w:t>insurance plans.</w:t>
      </w:r>
      <w:r w:rsidR="003551FB" w:rsidRPr="009278EB">
        <w:rPr>
          <w:sz w:val="16"/>
        </w:rPr>
        <w:t xml:space="preserve"> </w:t>
      </w:r>
      <w:r w:rsidRPr="009278EB">
        <w:rPr>
          <w:sz w:val="16"/>
        </w:rPr>
        <w:t>The first set of results reported in this paper regress log single health premiums on older age</w:t>
      </w:r>
      <w:r w:rsidR="003551FB" w:rsidRPr="009278EB">
        <w:rPr>
          <w:sz w:val="16"/>
        </w:rPr>
        <w:t xml:space="preserve"> </w:t>
      </w:r>
      <w:r w:rsidRPr="009278EB">
        <w:rPr>
          <w:sz w:val="16"/>
        </w:rPr>
        <w:t>share and a wide range of covariates. As expected, the association of age and premiums is signif-</w:t>
      </w:r>
      <w:r w:rsidR="003551FB" w:rsidRPr="009278EB">
        <w:rPr>
          <w:sz w:val="16"/>
        </w:rPr>
        <w:t xml:space="preserve"> </w:t>
      </w:r>
      <w:r w:rsidRPr="009278EB">
        <w:rPr>
          <w:sz w:val="16"/>
        </w:rPr>
        <w:t>icant, with a 10 percentage-point increase in the 50-and-older share of a workforce corresponding</w:t>
      </w:r>
      <w:r w:rsidR="003551FB" w:rsidRPr="009278EB">
        <w:rPr>
          <w:sz w:val="16"/>
        </w:rPr>
        <w:t xml:space="preserve"> </w:t>
      </w:r>
      <w:r w:rsidRPr="009278EB">
        <w:rPr>
          <w:sz w:val="16"/>
        </w:rPr>
        <w:t>to a 4.3% rise in single premiums. The relationship exhibits substantial heterogeneities across</w:t>
      </w:r>
      <w:r w:rsidR="003551FB" w:rsidRPr="009278EB">
        <w:rPr>
          <w:sz w:val="16"/>
        </w:rPr>
        <w:t xml:space="preserve"> </w:t>
      </w:r>
      <w:r w:rsidRPr="009278EB">
        <w:rPr>
          <w:sz w:val="16"/>
        </w:rPr>
        <w:t>firm size, funding arrangement, and presence of a managed care plan (e.g., a health maintenance</w:t>
      </w:r>
      <w:r w:rsidR="003551FB" w:rsidRPr="009278EB">
        <w:rPr>
          <w:sz w:val="16"/>
        </w:rPr>
        <w:t xml:space="preserve"> </w:t>
      </w:r>
      <w:r w:rsidRPr="009278EB">
        <w:rPr>
          <w:sz w:val="16"/>
        </w:rPr>
        <w:t>organization or HMO). Yet these estimates cannot be treated as causal because premiums and</w:t>
      </w:r>
      <w:r w:rsidR="003551FB" w:rsidRPr="009278EB">
        <w:rPr>
          <w:sz w:val="16"/>
        </w:rPr>
        <w:t xml:space="preserve"> </w:t>
      </w:r>
      <w:r w:rsidRPr="009278EB">
        <w:rPr>
          <w:sz w:val="16"/>
        </w:rPr>
        <w:t>workforce age are endogenous to a number of other unobserved factors relating to employers’</w:t>
      </w:r>
      <w:r w:rsidR="003551FB" w:rsidRPr="009278EB">
        <w:rPr>
          <w:sz w:val="16"/>
        </w:rPr>
        <w:t xml:space="preserve"> </w:t>
      </w:r>
      <w:r w:rsidRPr="009278EB">
        <w:rPr>
          <w:sz w:val="16"/>
        </w:rPr>
        <w:t>decisions to offer health insurance and their choice of plans. Beyond the decision to offer health</w:t>
      </w:r>
      <w:r w:rsidR="003551FB" w:rsidRPr="009278EB">
        <w:rPr>
          <w:sz w:val="16"/>
        </w:rPr>
        <w:t xml:space="preserve"> </w:t>
      </w:r>
      <w:r w:rsidRPr="009278EB">
        <w:rPr>
          <w:sz w:val="16"/>
        </w:rPr>
        <w:t>insurance at all, these endogenous factors include the offer of multiple plans, variation in plan</w:t>
      </w:r>
      <w:r w:rsidR="003551FB" w:rsidRPr="009278EB">
        <w:rPr>
          <w:sz w:val="16"/>
        </w:rPr>
        <w:t xml:space="preserve"> </w:t>
      </w:r>
      <w:r w:rsidRPr="009278EB">
        <w:rPr>
          <w:sz w:val="16"/>
        </w:rPr>
        <w:t>generosity, and changes to employee eligibility and work hours. Employee age also correlates</w:t>
      </w:r>
      <w:r w:rsidR="003551FB" w:rsidRPr="009278EB">
        <w:rPr>
          <w:sz w:val="16"/>
        </w:rPr>
        <w:t xml:space="preserve"> </w:t>
      </w:r>
      <w:r w:rsidRPr="009278EB">
        <w:rPr>
          <w:sz w:val="16"/>
        </w:rPr>
        <w:t>with factors like income and seniority that are associated with more generous and thus pricier</w:t>
      </w:r>
      <w:r w:rsidR="003551FB" w:rsidRPr="009278EB">
        <w:rPr>
          <w:sz w:val="16"/>
        </w:rPr>
        <w:t xml:space="preserve"> </w:t>
      </w:r>
      <w:r w:rsidRPr="009278EB">
        <w:rPr>
          <w:sz w:val="16"/>
        </w:rPr>
        <w:t>health plans (Tilipman, 2022).</w:t>
      </w:r>
      <w:r w:rsidR="003551FB" w:rsidRPr="009278EB">
        <w:rPr>
          <w:sz w:val="16"/>
        </w:rPr>
        <w:t xml:space="preserve"> </w:t>
      </w:r>
      <w:r w:rsidRPr="009278EB">
        <w:rPr>
          <w:sz w:val="16"/>
        </w:rPr>
        <w:t>To help assess the degree to which the main results reflect workforce age and not other</w:t>
      </w:r>
      <w:r w:rsidR="003551FB" w:rsidRPr="009278EB">
        <w:rPr>
          <w:sz w:val="16"/>
        </w:rPr>
        <w:t xml:space="preserve"> </w:t>
      </w:r>
      <w:r w:rsidRPr="009278EB">
        <w:rPr>
          <w:sz w:val="16"/>
        </w:rPr>
        <w:t>factors endogenous to age, the second part of the empirical section exploits variation over time</w:t>
      </w:r>
      <w:r w:rsidR="003551FB" w:rsidRPr="009278EB">
        <w:rPr>
          <w:sz w:val="16"/>
        </w:rPr>
        <w:t xml:space="preserve"> </w:t>
      </w:r>
      <w:r w:rsidRPr="009278EB">
        <w:rPr>
          <w:sz w:val="16"/>
        </w:rPr>
        <w:t>and between states in ratings policies that limit the degree to which insurers can vary premiums</w:t>
      </w:r>
      <w:r w:rsidR="003551FB" w:rsidRPr="009278EB">
        <w:rPr>
          <w:sz w:val="16"/>
        </w:rPr>
        <w:t xml:space="preserve"> </w:t>
      </w:r>
      <w:r w:rsidRPr="009278EB">
        <w:rPr>
          <w:sz w:val="16"/>
        </w:rPr>
        <w:t>based on the age profile of small-group insurance buyers. The more the age-premium relationship</w:t>
      </w:r>
      <w:r w:rsidR="003551FB" w:rsidRPr="009278EB">
        <w:rPr>
          <w:sz w:val="16"/>
        </w:rPr>
        <w:t xml:space="preserve"> </w:t>
      </w:r>
      <w:r w:rsidRPr="009278EB">
        <w:rPr>
          <w:sz w:val="16"/>
        </w:rPr>
        <w:t>observed in the baseline results is driven by confounders, the less of an effect we would expect to</w:t>
      </w:r>
      <w:r w:rsidR="003551FB" w:rsidRPr="009278EB">
        <w:rPr>
          <w:sz w:val="16"/>
        </w:rPr>
        <w:t xml:space="preserve"> </w:t>
      </w:r>
      <w:r w:rsidRPr="009278EB">
        <w:rPr>
          <w:sz w:val="16"/>
        </w:rPr>
        <w:t>see from small-group insurance policies specifically targeted around workforce age. Consistent</w:t>
      </w:r>
      <w:r w:rsidR="003551FB" w:rsidRPr="009278EB">
        <w:rPr>
          <w:sz w:val="16"/>
        </w:rPr>
        <w:t xml:space="preserve"> </w:t>
      </w:r>
      <w:r w:rsidRPr="009278EB">
        <w:rPr>
          <w:sz w:val="16"/>
        </w:rPr>
        <w:t>with the aims of these policies, I find that the age-premium relationship is 71% smaller in states</w:t>
      </w:r>
      <w:r w:rsidR="003551FB" w:rsidRPr="009278EB">
        <w:rPr>
          <w:sz w:val="16"/>
        </w:rPr>
        <w:t xml:space="preserve"> </w:t>
      </w:r>
      <w:r w:rsidRPr="009278EB">
        <w:rPr>
          <w:sz w:val="16"/>
        </w:rPr>
        <w:t xml:space="preserve">with the most stringent age rating policies relative to states without these policies. </w:t>
      </w:r>
      <w:r w:rsidRPr="00DD2D90">
        <w:rPr>
          <w:rStyle w:val="StyleUnderline"/>
          <w:highlight w:val="green"/>
        </w:rPr>
        <w:t>Increasing</w:t>
      </w:r>
      <w:r w:rsidR="003551FB" w:rsidRPr="00DD2D90">
        <w:rPr>
          <w:rStyle w:val="StyleUnderline"/>
        </w:rPr>
        <w:t xml:space="preserve"> </w:t>
      </w:r>
      <w:r w:rsidRPr="00DD2D90">
        <w:rPr>
          <w:rStyle w:val="StyleUnderline"/>
          <w:highlight w:val="green"/>
        </w:rPr>
        <w:t xml:space="preserve">the share of workers 50 and older in a firm by 10 percentage points is associated with </w:t>
      </w:r>
      <w:r w:rsidRPr="00DD2D90">
        <w:rPr>
          <w:rStyle w:val="StyleUnderline"/>
        </w:rPr>
        <w:t>1.8%</w:t>
      </w:r>
      <w:r w:rsidR="003551FB" w:rsidRPr="00DD2D90">
        <w:rPr>
          <w:rStyle w:val="StyleUnderline"/>
        </w:rPr>
        <w:t xml:space="preserve"> </w:t>
      </w:r>
      <w:r w:rsidRPr="00DD2D90">
        <w:rPr>
          <w:rStyle w:val="StyleUnderline"/>
          <w:highlight w:val="green"/>
        </w:rPr>
        <w:t>higher premiums</w:t>
      </w:r>
      <w:r w:rsidRPr="009278EB">
        <w:rPr>
          <w:sz w:val="16"/>
        </w:rPr>
        <w:t xml:space="preserve"> </w:t>
      </w:r>
      <w:r w:rsidRPr="00DD2D90">
        <w:rPr>
          <w:rStyle w:val="StyleUnderline"/>
        </w:rPr>
        <w:t xml:space="preserve">in the presence of the most stringent restrictions, compared to </w:t>
      </w:r>
      <w:r w:rsidRPr="00DD2D90">
        <w:rPr>
          <w:rStyle w:val="Emphasis"/>
          <w:highlight w:val="green"/>
        </w:rPr>
        <w:t>6.4%</w:t>
      </w:r>
      <w:r w:rsidRPr="00DD2D90">
        <w:rPr>
          <w:rStyle w:val="StyleUnderline"/>
        </w:rPr>
        <w:t xml:space="preserve"> where no</w:t>
      </w:r>
      <w:r w:rsidR="003551FB" w:rsidRPr="00DD2D90">
        <w:rPr>
          <w:rStyle w:val="StyleUnderline"/>
        </w:rPr>
        <w:t xml:space="preserve"> </w:t>
      </w:r>
      <w:r w:rsidRPr="00DD2D90">
        <w:rPr>
          <w:rStyle w:val="StyleUnderline"/>
        </w:rPr>
        <w:t>restrictions exist</w:t>
      </w:r>
      <w:r w:rsidRPr="009278EB">
        <w:rPr>
          <w:sz w:val="16"/>
        </w:rPr>
        <w:t>.</w:t>
      </w:r>
      <w:r w:rsidR="003551FB" w:rsidRPr="009278EB">
        <w:rPr>
          <w:sz w:val="16"/>
        </w:rPr>
        <w:t xml:space="preserve"> </w:t>
      </w:r>
      <w:r w:rsidRPr="009278EB">
        <w:rPr>
          <w:sz w:val="16"/>
        </w:rPr>
        <w:t>Due to endogeneity concerns arising from the potential correlation of age rating restrictions</w:t>
      </w:r>
      <w:r w:rsidR="003551FB" w:rsidRPr="009278EB">
        <w:rPr>
          <w:sz w:val="16"/>
        </w:rPr>
        <w:t xml:space="preserve"> </w:t>
      </w:r>
      <w:r w:rsidRPr="009278EB">
        <w:rPr>
          <w:sz w:val="16"/>
        </w:rPr>
        <w:t>with unobserved state-level factors, an additional test exploits the nationwide implementation of</w:t>
      </w:r>
      <w:r w:rsidR="003551FB" w:rsidRPr="009278EB">
        <w:rPr>
          <w:sz w:val="16"/>
        </w:rPr>
        <w:t xml:space="preserve"> </w:t>
      </w:r>
      <w:r w:rsidRPr="009278EB">
        <w:rPr>
          <w:sz w:val="16"/>
        </w:rPr>
        <w:t>the ACA’s adjusted community rating policies limiting premium variation by age to a 3:1 ratio.</w:t>
      </w:r>
      <w:r w:rsidR="003551FB" w:rsidRPr="009278EB">
        <w:rPr>
          <w:sz w:val="16"/>
        </w:rPr>
        <w:t xml:space="preserve"> </w:t>
      </w:r>
      <w:r w:rsidRPr="009278EB">
        <w:rPr>
          <w:sz w:val="16"/>
        </w:rPr>
        <w:t>Although pre-existing state ratings regulations may suffer some degree of policy endogeneity,</w:t>
      </w:r>
      <w:r w:rsidR="003551FB" w:rsidRPr="009278EB">
        <w:rPr>
          <w:sz w:val="16"/>
        </w:rPr>
        <w:t xml:space="preserve"> </w:t>
      </w:r>
      <w:r w:rsidRPr="009278EB">
        <w:rPr>
          <w:sz w:val="16"/>
        </w:rPr>
        <w:t>the timing of the ACA’s implementation represents a plausibly exogenous shock to small-group</w:t>
      </w:r>
      <w:r w:rsidR="003551FB" w:rsidRPr="009278EB">
        <w:rPr>
          <w:sz w:val="16"/>
        </w:rPr>
        <w:t xml:space="preserve"> </w:t>
      </w:r>
      <w:r w:rsidRPr="009278EB">
        <w:rPr>
          <w:sz w:val="16"/>
        </w:rPr>
        <w:t>markets, with exposure to pre-existing ratings reforms providing a source of identifying variation.</w:t>
      </w:r>
      <w:r w:rsidR="003551FB" w:rsidRPr="009278EB">
        <w:rPr>
          <w:sz w:val="16"/>
        </w:rPr>
        <w:t xml:space="preserve"> </w:t>
      </w:r>
      <w:r w:rsidRPr="009278EB">
        <w:rPr>
          <w:sz w:val="16"/>
        </w:rPr>
        <w:t>Results of difference-in-differences regressions using the implementation of ACA show a reduction</w:t>
      </w:r>
      <w:r w:rsidR="003551FB" w:rsidRPr="009278EB">
        <w:rPr>
          <w:sz w:val="16"/>
        </w:rPr>
        <w:t xml:space="preserve"> </w:t>
      </w:r>
      <w:r w:rsidRPr="009278EB">
        <w:rPr>
          <w:sz w:val="16"/>
        </w:rPr>
        <w:t>in the age-premium relationship only for those states that lacked age ratings restrictions prior</w:t>
      </w:r>
      <w:r w:rsidR="003551FB" w:rsidRPr="009278EB">
        <w:rPr>
          <w:sz w:val="16"/>
        </w:rPr>
        <w:t xml:space="preserve"> </w:t>
      </w:r>
      <w:r w:rsidRPr="009278EB">
        <w:rPr>
          <w:sz w:val="16"/>
        </w:rPr>
        <w:t>to the ACA’s implementation. I fail to find clear and consistent evidence of reduced health</w:t>
      </w:r>
      <w:r w:rsidR="003551FB" w:rsidRPr="009278EB">
        <w:rPr>
          <w:sz w:val="16"/>
        </w:rPr>
        <w:t xml:space="preserve"> </w:t>
      </w:r>
      <w:r w:rsidRPr="009278EB">
        <w:rPr>
          <w:sz w:val="16"/>
        </w:rPr>
        <w:t>insurance offer or an increase in self-funding among firms in the those states most affected by</w:t>
      </w:r>
      <w:r w:rsidR="003551FB" w:rsidRPr="009278EB">
        <w:rPr>
          <w:sz w:val="16"/>
        </w:rPr>
        <w:t xml:space="preserve"> </w:t>
      </w:r>
      <w:r w:rsidRPr="009278EB">
        <w:rPr>
          <w:sz w:val="16"/>
        </w:rPr>
        <w:t>the ACA’s age rating restrictions, though adjustments along other margins still need to be</w:t>
      </w:r>
      <w:r w:rsidR="003551FB" w:rsidRPr="009278EB">
        <w:rPr>
          <w:sz w:val="16"/>
        </w:rPr>
        <w:t xml:space="preserve"> </w:t>
      </w:r>
      <w:r w:rsidRPr="009278EB">
        <w:rPr>
          <w:sz w:val="16"/>
        </w:rPr>
        <w:t>investigated.1</w:t>
      </w:r>
      <w:r w:rsidR="003551FB" w:rsidRPr="009278EB">
        <w:rPr>
          <w:sz w:val="16"/>
        </w:rPr>
        <w:t xml:space="preserve"> </w:t>
      </w:r>
      <w:r w:rsidRPr="009278EB">
        <w:rPr>
          <w:sz w:val="16"/>
        </w:rPr>
        <w:t>In a final empirical application, I explore the role played by Medicare in providing primary</w:t>
      </w:r>
      <w:r w:rsidR="003551FB" w:rsidRPr="009278EB">
        <w:rPr>
          <w:sz w:val="16"/>
        </w:rPr>
        <w:t xml:space="preserve"> </w:t>
      </w:r>
      <w:r w:rsidRPr="009278EB">
        <w:rPr>
          <w:sz w:val="16"/>
        </w:rPr>
        <w:t>insurance to employees at the smallest firms, those with fewer than 20 employees. The results</w:t>
      </w:r>
      <w:r w:rsidR="003551FB" w:rsidRPr="009278EB">
        <w:rPr>
          <w:sz w:val="16"/>
        </w:rPr>
        <w:t xml:space="preserve"> </w:t>
      </w:r>
      <w:r w:rsidRPr="009278EB">
        <w:rPr>
          <w:sz w:val="16"/>
        </w:rPr>
        <w:t xml:space="preserve">indicate that </w:t>
      </w:r>
      <w:r w:rsidRPr="00DD2D90">
        <w:rPr>
          <w:rStyle w:val="StyleUnderline"/>
          <w:highlight w:val="green"/>
        </w:rPr>
        <w:t>the increase in premiums</w:t>
      </w:r>
      <w:r w:rsidRPr="00DD2D90">
        <w:rPr>
          <w:rStyle w:val="StyleUnderline"/>
        </w:rPr>
        <w:t xml:space="preserve"> associated with a higher share of workers 65 and older </w:t>
      </w:r>
      <w:r w:rsidRPr="00DD2D90">
        <w:rPr>
          <w:rStyle w:val="StyleUnderline"/>
          <w:highlight w:val="green"/>
        </w:rPr>
        <w:t>is</w:t>
      </w:r>
      <w:r w:rsidR="003551FB" w:rsidRPr="00DD2D90">
        <w:rPr>
          <w:rStyle w:val="StyleUnderline"/>
          <w:highlight w:val="green"/>
        </w:rPr>
        <w:t xml:space="preserve"> </w:t>
      </w:r>
      <w:r w:rsidRPr="00DD2D90">
        <w:rPr>
          <w:rStyle w:val="StyleUnderline"/>
          <w:highlight w:val="green"/>
        </w:rPr>
        <w:t>25% lower for firms where Medicare</w:t>
      </w:r>
      <w:r w:rsidRPr="00DD2D90">
        <w:rPr>
          <w:rStyle w:val="StyleUnderline"/>
        </w:rPr>
        <w:t xml:space="preserve"> likely </w:t>
      </w:r>
      <w:r w:rsidRPr="00DD2D90">
        <w:rPr>
          <w:rStyle w:val="StyleUnderline"/>
          <w:highlight w:val="green"/>
        </w:rPr>
        <w:t>acts</w:t>
      </w:r>
      <w:r w:rsidRPr="00DD2D90">
        <w:rPr>
          <w:rStyle w:val="StyleUnderline"/>
        </w:rPr>
        <w:t xml:space="preserve"> as first payer relative to slightly larger firms in</w:t>
      </w:r>
      <w:r w:rsidR="003551FB" w:rsidRPr="00DD2D90">
        <w:rPr>
          <w:rStyle w:val="StyleUnderline"/>
        </w:rPr>
        <w:t xml:space="preserve"> </w:t>
      </w:r>
      <w:r w:rsidRPr="00DD2D90">
        <w:rPr>
          <w:rStyle w:val="StyleUnderline"/>
        </w:rPr>
        <w:t>the small-group market</w:t>
      </w:r>
      <w:r w:rsidRPr="009278EB">
        <w:rPr>
          <w:sz w:val="16"/>
        </w:rPr>
        <w:t xml:space="preserve">. This evidence is consistent with </w:t>
      </w:r>
      <w:r w:rsidRPr="00DD2D90">
        <w:rPr>
          <w:rStyle w:val="StyleUnderline"/>
          <w:highlight w:val="green"/>
        </w:rPr>
        <w:t>Medicare’s</w:t>
      </w:r>
      <w:r w:rsidRPr="00DD2D90">
        <w:rPr>
          <w:rStyle w:val="StyleUnderline"/>
        </w:rPr>
        <w:t xml:space="preserve"> first-payer status </w:t>
      </w:r>
      <w:r w:rsidRPr="00DD2D90">
        <w:rPr>
          <w:rStyle w:val="StyleUnderline"/>
          <w:highlight w:val="green"/>
        </w:rPr>
        <w:t>reducing</w:t>
      </w:r>
      <w:r w:rsidR="003551FB" w:rsidRPr="00DD2D90">
        <w:rPr>
          <w:rStyle w:val="StyleUnderline"/>
          <w:highlight w:val="green"/>
        </w:rPr>
        <w:t xml:space="preserve"> </w:t>
      </w:r>
      <w:r w:rsidRPr="00DD2D90">
        <w:rPr>
          <w:rStyle w:val="StyleUnderline"/>
          <w:highlight w:val="green"/>
        </w:rPr>
        <w:t>the cost burden for smaller firms</w:t>
      </w:r>
      <w:r w:rsidRPr="00DD2D90">
        <w:rPr>
          <w:rStyle w:val="StyleUnderline"/>
        </w:rPr>
        <w:t xml:space="preserve"> that employ workers 65 and older</w:t>
      </w:r>
      <w:r w:rsidRPr="009278EB">
        <w:rPr>
          <w:sz w:val="16"/>
        </w:rPr>
        <w:t>.</w:t>
      </w:r>
      <w:r w:rsidR="003551FB" w:rsidRPr="009278EB">
        <w:rPr>
          <w:sz w:val="16"/>
        </w:rPr>
        <w:t xml:space="preserve"> </w:t>
      </w:r>
      <w:r w:rsidRPr="009278EB">
        <w:rPr>
          <w:sz w:val="16"/>
        </w:rPr>
        <w:t>This study contributes to the literature exploring how the health insurance decisions of</w:t>
      </w:r>
      <w:r w:rsidR="003551FB" w:rsidRPr="009278EB">
        <w:rPr>
          <w:sz w:val="16"/>
        </w:rPr>
        <w:t xml:space="preserve"> </w:t>
      </w:r>
      <w:r w:rsidRPr="009278EB">
        <w:rPr>
          <w:sz w:val="16"/>
        </w:rPr>
        <w:t>employers respond to employee demographics and particularly workforce age (Bundorf, 2002;</w:t>
      </w:r>
      <w:r w:rsidR="003551FB" w:rsidRPr="009278EB">
        <w:rPr>
          <w:sz w:val="16"/>
        </w:rPr>
        <w:t xml:space="preserve"> </w:t>
      </w:r>
      <w:r w:rsidRPr="009278EB">
        <w:rPr>
          <w:sz w:val="16"/>
        </w:rPr>
        <w:t>Lahey, 2007; Bundorf, Levin and Mahoney, 2012; Tilipman, 2022). It also informs questions over</w:t>
      </w:r>
      <w:r w:rsidR="003551FB" w:rsidRPr="009278EB">
        <w:rPr>
          <w:sz w:val="16"/>
        </w:rPr>
        <w:t xml:space="preserve"> </w:t>
      </w:r>
      <w:r w:rsidRPr="009278EB">
        <w:rPr>
          <w:sz w:val="16"/>
        </w:rPr>
        <w:t>small-group health insurance policy design at both the state and federal levels, where adjusted</w:t>
      </w:r>
      <w:r w:rsidR="003551FB" w:rsidRPr="009278EB">
        <w:rPr>
          <w:sz w:val="16"/>
        </w:rPr>
        <w:t xml:space="preserve"> </w:t>
      </w:r>
      <w:r w:rsidRPr="009278EB">
        <w:rPr>
          <w:sz w:val="16"/>
        </w:rPr>
        <w:t>community ratings policies aim to stabilize health insurance premiums for small firms subject</w:t>
      </w:r>
      <w:r w:rsidR="003551FB" w:rsidRPr="009278EB">
        <w:rPr>
          <w:sz w:val="16"/>
        </w:rPr>
        <w:t xml:space="preserve"> </w:t>
      </w:r>
      <w:r w:rsidRPr="009278EB">
        <w:rPr>
          <w:sz w:val="16"/>
        </w:rPr>
        <w:t>to sharp and sudden changes in costs arising from the volatility of employee health expenditures</w:t>
      </w:r>
      <w:r w:rsidR="003551FB" w:rsidRPr="009278EB">
        <w:rPr>
          <w:sz w:val="16"/>
        </w:rPr>
        <w:t xml:space="preserve"> </w:t>
      </w:r>
      <w:r w:rsidRPr="009278EB">
        <w:rPr>
          <w:sz w:val="16"/>
        </w:rPr>
        <w:t>and the limited size of the risk pools. While it is no surprise that health insurance premiums</w:t>
      </w:r>
      <w:r w:rsidR="003551FB" w:rsidRPr="009278EB">
        <w:rPr>
          <w:sz w:val="16"/>
        </w:rPr>
        <w:t xml:space="preserve"> </w:t>
      </w:r>
      <w:r w:rsidRPr="009278EB">
        <w:rPr>
          <w:sz w:val="16"/>
        </w:rPr>
        <w:t>rise with workforce age, quantifying this relationship should help inform future research on the</w:t>
      </w:r>
      <w:r w:rsidR="003551FB" w:rsidRPr="009278EB">
        <w:rPr>
          <w:sz w:val="16"/>
        </w:rPr>
        <w:t xml:space="preserve"> </w:t>
      </w:r>
      <w:r w:rsidRPr="009278EB">
        <w:rPr>
          <w:sz w:val="16"/>
        </w:rPr>
        <w:t>intersection of workforce aging and hiring and compensation outcomes. The additional benefits</w:t>
      </w:r>
      <w:r w:rsidR="003551FB" w:rsidRPr="009278EB">
        <w:rPr>
          <w:sz w:val="16"/>
        </w:rPr>
        <w:t xml:space="preserve"> </w:t>
      </w:r>
      <w:r w:rsidRPr="009278EB">
        <w:rPr>
          <w:sz w:val="16"/>
        </w:rPr>
        <w:t>costs associated with hiring older workers plays an important though still only partially explored</w:t>
      </w:r>
      <w:r w:rsidR="003551FB" w:rsidRPr="009278EB">
        <w:rPr>
          <w:sz w:val="16"/>
        </w:rPr>
        <w:t xml:space="preserve"> </w:t>
      </w:r>
      <w:r w:rsidRPr="009278EB">
        <w:rPr>
          <w:sz w:val="16"/>
        </w:rPr>
        <w:t>role in the demand for their labor (Allen, 2019).</w:t>
      </w:r>
      <w:r w:rsidR="003551FB" w:rsidRPr="009278EB">
        <w:rPr>
          <w:sz w:val="16"/>
        </w:rPr>
        <w:t xml:space="preserve"> </w:t>
      </w:r>
      <w:r w:rsidRPr="009278EB">
        <w:rPr>
          <w:sz w:val="16"/>
        </w:rPr>
        <w:t>2 Background</w:t>
      </w:r>
      <w:r w:rsidR="003551FB" w:rsidRPr="009278EB">
        <w:rPr>
          <w:sz w:val="16"/>
        </w:rPr>
        <w:t xml:space="preserve"> </w:t>
      </w:r>
      <w:r w:rsidRPr="009278EB">
        <w:rPr>
          <w:sz w:val="16"/>
        </w:rPr>
        <w:t>Employers are the primary source of health insurance in the U.S., with more than half of the</w:t>
      </w:r>
      <w:r w:rsidR="003551FB" w:rsidRPr="009278EB">
        <w:rPr>
          <w:sz w:val="16"/>
        </w:rPr>
        <w:t xml:space="preserve"> </w:t>
      </w:r>
      <w:r w:rsidRPr="009278EB">
        <w:rPr>
          <w:sz w:val="16"/>
        </w:rPr>
        <w:t>population insured through their workplace or that of a family member (Kaiser Family Foun-</w:t>
      </w:r>
      <w:r w:rsidR="003551FB" w:rsidRPr="009278EB">
        <w:rPr>
          <w:sz w:val="16"/>
        </w:rPr>
        <w:t xml:space="preserve"> </w:t>
      </w:r>
      <w:r w:rsidRPr="009278EB">
        <w:rPr>
          <w:sz w:val="16"/>
        </w:rPr>
        <w:t>dation [KFF], 2021). Employers typically pay the bulk of insurance premiums with employees</w:t>
      </w:r>
      <w:r w:rsidR="003551FB" w:rsidRPr="009278EB">
        <w:rPr>
          <w:sz w:val="16"/>
        </w:rPr>
        <w:t xml:space="preserve"> </w:t>
      </w:r>
      <w:r w:rsidRPr="009278EB">
        <w:rPr>
          <w:sz w:val="16"/>
        </w:rPr>
        <w:t>covering a portion out of their own pay. The average total premium for single coverage at estab-</w:t>
      </w:r>
      <w:r w:rsidR="003551FB" w:rsidRPr="009278EB">
        <w:rPr>
          <w:sz w:val="16"/>
        </w:rPr>
        <w:t xml:space="preserve"> </w:t>
      </w:r>
      <w:r w:rsidRPr="009278EB">
        <w:rPr>
          <w:sz w:val="16"/>
        </w:rPr>
        <w:t>lishments offering health insurance rose from $3,287 in 1996 to $7,149 in 2020, in 2020 dollars.</w:t>
      </w:r>
      <w:r w:rsidR="003551FB" w:rsidRPr="009278EB">
        <w:rPr>
          <w:sz w:val="16"/>
        </w:rPr>
        <w:t xml:space="preserve"> </w:t>
      </w:r>
      <w:r w:rsidRPr="009278EB">
        <w:rPr>
          <w:sz w:val="16"/>
        </w:rPr>
        <w:t>The average employee contribution rose over this period from 17% to 21% of single-coverage</w:t>
      </w:r>
      <w:r w:rsidR="003551FB" w:rsidRPr="009278EB">
        <w:rPr>
          <w:sz w:val="16"/>
        </w:rPr>
        <w:t xml:space="preserve"> </w:t>
      </w:r>
      <w:r w:rsidRPr="009278EB">
        <w:rPr>
          <w:sz w:val="16"/>
        </w:rPr>
        <w:t>premiums (Agency for Healthcare Research and Quality, 2022).</w:t>
      </w:r>
      <w:r w:rsidR="003551FB" w:rsidRPr="009278EB">
        <w:rPr>
          <w:sz w:val="16"/>
        </w:rPr>
        <w:t xml:space="preserve"> </w:t>
      </w:r>
      <w:r w:rsidRPr="009278EB">
        <w:rPr>
          <w:sz w:val="16"/>
        </w:rPr>
        <w:t>The availability of health benefits and their method of funding vary considerably across</w:t>
      </w:r>
      <w:r w:rsidR="003551FB" w:rsidRPr="009278EB">
        <w:rPr>
          <w:sz w:val="16"/>
        </w:rPr>
        <w:t xml:space="preserve"> </w:t>
      </w:r>
      <w:r w:rsidRPr="009278EB">
        <w:rPr>
          <w:sz w:val="16"/>
        </w:rPr>
        <w:t>firms and industries. The offer rate of employer-based coverage increases with firm size, ranging</w:t>
      </w:r>
      <w:r w:rsidR="003551FB" w:rsidRPr="009278EB">
        <w:rPr>
          <w:sz w:val="16"/>
        </w:rPr>
        <w:t xml:space="preserve"> </w:t>
      </w:r>
      <w:r w:rsidRPr="009278EB">
        <w:rPr>
          <w:sz w:val="16"/>
        </w:rPr>
        <w:t>from an average of 60% among employers with fewer than 100 workers to 92% for employers of</w:t>
      </w:r>
      <w:r w:rsidR="003551FB" w:rsidRPr="009278EB">
        <w:rPr>
          <w:sz w:val="16"/>
        </w:rPr>
        <w:t xml:space="preserve"> </w:t>
      </w:r>
      <w:r w:rsidRPr="009278EB">
        <w:rPr>
          <w:sz w:val="16"/>
        </w:rPr>
        <w:t>500 or more (Bureau of Labor Statistics, 2021). Employers can fund health benefits through</w:t>
      </w:r>
      <w:r w:rsidR="003551FB" w:rsidRPr="009278EB">
        <w:rPr>
          <w:sz w:val="16"/>
        </w:rPr>
        <w:t xml:space="preserve"> </w:t>
      </w:r>
      <w:r w:rsidRPr="009278EB">
        <w:rPr>
          <w:sz w:val="16"/>
        </w:rPr>
        <w:t>different arrangements: fully insured plans, self-insured plans, or a mix of the two. Firms that</w:t>
      </w:r>
      <w:r w:rsidR="003551FB" w:rsidRPr="009278EB">
        <w:rPr>
          <w:sz w:val="16"/>
        </w:rPr>
        <w:t xml:space="preserve"> </w:t>
      </w:r>
      <w:r w:rsidRPr="009278EB">
        <w:rPr>
          <w:sz w:val="16"/>
        </w:rPr>
        <w:t>fully insure health benefits purchase coverage through insurance providers in the small- or large-</w:t>
      </w:r>
      <w:r w:rsidR="003551FB" w:rsidRPr="009278EB">
        <w:rPr>
          <w:sz w:val="16"/>
        </w:rPr>
        <w:t xml:space="preserve"> </w:t>
      </w:r>
      <w:r w:rsidRPr="009278EB">
        <w:rPr>
          <w:sz w:val="16"/>
        </w:rPr>
        <w:t>group markets. Firms that self-insure reimburse participating employees’ medical claims directly</w:t>
      </w:r>
      <w:r w:rsidR="003551FB" w:rsidRPr="009278EB">
        <w:rPr>
          <w:sz w:val="16"/>
        </w:rPr>
        <w:t xml:space="preserve"> </w:t>
      </w:r>
      <w:r w:rsidRPr="009278EB">
        <w:rPr>
          <w:sz w:val="16"/>
        </w:rPr>
        <w:t>out of company funds, often using stop-loss insurance coverage to insure against catastrophic</w:t>
      </w:r>
      <w:r w:rsidR="003551FB" w:rsidRPr="009278EB">
        <w:rPr>
          <w:sz w:val="16"/>
        </w:rPr>
        <w:t xml:space="preserve"> </w:t>
      </w:r>
      <w:r w:rsidRPr="009278EB">
        <w:rPr>
          <w:sz w:val="16"/>
        </w:rPr>
        <w:t>costs; these firms also often contract with large insurers for administrative services. Larger</w:t>
      </w:r>
      <w:r w:rsidR="003551FB" w:rsidRPr="009278EB">
        <w:rPr>
          <w:sz w:val="16"/>
        </w:rPr>
        <w:t xml:space="preserve"> </w:t>
      </w:r>
      <w:r w:rsidRPr="009278EB">
        <w:rPr>
          <w:sz w:val="16"/>
        </w:rPr>
        <w:t xml:space="preserve">firms are more likely to self-insure; </w:t>
      </w:r>
      <w:r w:rsidRPr="00DD2D90">
        <w:rPr>
          <w:rStyle w:val="StyleUnderline"/>
        </w:rPr>
        <w:t>27% of covered workers in the 50-199 size range belonged to</w:t>
      </w:r>
      <w:r w:rsidR="003551FB" w:rsidRPr="00DD2D90">
        <w:rPr>
          <w:rStyle w:val="StyleUnderline"/>
        </w:rPr>
        <w:t xml:space="preserve"> </w:t>
      </w:r>
      <w:r w:rsidRPr="00DD2D90">
        <w:rPr>
          <w:rStyle w:val="StyleUnderline"/>
        </w:rPr>
        <w:t>self-insured plans in 2020, compared to 87% in firms with employment of 1,000 or more</w:t>
      </w:r>
      <w:r w:rsidRPr="009278EB">
        <w:rPr>
          <w:sz w:val="16"/>
        </w:rPr>
        <w:t xml:space="preserve"> (KFF,</w:t>
      </w:r>
      <w:r w:rsidR="003551FB" w:rsidRPr="009278EB">
        <w:rPr>
          <w:sz w:val="16"/>
        </w:rPr>
        <w:t xml:space="preserve"> </w:t>
      </w:r>
      <w:r w:rsidRPr="009278EB">
        <w:rPr>
          <w:sz w:val="16"/>
        </w:rPr>
        <w:t>2021).</w:t>
      </w:r>
      <w:r w:rsidR="003551FB" w:rsidRPr="009278EB">
        <w:rPr>
          <w:sz w:val="16"/>
        </w:rPr>
        <w:t xml:space="preserve"> </w:t>
      </w:r>
      <w:r w:rsidRPr="009278EB">
        <w:rPr>
          <w:sz w:val="16"/>
        </w:rPr>
        <w:t>The relationship between employee age and employers’ hiring, retention and insurance of-</w:t>
      </w:r>
      <w:r w:rsidR="003551FB" w:rsidRPr="009278EB">
        <w:rPr>
          <w:sz w:val="16"/>
        </w:rPr>
        <w:t xml:space="preserve"> </w:t>
      </w:r>
      <w:r w:rsidRPr="009278EB">
        <w:rPr>
          <w:sz w:val="16"/>
        </w:rPr>
        <w:t>fer decisions has important implications for the older workers’ labor market prospects (Lahey,</w:t>
      </w:r>
      <w:r w:rsidR="003551FB" w:rsidRPr="009278EB">
        <w:rPr>
          <w:sz w:val="16"/>
        </w:rPr>
        <w:t xml:space="preserve"> </w:t>
      </w:r>
      <w:r w:rsidRPr="009278EB">
        <w:rPr>
          <w:sz w:val="16"/>
        </w:rPr>
        <w:t>2007). Data on health care expenditures and employer reimbursements confirm the intuition</w:t>
      </w:r>
      <w:r w:rsidR="003551FB" w:rsidRPr="009278EB">
        <w:rPr>
          <w:sz w:val="16"/>
        </w:rPr>
        <w:t xml:space="preserve"> </w:t>
      </w:r>
      <w:r w:rsidRPr="009278EB">
        <w:rPr>
          <w:sz w:val="16"/>
        </w:rPr>
        <w:t>that older workers cost employers more. Burtless and Koepcke (2018) used household data</w:t>
      </w:r>
      <w:r w:rsidR="003551FB" w:rsidRPr="009278EB">
        <w:rPr>
          <w:sz w:val="16"/>
        </w:rPr>
        <w:t xml:space="preserve"> </w:t>
      </w:r>
      <w:r w:rsidRPr="009278EB">
        <w:rPr>
          <w:sz w:val="16"/>
        </w:rPr>
        <w:t>from the Medical Expenditure Panel Survey–Household Component to calculate average health</w:t>
      </w:r>
      <w:r w:rsidR="003551FB" w:rsidRPr="009278EB">
        <w:rPr>
          <w:sz w:val="16"/>
        </w:rPr>
        <w:t xml:space="preserve"> </w:t>
      </w:r>
      <w:r w:rsidRPr="009278EB">
        <w:rPr>
          <w:sz w:val="16"/>
        </w:rPr>
        <w:t xml:space="preserve">reimbursements net of employee premium contributions by age. They found that, </w:t>
      </w:r>
      <w:r w:rsidRPr="00DD2D90">
        <w:rPr>
          <w:rStyle w:val="StyleUnderline"/>
        </w:rPr>
        <w:t>compared to</w:t>
      </w:r>
      <w:r w:rsidR="003551FB" w:rsidRPr="00DD2D90">
        <w:rPr>
          <w:rStyle w:val="StyleUnderline"/>
        </w:rPr>
        <w:t xml:space="preserve"> </w:t>
      </w:r>
      <w:r w:rsidRPr="00DD2D90">
        <w:rPr>
          <w:rStyle w:val="StyleUnderline"/>
        </w:rPr>
        <w:t xml:space="preserve">workers ages 45-49, net </w:t>
      </w:r>
      <w:r w:rsidRPr="00DD2D90">
        <w:rPr>
          <w:rStyle w:val="StyleUnderline"/>
          <w:highlight w:val="green"/>
        </w:rPr>
        <w:t>reimbursements were 35% higher for</w:t>
      </w:r>
      <w:r w:rsidRPr="00DD2D90">
        <w:rPr>
          <w:rStyle w:val="StyleUnderline"/>
        </w:rPr>
        <w:t xml:space="preserve"> those ages </w:t>
      </w:r>
      <w:r w:rsidRPr="00DD2D90">
        <w:rPr>
          <w:rStyle w:val="StyleUnderline"/>
          <w:highlight w:val="green"/>
        </w:rPr>
        <w:t>55-59 and 79% higher</w:t>
      </w:r>
      <w:r w:rsidR="003551FB" w:rsidRPr="00DD2D90">
        <w:rPr>
          <w:rStyle w:val="StyleUnderline"/>
          <w:highlight w:val="green"/>
        </w:rPr>
        <w:t xml:space="preserve"> </w:t>
      </w:r>
      <w:r w:rsidRPr="00DD2D90">
        <w:rPr>
          <w:rStyle w:val="StyleUnderline"/>
          <w:highlight w:val="green"/>
        </w:rPr>
        <w:t>for those 60-64</w:t>
      </w:r>
      <w:r w:rsidRPr="00DD2D90">
        <w:rPr>
          <w:rStyle w:val="StyleUnderline"/>
        </w:rPr>
        <w:t xml:space="preserve"> after controlling for other worker characteristics</w:t>
      </w:r>
      <w:r w:rsidRPr="009278EB">
        <w:rPr>
          <w:sz w:val="16"/>
        </w:rPr>
        <w:t>. The considerable costs of child-</w:t>
      </w:r>
      <w:r w:rsidR="003551FB" w:rsidRPr="009278EB">
        <w:rPr>
          <w:sz w:val="16"/>
        </w:rPr>
        <w:t xml:space="preserve"> </w:t>
      </w:r>
      <w:r w:rsidRPr="009278EB">
        <w:rPr>
          <w:sz w:val="16"/>
        </w:rPr>
        <w:t>birth and raising dependents, concentrated among younger age groups, do not change the overall</w:t>
      </w:r>
      <w:r w:rsidR="003551FB" w:rsidRPr="009278EB">
        <w:rPr>
          <w:sz w:val="16"/>
        </w:rPr>
        <w:t xml:space="preserve"> </w:t>
      </w:r>
      <w:r w:rsidRPr="009278EB">
        <w:rPr>
          <w:sz w:val="16"/>
        </w:rPr>
        <w:t>pattern that health costs rise sharply beginning in a worker’s 50s.</w:t>
      </w:r>
      <w:r w:rsidR="003551FB" w:rsidRPr="009278EB">
        <w:rPr>
          <w:sz w:val="16"/>
        </w:rPr>
        <w:t xml:space="preserve"> </w:t>
      </w:r>
      <w:r w:rsidRPr="009278EB">
        <w:rPr>
          <w:sz w:val="16"/>
        </w:rPr>
        <w:t xml:space="preserve">In the absence of institutional and legal restrictions, </w:t>
      </w:r>
      <w:r w:rsidRPr="00DD2D90">
        <w:rPr>
          <w:rStyle w:val="StyleUnderline"/>
          <w:highlight w:val="green"/>
        </w:rPr>
        <w:t>employers</w:t>
      </w:r>
      <w:r w:rsidRPr="009278EB">
        <w:rPr>
          <w:sz w:val="16"/>
        </w:rPr>
        <w:t xml:space="preserve"> </w:t>
      </w:r>
      <w:r w:rsidRPr="00DD2D90">
        <w:rPr>
          <w:rStyle w:val="StyleUnderline"/>
        </w:rPr>
        <w:t xml:space="preserve">could </w:t>
      </w:r>
      <w:r w:rsidRPr="00DD2D90">
        <w:rPr>
          <w:rStyle w:val="StyleUnderline"/>
          <w:highlight w:val="green"/>
        </w:rPr>
        <w:t>pass</w:t>
      </w:r>
      <w:r w:rsidRPr="00DD2D90">
        <w:rPr>
          <w:rStyle w:val="StyleUnderline"/>
        </w:rPr>
        <w:t xml:space="preserve"> the </w:t>
      </w:r>
      <w:r w:rsidRPr="00DD2D90">
        <w:rPr>
          <w:rStyle w:val="StyleUnderline"/>
          <w:highlight w:val="green"/>
        </w:rPr>
        <w:t>additional</w:t>
      </w:r>
      <w:r w:rsidR="003551FB" w:rsidRPr="00DD2D90">
        <w:rPr>
          <w:rStyle w:val="StyleUnderline"/>
        </w:rPr>
        <w:t xml:space="preserve"> </w:t>
      </w:r>
      <w:r w:rsidRPr="00DD2D90">
        <w:rPr>
          <w:rStyle w:val="StyleUnderline"/>
        </w:rPr>
        <w:t xml:space="preserve">health </w:t>
      </w:r>
      <w:r w:rsidRPr="00DD2D90">
        <w:rPr>
          <w:rStyle w:val="StyleUnderline"/>
          <w:highlight w:val="green"/>
        </w:rPr>
        <w:t>costs</w:t>
      </w:r>
      <w:r w:rsidRPr="00DD2D90">
        <w:rPr>
          <w:rStyle w:val="StyleUnderline"/>
        </w:rPr>
        <w:t xml:space="preserve"> of older workers </w:t>
      </w:r>
      <w:r w:rsidRPr="00DD2D90">
        <w:rPr>
          <w:rStyle w:val="StyleUnderline"/>
          <w:highlight w:val="green"/>
        </w:rPr>
        <w:t>onto</w:t>
      </w:r>
      <w:r w:rsidRPr="00DD2D90">
        <w:rPr>
          <w:rStyle w:val="StyleUnderline"/>
        </w:rPr>
        <w:t xml:space="preserve"> these </w:t>
      </w:r>
      <w:r w:rsidRPr="00DD2D90">
        <w:rPr>
          <w:rStyle w:val="StyleUnderline"/>
          <w:highlight w:val="green"/>
        </w:rPr>
        <w:t xml:space="preserve">employees in the form of </w:t>
      </w:r>
      <w:r w:rsidRPr="00DD2D90">
        <w:rPr>
          <w:rStyle w:val="Emphasis"/>
          <w:highlight w:val="green"/>
        </w:rPr>
        <w:t>diminished wages</w:t>
      </w:r>
      <w:r w:rsidRPr="009278EB">
        <w:rPr>
          <w:sz w:val="16"/>
        </w:rPr>
        <w:t>. Though</w:t>
      </w:r>
      <w:r w:rsidR="003551FB" w:rsidRPr="009278EB">
        <w:rPr>
          <w:sz w:val="16"/>
        </w:rPr>
        <w:t xml:space="preserve"> </w:t>
      </w:r>
      <w:r w:rsidRPr="009278EB">
        <w:rPr>
          <w:sz w:val="16"/>
        </w:rPr>
        <w:t>inconclusive, prior empirical research finds evidence that older workers do indeed absorb some</w:t>
      </w:r>
      <w:r w:rsidR="003551FB" w:rsidRPr="009278EB">
        <w:rPr>
          <w:sz w:val="16"/>
        </w:rPr>
        <w:t xml:space="preserve"> </w:t>
      </w:r>
      <w:r w:rsidRPr="009278EB">
        <w:rPr>
          <w:sz w:val="16"/>
        </w:rPr>
        <w:t>of the costs of rising insurance costs (Sheiner, 1999; Bailey, 2014), in line with a much broader</w:t>
      </w:r>
      <w:r w:rsidR="003551FB" w:rsidRPr="009278EB">
        <w:rPr>
          <w:sz w:val="16"/>
        </w:rPr>
        <w:t xml:space="preserve"> </w:t>
      </w:r>
      <w:r w:rsidRPr="009278EB">
        <w:rPr>
          <w:sz w:val="16"/>
        </w:rPr>
        <w:t>literature on the incidence of health insurance benefits (Gruber, 1994; Baicker and Chandra,</w:t>
      </w:r>
      <w:r w:rsidR="003551FB" w:rsidRPr="009278EB">
        <w:rPr>
          <w:sz w:val="16"/>
        </w:rPr>
        <w:t xml:space="preserve"> </w:t>
      </w:r>
      <w:r w:rsidRPr="009278EB">
        <w:rPr>
          <w:sz w:val="16"/>
        </w:rPr>
        <w:t>2006; Bhattacharya and Bundorf, 2009; Anand, 2017; Arnold and Whaley, 2020). Federal law</w:t>
      </w:r>
      <w:r w:rsidR="003551FB" w:rsidRPr="009278EB">
        <w:rPr>
          <w:sz w:val="16"/>
        </w:rPr>
        <w:t xml:space="preserve"> </w:t>
      </w:r>
      <w:r w:rsidRPr="009278EB">
        <w:rPr>
          <w:sz w:val="16"/>
        </w:rPr>
        <w:t>prohibits employers from discriminating on the basis of age in pay and requires that employee</w:t>
      </w:r>
      <w:r w:rsidR="003551FB" w:rsidRPr="009278EB">
        <w:rPr>
          <w:sz w:val="16"/>
        </w:rPr>
        <w:t xml:space="preserve"> </w:t>
      </w:r>
      <w:r w:rsidRPr="009278EB">
        <w:rPr>
          <w:sz w:val="16"/>
        </w:rPr>
        <w:t>contributions be uniform within any employer-provided plan. Yet in cases where salaries are</w:t>
      </w:r>
      <w:r w:rsidR="003551FB" w:rsidRPr="009278EB">
        <w:rPr>
          <w:sz w:val="16"/>
        </w:rPr>
        <w:t xml:space="preserve"> </w:t>
      </w:r>
      <w:r w:rsidRPr="009278EB">
        <w:rPr>
          <w:sz w:val="16"/>
        </w:rPr>
        <w:t xml:space="preserve">negotiable and are not standardized across the firm, </w:t>
      </w:r>
      <w:r w:rsidRPr="00DD2D90">
        <w:rPr>
          <w:rStyle w:val="StyleUnderline"/>
        </w:rPr>
        <w:t>older workers may accept lower wage offers</w:t>
      </w:r>
      <w:r w:rsidR="003551FB" w:rsidRPr="00DD2D90">
        <w:rPr>
          <w:rStyle w:val="StyleUnderline"/>
        </w:rPr>
        <w:t xml:space="preserve"> </w:t>
      </w:r>
      <w:r w:rsidRPr="00DD2D90">
        <w:rPr>
          <w:rStyle w:val="StyleUnderline"/>
        </w:rPr>
        <w:t>in order to obtain health insurance</w:t>
      </w:r>
      <w:r w:rsidRPr="009278EB">
        <w:rPr>
          <w:sz w:val="16"/>
        </w:rPr>
        <w:t xml:space="preserve"> that would be costlier in the individual market.</w:t>
      </w:r>
      <w:r w:rsidR="003551FB" w:rsidRPr="009278EB">
        <w:rPr>
          <w:sz w:val="16"/>
        </w:rPr>
        <w:t xml:space="preserve"> </w:t>
      </w:r>
      <w:r w:rsidRPr="009278EB">
        <w:rPr>
          <w:sz w:val="16"/>
        </w:rPr>
        <w:t>Employers deciding whether to offer insurance and the types of plan or plans to offer must</w:t>
      </w:r>
      <w:r w:rsidR="003551FB" w:rsidRPr="009278EB">
        <w:rPr>
          <w:sz w:val="16"/>
        </w:rPr>
        <w:t xml:space="preserve"> </w:t>
      </w:r>
      <w:r w:rsidRPr="009278EB">
        <w:rPr>
          <w:sz w:val="16"/>
        </w:rPr>
        <w:t>balance expected costs with employee preferences and competitive pressures. Employers are</w:t>
      </w:r>
      <w:r w:rsidR="003551FB" w:rsidRPr="009278EB">
        <w:rPr>
          <w:sz w:val="16"/>
        </w:rPr>
        <w:t xml:space="preserve"> </w:t>
      </w:r>
      <w:r w:rsidRPr="009278EB">
        <w:rPr>
          <w:sz w:val="16"/>
        </w:rPr>
        <w:t>barred from charging plan enrollees different premiums according to age, health, or any other</w:t>
      </w:r>
      <w:r w:rsidR="003551FB" w:rsidRPr="009278EB">
        <w:rPr>
          <w:sz w:val="16"/>
        </w:rPr>
        <w:t xml:space="preserve"> </w:t>
      </w:r>
      <w:r w:rsidRPr="009278EB">
        <w:rPr>
          <w:sz w:val="16"/>
        </w:rPr>
        <w:t>factors, giving rise to complex choices as to plan pricing and generosity (Bundorf, Levin and</w:t>
      </w:r>
      <w:r w:rsidR="003551FB" w:rsidRPr="009278EB">
        <w:rPr>
          <w:sz w:val="16"/>
        </w:rPr>
        <w:t xml:space="preserve"> </w:t>
      </w:r>
      <w:r w:rsidRPr="009278EB">
        <w:rPr>
          <w:sz w:val="16"/>
        </w:rPr>
        <w:t>Mahoney, 2012). At a high level, employers appear responsive to employee preferences regarding</w:t>
      </w:r>
      <w:r w:rsidR="003551FB" w:rsidRPr="009278EB">
        <w:rPr>
          <w:sz w:val="16"/>
        </w:rPr>
        <w:t xml:space="preserve"> </w:t>
      </w:r>
      <w:r w:rsidRPr="009278EB">
        <w:rPr>
          <w:sz w:val="16"/>
        </w:rPr>
        <w:t>insurance coverage options (Pauly and Herring, 2007; Peele et al., 2000). Employers may also</w:t>
      </w:r>
      <w:r w:rsidR="003551FB" w:rsidRPr="009278EB">
        <w:rPr>
          <w:sz w:val="16"/>
        </w:rPr>
        <w:t xml:space="preserve"> </w:t>
      </w:r>
      <w:r w:rsidRPr="009278EB">
        <w:rPr>
          <w:sz w:val="16"/>
        </w:rPr>
        <w:t>reap benefits from encouraging a healthy and insured workforce, such as lower turnover (perhaps</w:t>
      </w:r>
      <w:r w:rsidR="003551FB" w:rsidRPr="009278EB">
        <w:rPr>
          <w:sz w:val="16"/>
        </w:rPr>
        <w:t xml:space="preserve"> </w:t>
      </w:r>
      <w:r w:rsidRPr="009278EB">
        <w:rPr>
          <w:sz w:val="16"/>
        </w:rPr>
        <w:t>due to job lock) and higher productivity (O’Brien, 2003; Decressin et al., 2005). Among the</w:t>
      </w:r>
      <w:r w:rsidR="003551FB" w:rsidRPr="009278EB">
        <w:rPr>
          <w:sz w:val="16"/>
        </w:rPr>
        <w:t xml:space="preserve"> </w:t>
      </w:r>
      <w:r w:rsidRPr="009278EB">
        <w:rPr>
          <w:sz w:val="16"/>
        </w:rPr>
        <w:t>ways that employers tailor their insurance offerings to reconcile employee demand with a need</w:t>
      </w:r>
      <w:r w:rsidR="003551FB" w:rsidRPr="009278EB">
        <w:rPr>
          <w:sz w:val="16"/>
        </w:rPr>
        <w:t xml:space="preserve"> </w:t>
      </w:r>
      <w:r w:rsidRPr="009278EB">
        <w:rPr>
          <w:sz w:val="16"/>
        </w:rPr>
        <w:t>to minimize expected costs is by offering multiple types of plans: for instance, a high-premium</w:t>
      </w:r>
      <w:r w:rsidR="003551FB" w:rsidRPr="009278EB">
        <w:rPr>
          <w:sz w:val="16"/>
        </w:rPr>
        <w:t xml:space="preserve"> </w:t>
      </w:r>
      <w:r w:rsidRPr="009278EB">
        <w:rPr>
          <w:sz w:val="16"/>
        </w:rPr>
        <w:t>plan with generous coverage and one that is cheaper and less generous for low-risk employees.</w:t>
      </w:r>
      <w:r w:rsidR="003551FB" w:rsidRPr="009278EB">
        <w:rPr>
          <w:sz w:val="16"/>
        </w:rPr>
        <w:t xml:space="preserve"> </w:t>
      </w:r>
      <w:r w:rsidRPr="009278EB">
        <w:rPr>
          <w:sz w:val="16"/>
        </w:rPr>
        <w:t>Employers are more likely to offer a choice in plans at firms with higher-paid workers and those</w:t>
      </w:r>
      <w:r w:rsidR="003551FB" w:rsidRPr="009278EB">
        <w:rPr>
          <w:sz w:val="16"/>
        </w:rPr>
        <w:t xml:space="preserve"> </w:t>
      </w:r>
      <w:r w:rsidRPr="009278EB">
        <w:rPr>
          <w:sz w:val="16"/>
        </w:rPr>
        <w:t xml:space="preserve">with greater variance in employee health risk (Bundorf, 2002; Tilipman, 2022). </w:t>
      </w:r>
      <w:r w:rsidRPr="00DD2D90">
        <w:rPr>
          <w:rStyle w:val="StyleUnderline"/>
          <w:highlight w:val="green"/>
        </w:rPr>
        <w:t>Employers</w:t>
      </w:r>
      <w:r w:rsidRPr="009278EB">
        <w:rPr>
          <w:sz w:val="16"/>
        </w:rPr>
        <w:t xml:space="preserve"> may</w:t>
      </w:r>
      <w:r w:rsidR="003551FB" w:rsidRPr="009278EB">
        <w:rPr>
          <w:sz w:val="16"/>
        </w:rPr>
        <w:t xml:space="preserve"> </w:t>
      </w:r>
      <w:r w:rsidRPr="009278EB">
        <w:rPr>
          <w:sz w:val="16"/>
        </w:rPr>
        <w:t xml:space="preserve">also </w:t>
      </w:r>
      <w:r w:rsidRPr="00DD2D90">
        <w:rPr>
          <w:rStyle w:val="StyleUnderline"/>
          <w:highlight w:val="green"/>
        </w:rPr>
        <w:t>steer workers towards higher-deductible plans or those with narrower networks</w:t>
      </w:r>
      <w:r w:rsidRPr="00DD2D90">
        <w:rPr>
          <w:rStyle w:val="StyleUnderline"/>
        </w:rPr>
        <w:t xml:space="preserve"> in order to</w:t>
      </w:r>
      <w:r w:rsidR="003551FB" w:rsidRPr="00DD2D90">
        <w:rPr>
          <w:rStyle w:val="StyleUnderline"/>
        </w:rPr>
        <w:t xml:space="preserve"> </w:t>
      </w:r>
      <w:r w:rsidRPr="00DD2D90">
        <w:rPr>
          <w:rStyle w:val="StyleUnderline"/>
        </w:rPr>
        <w:t>reduce costs</w:t>
      </w:r>
      <w:r w:rsidRPr="009278EB">
        <w:rPr>
          <w:sz w:val="16"/>
        </w:rPr>
        <w:t>.</w:t>
      </w:r>
      <w:r w:rsidR="003551FB" w:rsidRPr="009278EB">
        <w:rPr>
          <w:sz w:val="16"/>
        </w:rPr>
        <w:t xml:space="preserve"> </w:t>
      </w:r>
      <w:r w:rsidRPr="009278EB">
        <w:rPr>
          <w:sz w:val="16"/>
        </w:rPr>
        <w:t>Plan premiums are a function of plan generosity and expected health costs among other</w:t>
      </w:r>
      <w:r w:rsidR="003551FB" w:rsidRPr="009278EB">
        <w:rPr>
          <w:sz w:val="16"/>
        </w:rPr>
        <w:t xml:space="preserve"> </w:t>
      </w:r>
      <w:r w:rsidRPr="009278EB">
        <w:rPr>
          <w:sz w:val="16"/>
        </w:rPr>
        <w:t xml:space="preserve">factors.2 </w:t>
      </w:r>
      <w:r w:rsidRPr="00DD2D90">
        <w:rPr>
          <w:rStyle w:val="StyleUnderline"/>
        </w:rPr>
        <w:t>A positive association between workforce age and premiums emerges</w:t>
      </w:r>
      <w:r w:rsidRPr="009278EB">
        <w:rPr>
          <w:sz w:val="16"/>
        </w:rPr>
        <w:t xml:space="preserve"> from simple</w:t>
      </w:r>
      <w:r w:rsidR="003551FB" w:rsidRPr="009278EB">
        <w:rPr>
          <w:sz w:val="16"/>
        </w:rPr>
        <w:t xml:space="preserve"> </w:t>
      </w:r>
      <w:r w:rsidRPr="009278EB">
        <w:rPr>
          <w:sz w:val="16"/>
        </w:rPr>
        <w:t>statistical associations (e.g., Kaiser Family Foundation 2021: Fig 1.6; Lurie and Miller 2023) as</w:t>
      </w:r>
      <w:r w:rsidR="003551FB" w:rsidRPr="009278EB">
        <w:rPr>
          <w:sz w:val="16"/>
        </w:rPr>
        <w:t xml:space="preserve"> </w:t>
      </w:r>
      <w:r w:rsidRPr="009278EB">
        <w:rPr>
          <w:sz w:val="16"/>
        </w:rPr>
        <w:t>well as in multivariate regression analyses that use age-related variables as controls (Cutler, 1994;</w:t>
      </w:r>
      <w:r w:rsidR="003551FB" w:rsidRPr="009278EB">
        <w:rPr>
          <w:sz w:val="16"/>
        </w:rPr>
        <w:t xml:space="preserve"> </w:t>
      </w:r>
      <w:r w:rsidRPr="009278EB">
        <w:rPr>
          <w:sz w:val="16"/>
        </w:rPr>
        <w:t>Bundorf, 2010). While this association hardly comes as a surprise, it bears further investigation</w:t>
      </w:r>
      <w:r w:rsidR="003551FB" w:rsidRPr="009278EB">
        <w:rPr>
          <w:sz w:val="16"/>
        </w:rPr>
        <w:t xml:space="preserve"> </w:t>
      </w:r>
      <w:r w:rsidRPr="009278EB">
        <w:rPr>
          <w:sz w:val="16"/>
        </w:rPr>
        <w:t>to determine how much of the age-premium relationship is driven by confounders such as income,</w:t>
      </w:r>
      <w:r w:rsidR="003551FB" w:rsidRPr="009278EB">
        <w:rPr>
          <w:sz w:val="16"/>
        </w:rPr>
        <w:t xml:space="preserve"> </w:t>
      </w:r>
      <w:r w:rsidRPr="009278EB">
        <w:rPr>
          <w:sz w:val="16"/>
        </w:rPr>
        <w:t>union coverage, and industry, which may be associated with both workforce age and health plan</w:t>
      </w:r>
      <w:r w:rsidR="003551FB" w:rsidRPr="009278EB">
        <w:rPr>
          <w:sz w:val="16"/>
        </w:rPr>
        <w:t xml:space="preserve"> </w:t>
      </w:r>
      <w:r w:rsidRPr="009278EB">
        <w:rPr>
          <w:sz w:val="16"/>
        </w:rPr>
        <w:t>generosity.</w:t>
      </w:r>
      <w:r w:rsidR="003551FB" w:rsidRPr="009278EB">
        <w:rPr>
          <w:sz w:val="16"/>
        </w:rPr>
        <w:t xml:space="preserve"> </w:t>
      </w:r>
      <w:r w:rsidRPr="009278EB">
        <w:rPr>
          <w:sz w:val="16"/>
        </w:rPr>
        <w:t>In an effort to increase the affordability of health insurance and reduce the volatility of costs</w:t>
      </w:r>
      <w:r w:rsidR="003551FB" w:rsidRPr="009278EB">
        <w:rPr>
          <w:sz w:val="16"/>
        </w:rPr>
        <w:t xml:space="preserve"> </w:t>
      </w:r>
      <w:r w:rsidRPr="009278EB">
        <w:rPr>
          <w:sz w:val="16"/>
        </w:rPr>
        <w:t>for smaller employers, most U.S. states enacted some form of ratings reforms by the 1990s and</w:t>
      </w:r>
      <w:r w:rsidR="003551FB" w:rsidRPr="009278EB">
        <w:rPr>
          <w:sz w:val="16"/>
        </w:rPr>
        <w:t xml:space="preserve"> </w:t>
      </w:r>
      <w:r w:rsidRPr="009278EB">
        <w:rPr>
          <w:sz w:val="16"/>
        </w:rPr>
        <w:t>early 2000s through legislation that also often included companion policies such as guaranteed</w:t>
      </w:r>
      <w:r w:rsidR="003551FB" w:rsidRPr="009278EB">
        <w:rPr>
          <w:sz w:val="16"/>
        </w:rPr>
        <w:t xml:space="preserve"> </w:t>
      </w:r>
      <w:r w:rsidRPr="009278EB">
        <w:rPr>
          <w:sz w:val="16"/>
        </w:rPr>
        <w:t>issue and renewal. These regulations set limits on the degree to which small-group insurance</w:t>
      </w:r>
      <w:r w:rsidR="003551FB" w:rsidRPr="009278EB">
        <w:rPr>
          <w:sz w:val="16"/>
        </w:rPr>
        <w:t xml:space="preserve"> </w:t>
      </w:r>
      <w:r w:rsidRPr="009278EB">
        <w:rPr>
          <w:sz w:val="16"/>
        </w:rPr>
        <w:t>providers could vary premiums based on the perceived risk of the group. Ratings reforms came</w:t>
      </w:r>
      <w:r w:rsidR="003551FB" w:rsidRPr="009278EB">
        <w:rPr>
          <w:sz w:val="16"/>
        </w:rPr>
        <w:t xml:space="preserve"> </w:t>
      </w:r>
      <w:r w:rsidRPr="009278EB">
        <w:rPr>
          <w:sz w:val="16"/>
        </w:rPr>
        <w:t>in a few varieties, the most common of which employs bands over which employers can vary</w:t>
      </w:r>
      <w:r w:rsidR="003551FB" w:rsidRPr="009278EB">
        <w:rPr>
          <w:sz w:val="16"/>
        </w:rPr>
        <w:t xml:space="preserve"> </w:t>
      </w:r>
      <w:r w:rsidRPr="009278EB">
        <w:rPr>
          <w:sz w:val="16"/>
        </w:rPr>
        <w:t>premiums according to a set of employee or firm characteristics, including age, health, gender,</w:t>
      </w:r>
      <w:r w:rsidR="003551FB" w:rsidRPr="009278EB">
        <w:rPr>
          <w:sz w:val="16"/>
        </w:rPr>
        <w:t xml:space="preserve"> </w:t>
      </w:r>
      <w:r w:rsidRPr="009278EB">
        <w:rPr>
          <w:sz w:val="16"/>
        </w:rPr>
        <w:t>industry, and whether employees smoke (Hall, 2000). This system, known as adjusted or modified</w:t>
      </w:r>
      <w:r w:rsidR="003551FB" w:rsidRPr="009278EB">
        <w:rPr>
          <w:sz w:val="16"/>
        </w:rPr>
        <w:t xml:space="preserve"> </w:t>
      </w:r>
      <w:r w:rsidRPr="009278EB">
        <w:rPr>
          <w:sz w:val="16"/>
        </w:rPr>
        <w:t>community rating, was made federal policy by the ACA, which eliminated risk rating based on</w:t>
      </w:r>
      <w:r w:rsidR="003551FB" w:rsidRPr="009278EB">
        <w:rPr>
          <w:sz w:val="16"/>
        </w:rPr>
        <w:t xml:space="preserve"> </w:t>
      </w:r>
      <w:r w:rsidRPr="009278EB">
        <w:rPr>
          <w:sz w:val="16"/>
        </w:rPr>
        <w:t>health (or pre-existing conditions) and enforces a 3:1 age rating band (i.e., insurers can rate the</w:t>
      </w:r>
      <w:r w:rsidR="003551FB" w:rsidRPr="009278EB">
        <w:rPr>
          <w:sz w:val="16"/>
        </w:rPr>
        <w:t xml:space="preserve"> </w:t>
      </w:r>
      <w:r w:rsidRPr="009278EB">
        <w:rPr>
          <w:sz w:val="16"/>
        </w:rPr>
        <w:t>oldest employees as no more than three times more expensive than the youngest employees).</w:t>
      </w:r>
      <w:r w:rsidR="003551FB" w:rsidRPr="009278EB">
        <w:rPr>
          <w:sz w:val="16"/>
        </w:rPr>
        <w:t xml:space="preserve"> </w:t>
      </w:r>
      <w:r w:rsidRPr="009278EB">
        <w:rPr>
          <w:sz w:val="16"/>
        </w:rPr>
        <w:t>Modified community rating stands in contrast to so-called pure community rating, in which all</w:t>
      </w:r>
      <w:r w:rsidR="003551FB" w:rsidRPr="009278EB">
        <w:rPr>
          <w:sz w:val="16"/>
        </w:rPr>
        <w:t xml:space="preserve"> </w:t>
      </w:r>
      <w:r w:rsidRPr="009278EB">
        <w:rPr>
          <w:sz w:val="16"/>
        </w:rPr>
        <w:t>groups in an area pay the same premiums for a given plan. New York and Vermont are the</w:t>
      </w:r>
      <w:r w:rsidR="003551FB" w:rsidRPr="009278EB">
        <w:rPr>
          <w:sz w:val="16"/>
        </w:rPr>
        <w:t xml:space="preserve"> </w:t>
      </w:r>
      <w:r w:rsidRPr="009278EB">
        <w:rPr>
          <w:sz w:val="16"/>
        </w:rPr>
        <w:t>only states that enforce such a policy; Massachusetts also has more stringent ratings restrictions</w:t>
      </w:r>
      <w:r w:rsidR="003551FB" w:rsidRPr="009278EB">
        <w:rPr>
          <w:sz w:val="16"/>
        </w:rPr>
        <w:t xml:space="preserve"> </w:t>
      </w:r>
      <w:r w:rsidRPr="009278EB">
        <w:rPr>
          <w:sz w:val="16"/>
        </w:rPr>
        <w:t>than those imposed by the ACA.3</w:t>
      </w:r>
      <w:r w:rsidR="003551FB" w:rsidRPr="009278EB">
        <w:rPr>
          <w:sz w:val="16"/>
        </w:rPr>
        <w:t xml:space="preserve"> </w:t>
      </w:r>
      <w:r w:rsidRPr="009278EB">
        <w:rPr>
          <w:sz w:val="16"/>
        </w:rPr>
        <w:t>Prior research examining ratings reforms has found only modest effects on coverage rates and</w:t>
      </w:r>
      <w:r w:rsidR="003551FB" w:rsidRPr="009278EB">
        <w:rPr>
          <w:sz w:val="16"/>
        </w:rPr>
        <w:t xml:space="preserve"> </w:t>
      </w:r>
      <w:r w:rsidRPr="009278EB">
        <w:rPr>
          <w:sz w:val="16"/>
        </w:rPr>
        <w:t>small-firm insurance decisions. Buchmueller and DiNardo (2002) compared outcomes after the</w:t>
      </w:r>
      <w:r w:rsidR="003551FB" w:rsidRPr="009278EB">
        <w:rPr>
          <w:sz w:val="16"/>
        </w:rPr>
        <w:t xml:space="preserve"> </w:t>
      </w:r>
      <w:r w:rsidRPr="009278EB">
        <w:rPr>
          <w:sz w:val="16"/>
        </w:rPr>
        <w:t>pure community rating introduction in New York to concurrent trends in the neighboring states</w:t>
      </w:r>
      <w:r w:rsidR="003551FB" w:rsidRPr="009278EB">
        <w:rPr>
          <w:sz w:val="16"/>
        </w:rPr>
        <w:t xml:space="preserve"> </w:t>
      </w:r>
      <w:r w:rsidRPr="009278EB">
        <w:rPr>
          <w:sz w:val="16"/>
        </w:rPr>
        <w:t>of Connecticut, which imposed modified community rating, and Pennsylvania, which had none.</w:t>
      </w:r>
      <w:r w:rsidR="003551FB" w:rsidRPr="009278EB">
        <w:rPr>
          <w:sz w:val="16"/>
        </w:rPr>
        <w:t xml:space="preserve"> </w:t>
      </w:r>
      <w:r w:rsidRPr="009278EB">
        <w:rPr>
          <w:sz w:val="16"/>
        </w:rPr>
        <w:t>They found a slight shift toward coverage of older individuals and increased HMO penetration in</w:t>
      </w:r>
      <w:r w:rsidR="003551FB" w:rsidRPr="009278EB">
        <w:rPr>
          <w:sz w:val="16"/>
        </w:rPr>
        <w:t xml:space="preserve"> </w:t>
      </w:r>
      <w:r w:rsidRPr="009278EB">
        <w:rPr>
          <w:sz w:val="16"/>
        </w:rPr>
        <w:t>New York, though no “death spiral” in insurance coverage as some had feared. Park (2000) used</w:t>
      </w:r>
      <w:r w:rsidR="003551FB" w:rsidRPr="009278EB">
        <w:rPr>
          <w:sz w:val="16"/>
        </w:rPr>
        <w:t xml:space="preserve"> </w:t>
      </w:r>
      <w:r w:rsidRPr="009278EB">
        <w:rPr>
          <w:sz w:val="16"/>
        </w:rPr>
        <w:t>cross-sectional data to document higher rates of self-insurance among small employers in states</w:t>
      </w:r>
      <w:r w:rsidR="003551FB" w:rsidRPr="009278EB">
        <w:rPr>
          <w:sz w:val="16"/>
        </w:rPr>
        <w:t xml:space="preserve"> </w:t>
      </w:r>
      <w:r w:rsidRPr="009278EB">
        <w:rPr>
          <w:sz w:val="16"/>
        </w:rPr>
        <w:t>with stronger small-group ratings reforms. Simon (2005) found that such reforms were associated</w:t>
      </w:r>
      <w:r w:rsidR="003551FB" w:rsidRPr="009278EB">
        <w:rPr>
          <w:sz w:val="16"/>
        </w:rPr>
        <w:t xml:space="preserve"> </w:t>
      </w:r>
      <w:r w:rsidRPr="009278EB">
        <w:rPr>
          <w:sz w:val="16"/>
        </w:rPr>
        <w:t>with higher premiums and lower coverage among the lowest-risk segment of the workforce, never-</w:t>
      </w:r>
      <w:r w:rsidR="003551FB" w:rsidRPr="009278EB">
        <w:rPr>
          <w:sz w:val="16"/>
        </w:rPr>
        <w:t xml:space="preserve"> </w:t>
      </w:r>
      <w:r w:rsidRPr="009278EB">
        <w:rPr>
          <w:sz w:val="16"/>
        </w:rPr>
        <w:t>married young men, consistent with cross-subsidization of higher-risk insurance consumers by</w:t>
      </w:r>
      <w:r w:rsidR="003551FB" w:rsidRPr="009278EB">
        <w:rPr>
          <w:sz w:val="16"/>
        </w:rPr>
        <w:t xml:space="preserve"> </w:t>
      </w:r>
      <w:r w:rsidRPr="009278EB">
        <w:rPr>
          <w:sz w:val="16"/>
        </w:rPr>
        <w:t>lower-risk group members. Trish and Herring (2018) documented an increase in self-insurance</w:t>
      </w:r>
      <w:r w:rsidR="003551FB" w:rsidRPr="009278EB">
        <w:rPr>
          <w:sz w:val="16"/>
        </w:rPr>
        <w:t xml:space="preserve"> </w:t>
      </w:r>
      <w:r w:rsidRPr="009278EB">
        <w:rPr>
          <w:sz w:val="16"/>
        </w:rPr>
        <w:t>among small firms in states with more stringent ratings regulations. Studies that have examined</w:t>
      </w:r>
      <w:r w:rsidR="003551FB" w:rsidRPr="009278EB">
        <w:rPr>
          <w:sz w:val="16"/>
        </w:rPr>
        <w:t xml:space="preserve"> </w:t>
      </w:r>
      <w:r w:rsidRPr="009278EB">
        <w:rPr>
          <w:sz w:val="16"/>
        </w:rPr>
        <w:t>the small-group market after the ACA have found null to moderate changes in offer rates and</w:t>
      </w:r>
      <w:r w:rsidR="003551FB" w:rsidRPr="009278EB">
        <w:rPr>
          <w:sz w:val="16"/>
        </w:rPr>
        <w:t xml:space="preserve"> </w:t>
      </w:r>
      <w:r w:rsidRPr="009278EB">
        <w:rPr>
          <w:sz w:val="16"/>
        </w:rPr>
        <w:t>take-up (Abraham, Royalty and Drake, 2016; Kattih, Mansour and Mixon, 2019).</w:t>
      </w:r>
      <w:r w:rsidR="003551FB" w:rsidRPr="009278EB">
        <w:rPr>
          <w:sz w:val="16"/>
        </w:rPr>
        <w:t xml:space="preserve"> </w:t>
      </w:r>
      <w:r w:rsidRPr="009278EB">
        <w:rPr>
          <w:sz w:val="16"/>
        </w:rPr>
        <w:t>An open question is how small-group ratings policies affect older workers. By spreading the</w:t>
      </w:r>
      <w:r w:rsidR="003551FB" w:rsidRPr="009278EB">
        <w:rPr>
          <w:sz w:val="16"/>
        </w:rPr>
        <w:t xml:space="preserve"> </w:t>
      </w:r>
      <w:r w:rsidRPr="009278EB">
        <w:rPr>
          <w:sz w:val="16"/>
        </w:rPr>
        <w:t>health risks associated with older workers over a larger group, these policies have the potential</w:t>
      </w:r>
      <w:r w:rsidR="003551FB" w:rsidRPr="009278EB">
        <w:rPr>
          <w:sz w:val="16"/>
        </w:rPr>
        <w:t xml:space="preserve"> </w:t>
      </w:r>
      <w:r w:rsidRPr="009278EB">
        <w:rPr>
          <w:sz w:val="16"/>
        </w:rPr>
        <w:t>to encourage the hiring and retention of older workers. Exploring this hypothesis using Current</w:t>
      </w:r>
      <w:r w:rsidR="003551FB" w:rsidRPr="009278EB">
        <w:rPr>
          <w:sz w:val="16"/>
        </w:rPr>
        <w:t xml:space="preserve"> </w:t>
      </w:r>
      <w:r w:rsidRPr="009278EB">
        <w:rPr>
          <w:sz w:val="16"/>
        </w:rPr>
        <w:t>Population Survey data, Rutledge and Crawford (2016) found no evidence for increased employ-</w:t>
      </w:r>
      <w:r w:rsidR="003551FB" w:rsidRPr="009278EB">
        <w:rPr>
          <w:sz w:val="16"/>
        </w:rPr>
        <w:t xml:space="preserve"> </w:t>
      </w:r>
      <w:r w:rsidRPr="009278EB">
        <w:rPr>
          <w:sz w:val="16"/>
        </w:rPr>
        <w:t>ment of older workers in small firms under stronger ratings regulations. While I do not address</w:t>
      </w:r>
      <w:r w:rsidR="003551FB" w:rsidRPr="009278EB">
        <w:rPr>
          <w:sz w:val="16"/>
        </w:rPr>
        <w:t xml:space="preserve"> </w:t>
      </w:r>
      <w:r w:rsidRPr="009278EB">
        <w:rPr>
          <w:sz w:val="16"/>
        </w:rPr>
        <w:t>the question of older-worker employment stemming from ratings regulations, the estimates I</w:t>
      </w:r>
      <w:r w:rsidR="003551FB" w:rsidRPr="009278EB">
        <w:rPr>
          <w:sz w:val="16"/>
        </w:rPr>
        <w:t xml:space="preserve"> </w:t>
      </w:r>
      <w:r w:rsidRPr="009278EB">
        <w:rPr>
          <w:sz w:val="16"/>
        </w:rPr>
        <w:t>present help to quantify the degree to which such policies reduce the costs of employing older</w:t>
      </w:r>
      <w:r w:rsidR="003551FB" w:rsidRPr="009278EB">
        <w:rPr>
          <w:sz w:val="16"/>
        </w:rPr>
        <w:t xml:space="preserve"> </w:t>
      </w:r>
      <w:r w:rsidRPr="009278EB">
        <w:rPr>
          <w:sz w:val="16"/>
        </w:rPr>
        <w:t>workers at small firms.</w:t>
      </w:r>
      <w:r w:rsidR="003551FB" w:rsidRPr="009278EB">
        <w:rPr>
          <w:sz w:val="16"/>
        </w:rPr>
        <w:t xml:space="preserve"> </w:t>
      </w:r>
      <w:r w:rsidRPr="009278EB">
        <w:rPr>
          <w:sz w:val="16"/>
        </w:rPr>
        <w:t>One final institutional influence on the health insurance and employment of older workers is</w:t>
      </w:r>
      <w:r w:rsidR="003551FB" w:rsidRPr="009278EB">
        <w:rPr>
          <w:sz w:val="16"/>
        </w:rPr>
        <w:t xml:space="preserve"> </w:t>
      </w:r>
      <w:r w:rsidRPr="009278EB">
        <w:rPr>
          <w:sz w:val="16"/>
        </w:rPr>
        <w:t>the existence of Medicare as first payer of most insurance claims for seniors employed by firms</w:t>
      </w:r>
      <w:r w:rsidR="003551FB" w:rsidRPr="009278EB">
        <w:rPr>
          <w:sz w:val="16"/>
        </w:rPr>
        <w:t xml:space="preserve"> </w:t>
      </w:r>
      <w:r w:rsidRPr="009278EB">
        <w:rPr>
          <w:sz w:val="16"/>
        </w:rPr>
        <w:t>with fewer than 20 workers. These smallest of employers represent a carve-out from the Medicare</w:t>
      </w:r>
      <w:r w:rsidR="003551FB" w:rsidRPr="009278EB">
        <w:rPr>
          <w:sz w:val="16"/>
        </w:rPr>
        <w:t xml:space="preserve"> </w:t>
      </w:r>
      <w:r w:rsidRPr="009278EB">
        <w:rPr>
          <w:sz w:val="16"/>
        </w:rPr>
        <w:t>as Secondary Payer rules passed by Congress in 1982, which required employers offering health</w:t>
      </w:r>
      <w:r w:rsidR="003551FB" w:rsidRPr="009278EB">
        <w:rPr>
          <w:sz w:val="16"/>
        </w:rPr>
        <w:t xml:space="preserve"> </w:t>
      </w:r>
      <w:r w:rsidRPr="009278EB">
        <w:rPr>
          <w:sz w:val="16"/>
        </w:rPr>
        <w:t>plans to cover Medicare-eligible workers and put employer-provided plans first in line to pay out</w:t>
      </w:r>
      <w:r w:rsidR="003551FB" w:rsidRPr="009278EB">
        <w:rPr>
          <w:sz w:val="16"/>
        </w:rPr>
        <w:t xml:space="preserve"> </w:t>
      </w:r>
      <w:r w:rsidRPr="009278EB">
        <w:rPr>
          <w:sz w:val="16"/>
        </w:rPr>
        <w:t>benefits. The requirement that Medicare act only as second payer for most employers acts as</w:t>
      </w:r>
      <w:r w:rsidR="003551FB" w:rsidRPr="009278EB">
        <w:rPr>
          <w:sz w:val="16"/>
        </w:rPr>
        <w:t xml:space="preserve"> </w:t>
      </w:r>
      <w:r w:rsidRPr="009278EB">
        <w:rPr>
          <w:sz w:val="16"/>
        </w:rPr>
        <w:t>an implicit tax on seniors who work after 65 (Goda, Shoven and Slavov, 2007) and creates a</w:t>
      </w:r>
      <w:r w:rsidR="003551FB" w:rsidRPr="009278EB">
        <w:rPr>
          <w:sz w:val="16"/>
        </w:rPr>
        <w:t xml:space="preserve"> </w:t>
      </w:r>
      <w:r w:rsidRPr="009278EB">
        <w:rPr>
          <w:sz w:val="16"/>
        </w:rPr>
        <w:t>sharp discontinuity between the smallest firms and all other firms in the costs associated with</w:t>
      </w:r>
      <w:r w:rsidR="003551FB" w:rsidRPr="009278EB">
        <w:rPr>
          <w:sz w:val="16"/>
        </w:rPr>
        <w:t xml:space="preserve"> </w:t>
      </w:r>
      <w:r w:rsidRPr="009278EB">
        <w:rPr>
          <w:sz w:val="16"/>
        </w:rPr>
        <w:t>employing seniors.</w:t>
      </w:r>
      <w:r w:rsidR="003551FB" w:rsidRPr="009278EB">
        <w:rPr>
          <w:sz w:val="16"/>
        </w:rPr>
        <w:t xml:space="preserve"> </w:t>
      </w:r>
      <w:r w:rsidRPr="009278EB">
        <w:rPr>
          <w:sz w:val="16"/>
        </w:rPr>
        <w:t xml:space="preserve">3 Data </w:t>
      </w:r>
    </w:p>
    <w:p w14:paraId="042298CF" w14:textId="77777777" w:rsidR="00603E0C" w:rsidRPr="009278EB" w:rsidRDefault="00603E0C" w:rsidP="00603E0C">
      <w:pPr>
        <w:rPr>
          <w:sz w:val="16"/>
        </w:rPr>
      </w:pPr>
    </w:p>
    <w:p w14:paraId="3E4CE9A2" w14:textId="77777777" w:rsidR="00603E0C" w:rsidRPr="009278EB" w:rsidRDefault="00603E0C" w:rsidP="00603E0C">
      <w:pPr>
        <w:rPr>
          <w:sz w:val="16"/>
        </w:rPr>
      </w:pPr>
    </w:p>
    <w:p w14:paraId="27ABBAAE" w14:textId="77777777" w:rsidR="00603E0C" w:rsidRPr="009278EB" w:rsidRDefault="00603E0C" w:rsidP="00603E0C">
      <w:pPr>
        <w:rPr>
          <w:sz w:val="16"/>
        </w:rPr>
      </w:pPr>
    </w:p>
    <w:p w14:paraId="4C008D0F" w14:textId="77777777" w:rsidR="00FA1D49" w:rsidRPr="009278EB" w:rsidRDefault="00FA1D49">
      <w:pPr>
        <w:rPr>
          <w:rFonts w:eastAsiaTheme="majorEastAsia" w:cstheme="majorBidi"/>
          <w:b/>
          <w:iCs/>
          <w:sz w:val="16"/>
        </w:rPr>
      </w:pPr>
      <w:r w:rsidRPr="009278EB">
        <w:rPr>
          <w:sz w:val="16"/>
        </w:rPr>
        <w:br w:type="page"/>
      </w:r>
    </w:p>
    <w:p w14:paraId="0197609D" w14:textId="0028E01C" w:rsidR="00212B64" w:rsidRPr="009278EB" w:rsidRDefault="00212B64" w:rsidP="00212B64">
      <w:pPr>
        <w:pStyle w:val="Heading4"/>
        <w:rPr>
          <w:szCs w:val="26"/>
        </w:rPr>
      </w:pPr>
      <w:r w:rsidRPr="009278EB">
        <w:rPr>
          <w:szCs w:val="26"/>
        </w:rPr>
        <w:t>Complex multi-player systems cause financial devastation and delayed care for old folk</w:t>
      </w:r>
    </w:p>
    <w:p w14:paraId="27620755" w14:textId="77777777" w:rsidR="00212B64" w:rsidRPr="00DD2D90" w:rsidRDefault="00212B64" w:rsidP="00212B64">
      <w:r w:rsidRPr="009278EB">
        <w:rPr>
          <w:b/>
          <w:bCs/>
          <w:sz w:val="26"/>
          <w:szCs w:val="26"/>
        </w:rPr>
        <w:t>Mittal 18</w:t>
      </w:r>
      <w:r w:rsidRPr="00DD2D90">
        <w:t xml:space="preserve"> [Rakhi Mittal, Faculty of Dentistry, National University of Singapore, 2018, “Frail Elderly, Inconspicuous Finance System, Complex Healthcare: Are We Realists or Optimists?” JAMDA, https://sci-hub.ru/10.1016/j.jamda.2018.04.007]/Kankee</w:t>
      </w:r>
    </w:p>
    <w:p w14:paraId="76C0065E" w14:textId="77777777" w:rsidR="00212B64" w:rsidRPr="009278EB" w:rsidRDefault="00212B64" w:rsidP="00212B64">
      <w:pPr>
        <w:rPr>
          <w:sz w:val="16"/>
        </w:rPr>
      </w:pPr>
      <w:r w:rsidRPr="00DD2D90">
        <w:rPr>
          <w:rStyle w:val="StyleUnderline"/>
          <w:highlight w:val="green"/>
        </w:rPr>
        <w:t xml:space="preserve">The </w:t>
      </w:r>
      <w:r w:rsidRPr="00DD2D90">
        <w:rPr>
          <w:rStyle w:val="StyleUnderline"/>
        </w:rPr>
        <w:t xml:space="preserve">frail </w:t>
      </w:r>
      <w:r w:rsidRPr="00DD2D90">
        <w:rPr>
          <w:rStyle w:val="StyleUnderline"/>
          <w:highlight w:val="green"/>
        </w:rPr>
        <w:t>elderly</w:t>
      </w:r>
      <w:r w:rsidRPr="009278EB">
        <w:rPr>
          <w:sz w:val="16"/>
        </w:rPr>
        <w:t xml:space="preserve"> is a group of the older adult population with po- tential needs for long-term care services. At present, we know very little about their health care utilization and health care expenditure. This group is of particular interest because they </w:t>
      </w:r>
      <w:r w:rsidRPr="00DD2D90">
        <w:rPr>
          <w:rStyle w:val="StyleUnderline"/>
          <w:highlight w:val="green"/>
        </w:rPr>
        <w:t>use more</w:t>
      </w:r>
      <w:r w:rsidRPr="00DD2D90">
        <w:rPr>
          <w:rStyle w:val="StyleUnderline"/>
        </w:rPr>
        <w:t xml:space="preserve"> public and private health care </w:t>
      </w:r>
      <w:r w:rsidRPr="00DD2D90">
        <w:rPr>
          <w:rStyle w:val="StyleUnderline"/>
          <w:highlight w:val="green"/>
        </w:rPr>
        <w:t>services</w:t>
      </w:r>
      <w:r w:rsidRPr="00DD2D90">
        <w:rPr>
          <w:rStyle w:val="StyleUnderline"/>
        </w:rPr>
        <w:t xml:space="preserve"> </w:t>
      </w:r>
      <w:r w:rsidRPr="00DD2D90">
        <w:rPr>
          <w:rStyle w:val="StyleUnderline"/>
          <w:highlight w:val="green"/>
        </w:rPr>
        <w:t xml:space="preserve">but because of </w:t>
      </w:r>
      <w:r w:rsidRPr="00DD2D90">
        <w:rPr>
          <w:rStyle w:val="Emphasis"/>
          <w:highlight w:val="green"/>
        </w:rPr>
        <w:t>complex</w:t>
      </w:r>
      <w:r w:rsidRPr="00DD2D90">
        <w:rPr>
          <w:rStyle w:val="StyleUnderline"/>
          <w:highlight w:val="green"/>
        </w:rPr>
        <w:t xml:space="preserve"> financing systems, they</w:t>
      </w:r>
      <w:r w:rsidRPr="00DD2D90">
        <w:rPr>
          <w:rStyle w:val="StyleUnderline"/>
        </w:rPr>
        <w:t xml:space="preserve"> need to </w:t>
      </w:r>
      <w:r w:rsidRPr="00DD2D90">
        <w:rPr>
          <w:rStyle w:val="Emphasis"/>
          <w:highlight w:val="green"/>
        </w:rPr>
        <w:t>delay</w:t>
      </w:r>
      <w:r w:rsidRPr="00DD2D90">
        <w:rPr>
          <w:rStyle w:val="StyleUnderline"/>
        </w:rPr>
        <w:t xml:space="preserve"> their </w:t>
      </w:r>
      <w:r w:rsidRPr="00DD2D90">
        <w:rPr>
          <w:rStyle w:val="StyleUnderline"/>
          <w:highlight w:val="green"/>
        </w:rPr>
        <w:t>treatment at early stages</w:t>
      </w:r>
      <w:r w:rsidRPr="00DD2D90">
        <w:rPr>
          <w:rStyle w:val="StyleUnderline"/>
        </w:rPr>
        <w:t xml:space="preserve">, </w:t>
      </w:r>
      <w:r w:rsidRPr="00DD2D90">
        <w:rPr>
          <w:rStyle w:val="StyleUnderline"/>
          <w:highlight w:val="green"/>
        </w:rPr>
        <w:t>which</w:t>
      </w:r>
      <w:r w:rsidRPr="00DD2D90">
        <w:rPr>
          <w:rStyle w:val="StyleUnderline"/>
        </w:rPr>
        <w:t xml:space="preserve"> eventually </w:t>
      </w:r>
      <w:r w:rsidRPr="00DD2D90">
        <w:rPr>
          <w:rStyle w:val="StyleUnderline"/>
          <w:highlight w:val="green"/>
        </w:rPr>
        <w:t>burdens</w:t>
      </w:r>
      <w:r w:rsidRPr="00DD2D90">
        <w:rPr>
          <w:rStyle w:val="StyleUnderline"/>
        </w:rPr>
        <w:t xml:space="preserve"> </w:t>
      </w:r>
      <w:r w:rsidRPr="00DD2D90">
        <w:rPr>
          <w:rStyle w:val="StyleUnderline"/>
          <w:highlight w:val="green"/>
        </w:rPr>
        <w:t>the</w:t>
      </w:r>
      <w:r w:rsidRPr="00DD2D90">
        <w:rPr>
          <w:rStyle w:val="StyleUnderline"/>
        </w:rPr>
        <w:t xml:space="preserve"> health care </w:t>
      </w:r>
      <w:r w:rsidRPr="00DD2D90">
        <w:rPr>
          <w:rStyle w:val="StyleUnderline"/>
          <w:highlight w:val="green"/>
        </w:rPr>
        <w:t>system during</w:t>
      </w:r>
      <w:r w:rsidRPr="00DD2D90">
        <w:rPr>
          <w:rStyle w:val="StyleUnderline"/>
        </w:rPr>
        <w:t xml:space="preserve"> their </w:t>
      </w:r>
      <w:r w:rsidRPr="00DD2D90">
        <w:rPr>
          <w:rStyle w:val="StyleUnderline"/>
          <w:highlight w:val="green"/>
        </w:rPr>
        <w:t>later</w:t>
      </w:r>
      <w:r w:rsidRPr="00DD2D90">
        <w:rPr>
          <w:rStyle w:val="StyleUnderline"/>
        </w:rPr>
        <w:t xml:space="preserve"> stages of </w:t>
      </w:r>
      <w:r w:rsidRPr="00DD2D90">
        <w:rPr>
          <w:rStyle w:val="StyleUnderline"/>
          <w:highlight w:val="green"/>
        </w:rPr>
        <w:t>life</w:t>
      </w:r>
      <w:r w:rsidRPr="009278EB">
        <w:rPr>
          <w:sz w:val="16"/>
        </w:rPr>
        <w:t xml:space="preserve">. Health care </w:t>
      </w:r>
      <w:r w:rsidRPr="00DD2D90">
        <w:rPr>
          <w:rStyle w:val="StyleUnderline"/>
          <w:highlight w:val="green"/>
        </w:rPr>
        <w:t>insurance</w:t>
      </w:r>
      <w:r w:rsidRPr="009278EB">
        <w:rPr>
          <w:sz w:val="16"/>
        </w:rPr>
        <w:t xml:space="preserve">/subsidy packages </w:t>
      </w:r>
      <w:r w:rsidRPr="00DD2D90">
        <w:rPr>
          <w:rStyle w:val="StyleUnderline"/>
          <w:highlight w:val="green"/>
        </w:rPr>
        <w:t>are not designed</w:t>
      </w:r>
      <w:r w:rsidRPr="00DD2D90">
        <w:rPr>
          <w:rStyle w:val="StyleUnderline"/>
        </w:rPr>
        <w:t xml:space="preserve"> according </w:t>
      </w:r>
      <w:r w:rsidRPr="00DD2D90">
        <w:rPr>
          <w:rStyle w:val="StyleUnderline"/>
          <w:highlight w:val="green"/>
        </w:rPr>
        <w:t>to their</w:t>
      </w:r>
      <w:r w:rsidRPr="00DD2D90">
        <w:rPr>
          <w:rStyle w:val="StyleUnderline"/>
        </w:rPr>
        <w:t xml:space="preserve"> complex </w:t>
      </w:r>
      <w:r w:rsidRPr="00DD2D90">
        <w:rPr>
          <w:rStyle w:val="StyleUnderline"/>
          <w:highlight w:val="green"/>
        </w:rPr>
        <w:t>needs</w:t>
      </w:r>
      <w:r w:rsidRPr="009278EB">
        <w:rPr>
          <w:sz w:val="16"/>
        </w:rPr>
        <w:t xml:space="preserve">; </w:t>
      </w:r>
      <w:r w:rsidRPr="00DD2D90">
        <w:rPr>
          <w:rStyle w:val="StyleUnderline"/>
          <w:highlight w:val="green"/>
        </w:rPr>
        <w:t>rather</w:t>
      </w:r>
      <w:r w:rsidRPr="009278EB">
        <w:rPr>
          <w:sz w:val="16"/>
        </w:rPr>
        <w:t xml:space="preserve">, </w:t>
      </w:r>
      <w:r w:rsidRPr="00DD2D90">
        <w:rPr>
          <w:rStyle w:val="StyleUnderline"/>
        </w:rPr>
        <w:t xml:space="preserve">they are designed </w:t>
      </w:r>
      <w:r w:rsidRPr="00DD2D90">
        <w:rPr>
          <w:rStyle w:val="StyleUnderline"/>
          <w:highlight w:val="green"/>
        </w:rPr>
        <w:t>for the</w:t>
      </w:r>
      <w:r w:rsidRPr="00DD2D90">
        <w:rPr>
          <w:rStyle w:val="StyleUnderline"/>
        </w:rPr>
        <w:t xml:space="preserve"> convenience and </w:t>
      </w:r>
      <w:r w:rsidRPr="00DD2D90">
        <w:rPr>
          <w:rStyle w:val="StyleUnderline"/>
          <w:highlight w:val="green"/>
        </w:rPr>
        <w:t>profit of private companies</w:t>
      </w:r>
      <w:r w:rsidRPr="009278EB">
        <w:rPr>
          <w:sz w:val="16"/>
        </w:rPr>
        <w:t xml:space="preserve">. For example, </w:t>
      </w:r>
      <w:r w:rsidRPr="00DD2D90">
        <w:rPr>
          <w:rStyle w:val="StyleUnderline"/>
        </w:rPr>
        <w:t>home care</w:t>
      </w:r>
      <w:r w:rsidRPr="009278EB">
        <w:rPr>
          <w:sz w:val="16"/>
        </w:rPr>
        <w:t xml:space="preserve"> services delivered to the frail elderly </w:t>
      </w:r>
      <w:r w:rsidRPr="00DD2D90">
        <w:rPr>
          <w:rStyle w:val="StyleUnderline"/>
        </w:rPr>
        <w:t xml:space="preserve">are not </w:t>
      </w:r>
      <w:r w:rsidRPr="009278EB">
        <w:rPr>
          <w:sz w:val="16"/>
        </w:rPr>
        <w:t>fully</w:t>
      </w:r>
      <w:r w:rsidRPr="00DD2D90">
        <w:rPr>
          <w:rStyle w:val="StyleUnderline"/>
        </w:rPr>
        <w:t xml:space="preserve"> subsidized</w:t>
      </w:r>
      <w:r w:rsidRPr="009278EB">
        <w:rPr>
          <w:sz w:val="16"/>
        </w:rPr>
        <w:t xml:space="preserve"> in many Western countries. Other aspects include program eligibility, and means testing in particular (i.e., the extent to which income and assets should deter- mine access to public programs), and the scope of services, specifically the ones more tailored to the dependent older adults. </w:t>
      </w:r>
      <w:r w:rsidRPr="00DD2D90">
        <w:rPr>
          <w:rStyle w:val="StyleUnderline"/>
        </w:rPr>
        <w:t xml:space="preserve">Because of </w:t>
      </w:r>
      <w:r w:rsidRPr="00DD2D90">
        <w:rPr>
          <w:rStyle w:val="StyleUnderline"/>
          <w:highlight w:val="green"/>
        </w:rPr>
        <w:t>multitier financing</w:t>
      </w:r>
      <w:r w:rsidRPr="00DD2D90">
        <w:rPr>
          <w:rStyle w:val="StyleUnderline"/>
        </w:rPr>
        <w:t xml:space="preserve"> </w:t>
      </w:r>
      <w:r w:rsidRPr="00DD2D90">
        <w:rPr>
          <w:rStyle w:val="StyleUnderline"/>
          <w:highlight w:val="green"/>
        </w:rPr>
        <w:t>systems</w:t>
      </w:r>
      <w:r w:rsidRPr="00DD2D90">
        <w:rPr>
          <w:rStyle w:val="StyleUnderline"/>
        </w:rPr>
        <w:t xml:space="preserve">, it </w:t>
      </w:r>
      <w:r w:rsidRPr="00DD2D90">
        <w:rPr>
          <w:rStyle w:val="StyleUnderline"/>
          <w:highlight w:val="green"/>
        </w:rPr>
        <w:t>is difficult for the public to navigate</w:t>
      </w:r>
      <w:r w:rsidRPr="00DD2D90">
        <w:rPr>
          <w:rStyle w:val="StyleUnderline"/>
        </w:rPr>
        <w:t xml:space="preserve"> and find ways to pay their medical bills</w:t>
      </w:r>
      <w:r w:rsidRPr="009278EB">
        <w:rPr>
          <w:sz w:val="16"/>
        </w:rPr>
        <w:t xml:space="preserve">. With an increase in the ageing population, policy makers should transform the way health care is delivered. </w:t>
      </w:r>
      <w:r w:rsidRPr="00DD2D90">
        <w:rPr>
          <w:rStyle w:val="StyleUnderline"/>
          <w:highlight w:val="green"/>
        </w:rPr>
        <w:t xml:space="preserve">Better integration, coordination, use of resources </w:t>
      </w:r>
      <w:r w:rsidRPr="00DD2D90">
        <w:rPr>
          <w:rStyle w:val="StyleUnderline"/>
        </w:rPr>
        <w:t xml:space="preserve">available in the community, </w:t>
      </w:r>
      <w:r w:rsidRPr="00DD2D90">
        <w:rPr>
          <w:rStyle w:val="StyleUnderline"/>
          <w:highlight w:val="green"/>
        </w:rPr>
        <w:t xml:space="preserve">and </w:t>
      </w:r>
      <w:r w:rsidRPr="00DD2D90">
        <w:rPr>
          <w:rStyle w:val="StyleUnderline"/>
        </w:rPr>
        <w:t xml:space="preserve">flexible </w:t>
      </w:r>
      <w:r w:rsidRPr="00DD2D90">
        <w:rPr>
          <w:rStyle w:val="StyleUnderline"/>
          <w:highlight w:val="green"/>
        </w:rPr>
        <w:t>funding should be the</w:t>
      </w:r>
      <w:r w:rsidRPr="00DD2D90">
        <w:rPr>
          <w:rStyle w:val="StyleUnderline"/>
        </w:rPr>
        <w:t xml:space="preserve"> norms of </w:t>
      </w:r>
      <w:r w:rsidRPr="00DD2D90">
        <w:rPr>
          <w:rStyle w:val="StyleUnderline"/>
          <w:highlight w:val="green"/>
        </w:rPr>
        <w:t>future health care</w:t>
      </w:r>
      <w:r w:rsidRPr="009278EB">
        <w:rPr>
          <w:sz w:val="16"/>
        </w:rPr>
        <w:t xml:space="preserve">. For this, we need timely data related to the usage of existing health care insurance packages, health care services and the cost of services offered to the older adult population. </w:t>
      </w:r>
      <w:r w:rsidRPr="00DD2D90">
        <w:rPr>
          <w:rStyle w:val="StyleUnderline"/>
        </w:rPr>
        <w:t xml:space="preserve">Financing </w:t>
      </w:r>
      <w:r w:rsidRPr="00DD2D90">
        <w:rPr>
          <w:rStyle w:val="StyleUnderline"/>
          <w:highlight w:val="green"/>
        </w:rPr>
        <w:t>sys- tems must</w:t>
      </w:r>
      <w:r w:rsidRPr="00DD2D90">
        <w:rPr>
          <w:rStyle w:val="StyleUnderline"/>
        </w:rPr>
        <w:t xml:space="preserve"> be designed</w:t>
      </w:r>
      <w:r w:rsidRPr="009278EB">
        <w:rPr>
          <w:sz w:val="16"/>
        </w:rPr>
        <w:t xml:space="preserve"> not only </w:t>
      </w:r>
      <w:r w:rsidRPr="00DD2D90">
        <w:rPr>
          <w:rStyle w:val="StyleUnderline"/>
        </w:rPr>
        <w:t xml:space="preserve">to allow access to services when they are needed, but also to </w:t>
      </w:r>
      <w:r w:rsidRPr="00DD2D90">
        <w:rPr>
          <w:rStyle w:val="StyleUnderline"/>
          <w:highlight w:val="green"/>
        </w:rPr>
        <w:t>protect users from financial crises by abolishing</w:t>
      </w:r>
      <w:r w:rsidRPr="00DD2D90">
        <w:rPr>
          <w:rStyle w:val="StyleUnderline"/>
        </w:rPr>
        <w:t xml:space="preserve"> </w:t>
      </w:r>
      <w:r w:rsidRPr="00DD2D90">
        <w:rPr>
          <w:rStyle w:val="StyleUnderline"/>
          <w:highlight w:val="green"/>
        </w:rPr>
        <w:t>o</w:t>
      </w:r>
      <w:r w:rsidRPr="00DD2D90">
        <w:rPr>
          <w:rStyle w:val="StyleUnderline"/>
        </w:rPr>
        <w:t>ut-</w:t>
      </w:r>
      <w:r w:rsidRPr="00DD2D90">
        <w:rPr>
          <w:rStyle w:val="StyleUnderline"/>
          <w:highlight w:val="green"/>
        </w:rPr>
        <w:t>o</w:t>
      </w:r>
      <w:r w:rsidRPr="00DD2D90">
        <w:rPr>
          <w:rStyle w:val="StyleUnderline"/>
        </w:rPr>
        <w:t>f-</w:t>
      </w:r>
      <w:r w:rsidRPr="00DD2D90">
        <w:rPr>
          <w:rStyle w:val="StyleUnderline"/>
          <w:highlight w:val="green"/>
        </w:rPr>
        <w:t>p</w:t>
      </w:r>
      <w:r w:rsidRPr="00DD2D90">
        <w:rPr>
          <w:rStyle w:val="StyleUnderline"/>
        </w:rPr>
        <w:t xml:space="preserve">ocket </w:t>
      </w:r>
      <w:r w:rsidRPr="00DD2D90">
        <w:rPr>
          <w:rStyle w:val="StyleUnderline"/>
          <w:highlight w:val="green"/>
        </w:rPr>
        <w:t>spending</w:t>
      </w:r>
      <w:r w:rsidRPr="00DD2D90">
        <w:rPr>
          <w:rStyle w:val="StyleUnderline"/>
        </w:rPr>
        <w:t>, especially for the frail elderly</w:t>
      </w:r>
      <w:r w:rsidRPr="009278EB">
        <w:rPr>
          <w:sz w:val="16"/>
        </w:rPr>
        <w:t>. Over the past 10 years, institutions, organizations, and resources have paid increasing attention to debates on global health for ageing populations. The consensus has been always on universal coverage, but wealthy nations have taken varying approaches to it, with some relying heavily on the government (as with single-payer models), some relying more on private insurers, and others in be- tween.4 The European social model is a model of universal access, but because of increased demand driven by an ageing population, European governments are contemplating the possibility of either “rationing” treatments, or allowing private suppliers a greater role.5 The most common shortcoming of health insurance packages is that they do not include interventions that most older adults are prone to, for example, restorative surgeries, assistive devices, sup- plements, and physical exercise equipment.6 Ensuring universal coverage for health and long-term care for older adults still has a long way to go. Policy makers mapping out efficient funding for older adults should also consider additional funds for caregivers as part of a health care package. Family members are important pillars in car- ing for the older adults at home, yet they are often neglected. In some Western countries like Canada, 1 in 4 Canadians took care of a friend or family member with a serious health problem in 2007.7 Dr Denise Alcock, former dean of the Faculty of Health Sciences at the University of Ottawa, said, “We need to invest much more in caregiver support. If we had national agreement on home care service standards and the ability to allocate appropriate resources, there would be far less pressure on informal caregivers.”8 The Australian Government has been putting numerous efforts into supporting caregivers, including nation al respite programs and financial support.8 It is not practical to have the same health care system around the globe, because of varied demographics, het- erogeneous needs, and complexities within the health care system in different countries.</w:t>
      </w:r>
    </w:p>
    <w:p w14:paraId="3FC13C39" w14:textId="77777777" w:rsidR="00212B64" w:rsidRPr="009278EB" w:rsidRDefault="00212B64" w:rsidP="00212B64">
      <w:pPr>
        <w:rPr>
          <w:sz w:val="16"/>
        </w:rPr>
      </w:pPr>
    </w:p>
    <w:p w14:paraId="73302082" w14:textId="77777777" w:rsidR="00212B64" w:rsidRPr="009278EB" w:rsidRDefault="00212B64" w:rsidP="00212B64">
      <w:pPr>
        <w:rPr>
          <w:sz w:val="16"/>
        </w:rPr>
      </w:pPr>
    </w:p>
    <w:p w14:paraId="185C1836" w14:textId="77777777" w:rsidR="00212B64" w:rsidRPr="009278EB" w:rsidRDefault="00212B64" w:rsidP="00212B64">
      <w:pPr>
        <w:rPr>
          <w:sz w:val="16"/>
        </w:rPr>
      </w:pPr>
    </w:p>
    <w:p w14:paraId="20198232" w14:textId="77777777" w:rsidR="00212B64" w:rsidRPr="009278EB" w:rsidRDefault="00212B64" w:rsidP="00212B64">
      <w:pPr>
        <w:rPr>
          <w:sz w:val="16"/>
        </w:rPr>
      </w:pPr>
    </w:p>
    <w:p w14:paraId="0DA482F2" w14:textId="77777777" w:rsidR="00212B64" w:rsidRPr="009278EB" w:rsidRDefault="00212B64" w:rsidP="00212B64">
      <w:pPr>
        <w:rPr>
          <w:rFonts w:eastAsiaTheme="majorEastAsia" w:cstheme="majorBidi"/>
          <w:b/>
          <w:iCs/>
          <w:sz w:val="16"/>
        </w:rPr>
      </w:pPr>
      <w:r w:rsidRPr="009278EB">
        <w:rPr>
          <w:sz w:val="16"/>
        </w:rPr>
        <w:br w:type="page"/>
      </w:r>
    </w:p>
    <w:p w14:paraId="59FAB24F" w14:textId="77777777" w:rsidR="00212B64" w:rsidRPr="009278EB" w:rsidRDefault="00212B64">
      <w:pPr>
        <w:rPr>
          <w:rFonts w:eastAsiaTheme="majorEastAsia" w:cstheme="majorBidi"/>
          <w:b/>
          <w:iCs/>
          <w:sz w:val="16"/>
        </w:rPr>
      </w:pPr>
      <w:r w:rsidRPr="009278EB">
        <w:rPr>
          <w:sz w:val="16"/>
        </w:rPr>
        <w:br w:type="page"/>
      </w:r>
    </w:p>
    <w:p w14:paraId="5313C8EC" w14:textId="50189436" w:rsidR="00B16888" w:rsidRPr="009278EB" w:rsidRDefault="00B16888" w:rsidP="00B16888">
      <w:pPr>
        <w:pStyle w:val="Heading4"/>
        <w:rPr>
          <w:szCs w:val="26"/>
        </w:rPr>
      </w:pPr>
      <w:r w:rsidRPr="009278EB">
        <w:rPr>
          <w:szCs w:val="26"/>
        </w:rPr>
        <w:t xml:space="preserve">Universal healthcare increase gender health equality and child health </w:t>
      </w:r>
    </w:p>
    <w:p w14:paraId="390FF275" w14:textId="77777777" w:rsidR="00B16888" w:rsidRPr="00DD2D90" w:rsidRDefault="00B16888" w:rsidP="00B16888">
      <w:pPr>
        <w:rPr>
          <w:rFonts w:eastAsia="Calibri"/>
        </w:rPr>
      </w:pPr>
      <w:r w:rsidRPr="009278EB">
        <w:rPr>
          <w:rFonts w:eastAsia="Calibri"/>
          <w:b/>
          <w:bCs/>
          <w:sz w:val="26"/>
          <w:szCs w:val="26"/>
        </w:rPr>
        <w:t>Quick et. al 14</w:t>
      </w:r>
      <w:r w:rsidRPr="00DD2D90">
        <w:rPr>
          <w:rFonts w:eastAsia="Calibri"/>
        </w:rPr>
        <w:t xml:space="preserve"> [Jonathan Quick, Researcher at Harvard Medical School, Jonathan Jay, Researcher at Management Sciences for Health, Ana Langer, Researcher for the Women and Health Initiative at the Harvard School of Public Health, 1-06-2014, “Improving Women's Health through Universal Health Coverage,” PLOS Medicine, </w:t>
      </w:r>
      <w:hyperlink r:id="rId32">
        <w:r w:rsidRPr="00DD2D90">
          <w:rPr>
            <w:rFonts w:eastAsia="Calibri"/>
          </w:rPr>
          <w:t>https://pmc.ncbi.nlm.nih.gov/articles/PMC3882205/?</w:t>
        </w:r>
      </w:hyperlink>
      <w:r w:rsidRPr="00DD2D90">
        <w:rPr>
          <w:rFonts w:eastAsia="Calibri"/>
        </w:rPr>
        <w:t>]/Kankee</w:t>
      </w:r>
    </w:p>
    <w:p w14:paraId="33D53B7C" w14:textId="77777777" w:rsidR="00B16888" w:rsidRPr="009278EB" w:rsidRDefault="00B16888" w:rsidP="00B16888">
      <w:pPr>
        <w:rPr>
          <w:rFonts w:eastAsia="Calibri"/>
          <w:sz w:val="16"/>
        </w:rPr>
      </w:pPr>
      <w:r w:rsidRPr="009278EB">
        <w:rPr>
          <w:rFonts w:eastAsia="Calibri"/>
          <w:sz w:val="16"/>
        </w:rPr>
        <w:t xml:space="preserve">Points Unequal access to health care contributes to shortcomings in women's health at all ages. The post-2015 United Nations development framework must address these inequalities globally. </w:t>
      </w:r>
      <w:r w:rsidRPr="00DD2D90">
        <w:rPr>
          <w:rFonts w:eastAsia="Calibri"/>
          <w:highlight w:val="green"/>
          <w:u w:val="single"/>
        </w:rPr>
        <w:t>Universal health coverage</w:t>
      </w:r>
      <w:r w:rsidRPr="009278EB">
        <w:rPr>
          <w:rFonts w:eastAsia="Calibri"/>
          <w:sz w:val="16"/>
        </w:rPr>
        <w:t xml:space="preserve"> (UHC) is considered a leading candidate among health-related targets. It </w:t>
      </w:r>
      <w:r w:rsidRPr="00DD2D90">
        <w:rPr>
          <w:rFonts w:eastAsia="Calibri"/>
          <w:u w:val="single"/>
        </w:rPr>
        <w:t xml:space="preserve">is the one approach that </w:t>
      </w:r>
      <w:r w:rsidRPr="00DD2D90">
        <w:rPr>
          <w:rFonts w:eastAsia="Calibri"/>
          <w:b/>
          <w:bCs/>
          <w:highlight w:val="green"/>
          <w:u w:val="single"/>
        </w:rPr>
        <w:t>reduces inequitable access</w:t>
      </w:r>
      <w:r w:rsidRPr="00DD2D90">
        <w:rPr>
          <w:rFonts w:eastAsia="Calibri"/>
          <w:highlight w:val="green"/>
          <w:u w:val="single"/>
        </w:rPr>
        <w:t xml:space="preserve"> and addresses </w:t>
      </w:r>
      <w:r w:rsidRPr="00DD2D90">
        <w:rPr>
          <w:rFonts w:eastAsia="Calibri"/>
          <w:u w:val="single"/>
        </w:rPr>
        <w:t>the full range of women's health issues with the full spectrum of health services.</w:t>
      </w:r>
      <w:r w:rsidRPr="009278EB">
        <w:rPr>
          <w:rFonts w:eastAsia="Calibri"/>
          <w:sz w:val="16"/>
        </w:rPr>
        <w:t xml:space="preserve"> </w:t>
      </w:r>
      <w:r w:rsidRPr="00DD2D90">
        <w:rPr>
          <w:rFonts w:eastAsia="Calibri"/>
          <w:u w:val="single"/>
        </w:rPr>
        <w:t xml:space="preserve">UHC has proven a powerful driver for </w:t>
      </w:r>
      <w:r w:rsidRPr="00DD2D90">
        <w:rPr>
          <w:rFonts w:eastAsia="Calibri"/>
          <w:highlight w:val="green"/>
          <w:u w:val="single"/>
        </w:rPr>
        <w:t>women's health in low- and middle-income countries</w:t>
      </w:r>
      <w:r w:rsidRPr="00DD2D90">
        <w:rPr>
          <w:rFonts w:eastAsia="Calibri"/>
          <w:u w:val="single"/>
        </w:rPr>
        <w:t xml:space="preserve"> including Afghanistan, Mexico, Rwanda, and Thailand. </w:t>
      </w:r>
      <w:r w:rsidRPr="009278EB">
        <w:rPr>
          <w:rFonts w:eastAsia="Calibri"/>
          <w:sz w:val="16"/>
        </w:rPr>
        <w:t xml:space="preserve">Success requires a gender-sensitive approach to design and implementation around (1) the essential services package, (2) improving access to services, (3) eliminating financial barriers, (4) reducing social barriers, and (5) performance monitoring. To expand coverage and effectively deliver quality services to all women, health systems must become stronger around leadership, management, financing, human resources, community involvement, and other critical elements. </w:t>
      </w:r>
      <w:r w:rsidRPr="00DD2D90">
        <w:rPr>
          <w:rFonts w:eastAsia="Calibri"/>
          <w:u w:val="single"/>
        </w:rPr>
        <w:t xml:space="preserve">Essential measures of UHC include women's access to health care, </w:t>
      </w:r>
      <w:r w:rsidRPr="00DD2D90">
        <w:rPr>
          <w:rFonts w:eastAsia="Calibri"/>
          <w:b/>
          <w:bCs/>
          <w:u w:val="single"/>
        </w:rPr>
        <w:t>coverage equity</w:t>
      </w:r>
      <w:r w:rsidRPr="00DD2D90">
        <w:rPr>
          <w:rFonts w:eastAsia="Calibri"/>
          <w:u w:val="single"/>
        </w:rPr>
        <w:t xml:space="preserve"> for essential services for women, financial protection for women and impact on women's health outcomes. </w:t>
      </w:r>
      <w:r w:rsidRPr="009278EB">
        <w:rPr>
          <w:rFonts w:eastAsia="Calibri"/>
          <w:sz w:val="16"/>
        </w:rPr>
        <w:t xml:space="preserve">Post-2015 UHC indicators should retain the Millennium Development Goals' focus on priority health outcomes. Women's health must be a shared agenda for which success requires active engagement by country political and health leadership; civil society, including advocates for women's health, sexual, and reproductive health rights; multilateral agencies; global health funders; and all others concerned with women's health and equity. With the Millennium Development Goals (MDGs) expiring in 2015, the world awaits a new, ambitious framework for improving lives. This framework must pass the vital test of reducing inequalities, especially gender-related ones, as a critical step towards the improvement of women's health. Measurably improving women's health throughout the life course will contribute to other post-2015 goals. Conversely, women's social empowerment through education, participation in the labor market, and political representation will improve health. For this virtuous cycle to occur, the next iteration of the </w:t>
      </w:r>
      <w:r w:rsidRPr="00DD2D90">
        <w:rPr>
          <w:rStyle w:val="StyleUnderline"/>
        </w:rPr>
        <w:t xml:space="preserve">development goals has to embrace women's health </w:t>
      </w:r>
      <w:r w:rsidRPr="009278EB">
        <w:rPr>
          <w:rFonts w:eastAsia="Calibri"/>
          <w:sz w:val="16"/>
        </w:rPr>
        <w:t xml:space="preserve">and wellbeing </w:t>
      </w:r>
      <w:r w:rsidRPr="00DD2D90">
        <w:rPr>
          <w:rStyle w:val="StyleUnderline"/>
        </w:rPr>
        <w:t>as a key</w:t>
      </w:r>
      <w:r w:rsidRPr="009278EB">
        <w:rPr>
          <w:rFonts w:eastAsia="Calibri"/>
          <w:sz w:val="16"/>
        </w:rPr>
        <w:t xml:space="preserve"> </w:t>
      </w:r>
      <w:r w:rsidRPr="00DD2D90">
        <w:rPr>
          <w:rStyle w:val="StyleUnderline"/>
        </w:rPr>
        <w:t>priority</w:t>
      </w:r>
      <w:r w:rsidRPr="009278EB">
        <w:rPr>
          <w:rFonts w:eastAsia="Calibri"/>
          <w:sz w:val="16"/>
        </w:rPr>
        <w:t xml:space="preserve">, particularly since indicators for women's health in the current MDGs, including maternal mortality, are among those lagging farthest behind [1]. </w:t>
      </w:r>
      <w:r w:rsidRPr="00DD2D90">
        <w:rPr>
          <w:rFonts w:eastAsia="Calibri"/>
          <w:highlight w:val="green"/>
          <w:u w:val="single"/>
        </w:rPr>
        <w:t xml:space="preserve">Health systems </w:t>
      </w:r>
      <w:r w:rsidRPr="00DD2D90">
        <w:rPr>
          <w:rFonts w:eastAsia="Calibri"/>
          <w:u w:val="single"/>
        </w:rPr>
        <w:t xml:space="preserve">have </w:t>
      </w:r>
      <w:r w:rsidRPr="00DD2D90">
        <w:rPr>
          <w:rFonts w:eastAsia="Calibri"/>
          <w:highlight w:val="green"/>
          <w:u w:val="single"/>
        </w:rPr>
        <w:t>failed to provide contraceptive access to many women who wish to delay or avoid pregnancy</w:t>
      </w:r>
      <w:r w:rsidRPr="009278EB">
        <w:rPr>
          <w:rFonts w:eastAsia="Calibri"/>
          <w:sz w:val="16"/>
        </w:rPr>
        <w:t xml:space="preserve">, especially for poor women [2]. </w:t>
      </w:r>
      <w:r w:rsidRPr="00DD2D90">
        <w:rPr>
          <w:rFonts w:eastAsia="Calibri"/>
          <w:highlight w:val="green"/>
          <w:u w:val="single"/>
        </w:rPr>
        <w:t xml:space="preserve">Slow progress </w:t>
      </w:r>
      <w:r w:rsidRPr="00DD2D90">
        <w:rPr>
          <w:rFonts w:eastAsia="Calibri"/>
          <w:u w:val="single"/>
        </w:rPr>
        <w:t xml:space="preserve">also </w:t>
      </w:r>
      <w:r w:rsidRPr="00DD2D90">
        <w:rPr>
          <w:rFonts w:eastAsia="Calibri"/>
          <w:highlight w:val="green"/>
          <w:u w:val="single"/>
        </w:rPr>
        <w:t xml:space="preserve">reflects a </w:t>
      </w:r>
      <w:r w:rsidRPr="00DD2D90">
        <w:rPr>
          <w:rFonts w:eastAsia="Calibri"/>
          <w:b/>
          <w:bCs/>
          <w:highlight w:val="green"/>
          <w:u w:val="single"/>
        </w:rPr>
        <w:t>failure</w:t>
      </w:r>
      <w:r w:rsidRPr="00DD2D90">
        <w:rPr>
          <w:rFonts w:eastAsia="Calibri"/>
          <w:highlight w:val="green"/>
          <w:u w:val="single"/>
        </w:rPr>
        <w:t xml:space="preserve"> to address complications of pregnancy and childbirth</w:t>
      </w:r>
      <w:r w:rsidRPr="009278EB">
        <w:rPr>
          <w:rFonts w:eastAsia="Calibri"/>
          <w:sz w:val="16"/>
        </w:rPr>
        <w:t xml:space="preserve">, such as life-threatening hemorrhage and hypertension. The ongoing policy debates around the post-2015 development agenda provide a unique window of opportunity to redress these limitations and advance a comprehensive women's health agenda. </w:t>
      </w:r>
      <w:r w:rsidRPr="00DD2D90">
        <w:rPr>
          <w:rStyle w:val="StyleUnderline"/>
          <w:highlight w:val="green"/>
        </w:rPr>
        <w:t>There is</w:t>
      </w:r>
      <w:r w:rsidRPr="009278EB">
        <w:rPr>
          <w:rFonts w:eastAsia="Calibri"/>
          <w:sz w:val="16"/>
          <w:highlight w:val="green"/>
        </w:rPr>
        <w:t xml:space="preserve"> </w:t>
      </w:r>
      <w:r w:rsidRPr="00DD2D90">
        <w:rPr>
          <w:rStyle w:val="StyleUnderline"/>
          <w:highlight w:val="green"/>
        </w:rPr>
        <w:t>a</w:t>
      </w:r>
      <w:r w:rsidRPr="009278EB">
        <w:rPr>
          <w:rFonts w:eastAsia="Calibri"/>
          <w:sz w:val="16"/>
        </w:rPr>
        <w:t xml:space="preserve">n emerging </w:t>
      </w:r>
      <w:r w:rsidRPr="00DD2D90">
        <w:rPr>
          <w:rStyle w:val="Emphasis"/>
          <w:highlight w:val="green"/>
        </w:rPr>
        <w:t>consensus</w:t>
      </w:r>
      <w:r w:rsidRPr="009278EB">
        <w:rPr>
          <w:rFonts w:eastAsia="Calibri"/>
          <w:sz w:val="16"/>
        </w:rPr>
        <w:t xml:space="preserve"> that </w:t>
      </w:r>
      <w:r w:rsidRPr="00DD2D90">
        <w:rPr>
          <w:rFonts w:eastAsia="Calibri"/>
          <w:highlight w:val="green"/>
          <w:u w:val="single"/>
        </w:rPr>
        <w:t xml:space="preserve">universal health coverage </w:t>
      </w:r>
      <w:r w:rsidRPr="00DD2D90">
        <w:rPr>
          <w:rFonts w:eastAsia="Calibri"/>
          <w:u w:val="single"/>
        </w:rPr>
        <w:t xml:space="preserve">(UHC) </w:t>
      </w:r>
      <w:r w:rsidRPr="00DD2D90">
        <w:rPr>
          <w:rFonts w:eastAsia="Calibri"/>
          <w:highlight w:val="green"/>
          <w:u w:val="single"/>
        </w:rPr>
        <w:t xml:space="preserve">is </w:t>
      </w:r>
      <w:r w:rsidRPr="00DD2D90">
        <w:rPr>
          <w:rFonts w:eastAsia="Calibri"/>
          <w:b/>
          <w:bCs/>
          <w:highlight w:val="green"/>
          <w:u w:val="single"/>
        </w:rPr>
        <w:t>an essential means</w:t>
      </w:r>
      <w:r w:rsidRPr="00DD2D90">
        <w:rPr>
          <w:rFonts w:eastAsia="Calibri"/>
          <w:u w:val="single"/>
        </w:rPr>
        <w:t xml:space="preserve"> </w:t>
      </w:r>
      <w:r w:rsidRPr="00DD2D90">
        <w:rPr>
          <w:rFonts w:eastAsia="Calibri"/>
          <w:highlight w:val="green"/>
          <w:u w:val="single"/>
        </w:rPr>
        <w:t>of</w:t>
      </w:r>
      <w:r w:rsidRPr="00DD2D90">
        <w:rPr>
          <w:rFonts w:eastAsia="Calibri"/>
          <w:u w:val="single"/>
        </w:rPr>
        <w:t xml:space="preserve"> achieving post-2015 health goals and may represent a valuable goal or target in itself</w:t>
      </w:r>
      <w:r w:rsidRPr="009278EB">
        <w:rPr>
          <w:rFonts w:eastAsia="Calibri"/>
          <w:sz w:val="16"/>
        </w:rPr>
        <w:t xml:space="preserve"> [3]–[5]. UHC, according to the World Health Organization (WHO), is the goal that all people can obtain the prevention and treatment health services they need without suffering financial hardship when paying for them [6]. Supported by growing evidence [7], proponents argue that </w:t>
      </w:r>
      <w:r w:rsidRPr="00DD2D90">
        <w:rPr>
          <w:rStyle w:val="StyleUnderline"/>
        </w:rPr>
        <w:t xml:space="preserve">UHC can improve population health and promote economic development by </w:t>
      </w:r>
      <w:r w:rsidRPr="00DD2D90">
        <w:rPr>
          <w:rStyle w:val="StyleUnderline"/>
          <w:highlight w:val="green"/>
        </w:rPr>
        <w:t>lifting</w:t>
      </w:r>
      <w:r w:rsidRPr="00DD2D90">
        <w:rPr>
          <w:rStyle w:val="StyleUnderline"/>
        </w:rPr>
        <w:t xml:space="preserve"> the </w:t>
      </w:r>
      <w:r w:rsidRPr="00DD2D90">
        <w:rPr>
          <w:rStyle w:val="StyleUnderline"/>
          <w:highlight w:val="green"/>
        </w:rPr>
        <w:t>barriers</w:t>
      </w:r>
      <w:r w:rsidRPr="00DD2D90">
        <w:rPr>
          <w:rStyle w:val="StyleUnderline"/>
        </w:rPr>
        <w:t xml:space="preserve"> </w:t>
      </w:r>
      <w:r w:rsidRPr="00DD2D90">
        <w:rPr>
          <w:rStyle w:val="StyleUnderline"/>
          <w:highlight w:val="green"/>
        </w:rPr>
        <w:t xml:space="preserve">created by </w:t>
      </w:r>
      <w:r w:rsidRPr="00DD2D90">
        <w:rPr>
          <w:rStyle w:val="Emphasis"/>
          <w:highlight w:val="green"/>
        </w:rPr>
        <w:t>unequal access</w:t>
      </w:r>
      <w:r w:rsidRPr="00DD2D90">
        <w:rPr>
          <w:rStyle w:val="StyleUnderline"/>
        </w:rPr>
        <w:t xml:space="preserve"> to quality health care services</w:t>
      </w:r>
      <w:r w:rsidRPr="009278EB">
        <w:rPr>
          <w:rFonts w:eastAsia="Calibri"/>
          <w:sz w:val="16"/>
        </w:rPr>
        <w:t xml:space="preserve">. To deliver on this promise, UHC efforts must be designed, implemented, and measured appropriately. In this article we analyze the connection between UHC and the women's health agenda, recommending policy measures that can help to ensure that adoption of UHC, as part of the post-2015 framework and implementation of UHC in national health systems, will directly contribute to improving women's health. UHC Efforts in Low- and Middle-Income Countries Countries employ different mechanisms in their efforts to achieve UHC. Beyond the vision of improving health care access and reducing financial hardship, their approaches share common traits. There is a characteristic transition from individual out-of-pocket expenditure towards prepayment and risk pooling, often through a new mechanism such as a national health insurance scheme [8]. Government subsidies support those who cannot afford premiums. Increased subsidies are made possible through greater government expenditure on health, often using revenue from new taxes, international assistance, and other mechanisms. For governments, stewardship over pooled funds provides a “control knob” [9] to rationalize service delivery, using predefined benefits packages and more efficient delivery systems. This capability will be a major step forward in countries where spending is mostly out-of-pocket and health systems are weak. Typically, UHC programs define a basic package of health services, which every enrollee can expect to receive. Determining this package is a key component of UHC design. The UHC movement has promoted, as its first priority, making vital primary care services available to everybody, especially the most vulnerable members of society, which usually include women and children. This approach is most equitable and appears most effective for reducing preventable mortality [10]. Financing and service delivery reforms will differ according to a country's level of existing health system, economic development, and other factors. But </w:t>
      </w:r>
      <w:r w:rsidRPr="00DD2D90">
        <w:rPr>
          <w:rStyle w:val="StyleUnderline"/>
          <w:highlight w:val="green"/>
        </w:rPr>
        <w:t>progress toward UHC is possible</w:t>
      </w:r>
      <w:r w:rsidRPr="00DD2D90">
        <w:rPr>
          <w:rStyle w:val="StyleUnderline"/>
        </w:rPr>
        <w:t xml:space="preserve"> </w:t>
      </w:r>
      <w:r w:rsidRPr="00DD2D90">
        <w:rPr>
          <w:rStyle w:val="Emphasis"/>
          <w:highlight w:val="green"/>
        </w:rPr>
        <w:t>everywhere</w:t>
      </w:r>
      <w:r w:rsidRPr="009278EB">
        <w:rPr>
          <w:rFonts w:eastAsia="Calibri"/>
          <w:sz w:val="16"/>
        </w:rPr>
        <w:t xml:space="preserve">. Evidence supports the effectiveness of UHC reforms for improving financial protection and increasing the utilization of key health services (such as antenatal care), especially among poor people [7]. Inequities in Women's Health Inequities affecting women's health have been widely documented throughout the entire life course from the girl child to the older woman [11],[12]. An extensive WHO analysis of women and health confirms, for example, the extent of deaths from unsafe abortion, the limited progress in reducing unmet need for family planning in sub-Saharan Africa, and the reality that roughly </w:t>
      </w:r>
      <w:r w:rsidRPr="00DD2D90">
        <w:rPr>
          <w:rStyle w:val="StyleUnderline"/>
        </w:rPr>
        <w:t>80% of cervical cancers occur in countries where prevention, screening, and treatment are limited</w:t>
      </w:r>
      <w:r w:rsidRPr="009278EB">
        <w:rPr>
          <w:rFonts w:eastAsia="Calibri"/>
          <w:sz w:val="16"/>
        </w:rPr>
        <w:t xml:space="preserve"> or non-existent [11]. In a Countdown to 2015 study of 54 countries, Barros et al. [13] found that </w:t>
      </w:r>
      <w:r w:rsidRPr="00DD2D90">
        <w:rPr>
          <w:rStyle w:val="StyleUnderline"/>
        </w:rPr>
        <w:t>among 12 maternal and child health indicators, the three with the greatest income-related inequity were all for women's health services</w:t>
      </w:r>
      <w:r w:rsidRPr="009278EB">
        <w:rPr>
          <w:rFonts w:eastAsia="Calibri"/>
          <w:sz w:val="16"/>
        </w:rPr>
        <w:t xml:space="preserve">. </w:t>
      </w:r>
      <w:r w:rsidRPr="00DD2D90">
        <w:rPr>
          <w:rStyle w:val="StyleUnderline"/>
        </w:rPr>
        <w:t>Coverage of skilled birth attendants was the least equitable,</w:t>
      </w:r>
      <w:r w:rsidRPr="009278EB">
        <w:rPr>
          <w:rFonts w:eastAsia="Calibri"/>
          <w:sz w:val="16"/>
        </w:rPr>
        <w:t xml:space="preserve"> with a mean coverage of 32.3% versus 84.4% for the poorest and richest quintiles, respectively. This indicator was followed by four or more antenatal visits (35.9% versus 70.5%), then family planning needs satisfied (41.4% versus 67.0%). In a related study, Victora and colleagues [14] found that </w:t>
      </w:r>
      <w:r w:rsidRPr="00DD2D90">
        <w:rPr>
          <w:rStyle w:val="StyleUnderline"/>
        </w:rPr>
        <w:t>rapid increases in antenatal coverage</w:t>
      </w:r>
      <w:r w:rsidRPr="009278EB">
        <w:rPr>
          <w:rFonts w:eastAsia="Calibri"/>
          <w:sz w:val="16"/>
        </w:rPr>
        <w:t xml:space="preserve"> (as might be seen </w:t>
      </w:r>
      <w:r w:rsidRPr="00DD2D90">
        <w:rPr>
          <w:rStyle w:val="StyleUnderline"/>
        </w:rPr>
        <w:t>with UHC</w:t>
      </w:r>
      <w:r w:rsidRPr="009278EB">
        <w:rPr>
          <w:rFonts w:eastAsia="Calibri"/>
          <w:sz w:val="16"/>
        </w:rPr>
        <w:t xml:space="preserve">) </w:t>
      </w:r>
      <w:r w:rsidRPr="00DD2D90">
        <w:rPr>
          <w:rStyle w:val="StyleUnderline"/>
        </w:rPr>
        <w:t>was associated with improved equity</w:t>
      </w:r>
      <w:r w:rsidRPr="009278EB">
        <w:rPr>
          <w:rFonts w:eastAsia="Calibri"/>
          <w:sz w:val="16"/>
        </w:rPr>
        <w:t xml:space="preserve">. Addressing Health Care Inequalities through UHC </w:t>
      </w:r>
      <w:r w:rsidRPr="00DD2D90">
        <w:rPr>
          <w:rStyle w:val="StyleUnderline"/>
        </w:rPr>
        <w:t>Women</w:t>
      </w:r>
      <w:r w:rsidRPr="009278EB">
        <w:rPr>
          <w:rFonts w:eastAsia="Calibri"/>
          <w:sz w:val="16"/>
        </w:rPr>
        <w:t xml:space="preserve">, children, and others most visibly affected by health care inequalities stand to </w:t>
      </w:r>
      <w:r w:rsidRPr="00DD2D90">
        <w:rPr>
          <w:rStyle w:val="StyleUnderline"/>
        </w:rPr>
        <w:t>gain the most from</w:t>
      </w:r>
      <w:r w:rsidRPr="009278EB">
        <w:rPr>
          <w:rFonts w:eastAsia="Calibri"/>
          <w:sz w:val="16"/>
        </w:rPr>
        <w:t xml:space="preserve"> well-designed </w:t>
      </w:r>
      <w:r w:rsidRPr="00DD2D90">
        <w:rPr>
          <w:rStyle w:val="StyleUnderline"/>
        </w:rPr>
        <w:t>UHC</w:t>
      </w:r>
      <w:r w:rsidRPr="009278EB">
        <w:rPr>
          <w:rFonts w:eastAsia="Calibri"/>
          <w:sz w:val="16"/>
        </w:rPr>
        <w:t xml:space="preserve"> programs. First, </w:t>
      </w:r>
      <w:r w:rsidRPr="00DD2D90">
        <w:rPr>
          <w:rStyle w:val="StyleUnderline"/>
          <w:highlight w:val="green"/>
        </w:rPr>
        <w:t>UHC removes financial barriers</w:t>
      </w:r>
      <w:r w:rsidRPr="009278EB">
        <w:rPr>
          <w:rFonts w:eastAsia="Calibri"/>
          <w:sz w:val="16"/>
        </w:rPr>
        <w:t xml:space="preserve"> </w:t>
      </w:r>
      <w:r w:rsidRPr="00DD2D90">
        <w:rPr>
          <w:rStyle w:val="StyleUnderline"/>
        </w:rPr>
        <w:t>such as user fees</w:t>
      </w:r>
      <w:r w:rsidRPr="009278EB">
        <w:rPr>
          <w:rFonts w:eastAsia="Calibri"/>
          <w:sz w:val="16"/>
        </w:rPr>
        <w:t xml:space="preserve"> at the point of service, </w:t>
      </w:r>
      <w:r w:rsidRPr="00DD2D90">
        <w:rPr>
          <w:rStyle w:val="StyleUnderline"/>
          <w:highlight w:val="green"/>
        </w:rPr>
        <w:t>reducing burdens on poor</w:t>
      </w:r>
      <w:r w:rsidRPr="009278EB">
        <w:rPr>
          <w:rFonts w:eastAsia="Calibri"/>
          <w:sz w:val="16"/>
        </w:rPr>
        <w:t xml:space="preserve"> </w:t>
      </w:r>
      <w:r w:rsidRPr="00DD2D90">
        <w:rPr>
          <w:rStyle w:val="StyleUnderline"/>
          <w:highlight w:val="green"/>
        </w:rPr>
        <w:t>people</w:t>
      </w:r>
      <w:r w:rsidRPr="009278EB">
        <w:rPr>
          <w:rFonts w:eastAsia="Calibri"/>
          <w:sz w:val="16"/>
        </w:rPr>
        <w:t xml:space="preserve">, and especially </w:t>
      </w:r>
      <w:r w:rsidRPr="00DD2D90">
        <w:rPr>
          <w:rStyle w:val="StyleUnderline"/>
          <w:highlight w:val="green"/>
        </w:rPr>
        <w:t>women</w:t>
      </w:r>
      <w:r w:rsidRPr="009278EB">
        <w:rPr>
          <w:rFonts w:eastAsia="Calibri"/>
          <w:sz w:val="16"/>
        </w:rPr>
        <w:t xml:space="preserve">, </w:t>
      </w:r>
      <w:r w:rsidRPr="00DD2D90">
        <w:rPr>
          <w:rStyle w:val="StyleUnderline"/>
        </w:rPr>
        <w:t>who</w:t>
      </w:r>
      <w:r w:rsidRPr="009278EB">
        <w:rPr>
          <w:rFonts w:eastAsia="Calibri"/>
          <w:sz w:val="16"/>
        </w:rPr>
        <w:t xml:space="preserve"> often </w:t>
      </w:r>
      <w:r w:rsidRPr="00DD2D90">
        <w:rPr>
          <w:rStyle w:val="StyleUnderline"/>
          <w:highlight w:val="green"/>
        </w:rPr>
        <w:t>have</w:t>
      </w:r>
      <w:r w:rsidRPr="00DD2D90">
        <w:rPr>
          <w:rStyle w:val="StyleUnderline"/>
        </w:rPr>
        <w:t xml:space="preserve"> primary responsibility for their families' health care but </w:t>
      </w:r>
      <w:r w:rsidRPr="00DD2D90">
        <w:rPr>
          <w:rStyle w:val="StyleUnderline"/>
          <w:highlight w:val="green"/>
        </w:rPr>
        <w:t>lesser access to cash</w:t>
      </w:r>
      <w:r w:rsidRPr="009278EB">
        <w:rPr>
          <w:rFonts w:eastAsia="Calibri"/>
          <w:sz w:val="16"/>
        </w:rPr>
        <w:t xml:space="preserve">. Second, while UHC efforts do not guarantee universal access to every possible health care service, they typically provide at least a basic set of high-impact primary care interventions to all users. Basic services packages can and usually do provide core reproductive and maternal health services, including necessary interventions for safe, effective contraception and the basic services proven to prevent the vast majority of maternal deaths [15]. In Afghanistan, a low-cost basic services package implemented in 2003 (see Box 1) consisted almost entirely of interventions for family planning and addressing the most common causes of maternal and child mortality [16]. Box 1. Expanding Coverage in Afghanistan The Afghan health system demonstrates how a UHC approach can prioritize key women's health services, even in challenging settings. In 2003, the Afghan Minister of Public Health, Dr. Suhayla Seddiqi, announced a move towards UHC that rolled out a nationwide essential benefits package. It emphasized basic primary care interventions like those for family planning and maternal health [16], largely delivered by a new cadre of community health workers and community midwives [33]. Coverage improved: between 2003 and 2010, women's contraceptive use doubled, from 10% to 20%, and access to skilled antenatal care increased from 16% to 60% [34]. Though maternal mortality is still high (approximately 300–400 deaths per 100,000 births), it has dropped two-thirds since 2002, and is lower than would be predicted for a country where three-quarters of women receive no education [35]. If </w:t>
      </w:r>
      <w:r w:rsidRPr="00DD2D90">
        <w:rPr>
          <w:rStyle w:val="StyleUnderline"/>
          <w:highlight w:val="green"/>
        </w:rPr>
        <w:t>UHC</w:t>
      </w:r>
      <w:r w:rsidRPr="009278EB">
        <w:rPr>
          <w:rFonts w:eastAsia="Calibri"/>
          <w:sz w:val="16"/>
        </w:rPr>
        <w:t xml:space="preserve"> had been complemented with effective efforts to </w:t>
      </w:r>
      <w:r w:rsidRPr="00DD2D90">
        <w:rPr>
          <w:rStyle w:val="StyleUnderline"/>
          <w:highlight w:val="green"/>
        </w:rPr>
        <w:t>reduce poverty</w:t>
      </w:r>
      <w:r w:rsidRPr="009278EB">
        <w:rPr>
          <w:rFonts w:eastAsia="Calibri"/>
          <w:sz w:val="16"/>
        </w:rPr>
        <w:t xml:space="preserve"> and conflict, </w:t>
      </w:r>
      <w:r w:rsidRPr="00DD2D90">
        <w:rPr>
          <w:rStyle w:val="StyleUnderline"/>
          <w:highlight w:val="green"/>
        </w:rPr>
        <w:t>and improve</w:t>
      </w:r>
      <w:r w:rsidRPr="00DD2D90">
        <w:rPr>
          <w:rStyle w:val="StyleUnderline"/>
        </w:rPr>
        <w:t xml:space="preserve"> </w:t>
      </w:r>
      <w:r w:rsidRPr="00DD2D90">
        <w:rPr>
          <w:rStyle w:val="Emphasis"/>
          <w:highlight w:val="green"/>
        </w:rPr>
        <w:t>women's rights</w:t>
      </w:r>
      <w:r w:rsidRPr="009278EB">
        <w:rPr>
          <w:rFonts w:eastAsia="Calibri"/>
          <w:sz w:val="16"/>
        </w:rPr>
        <w:t xml:space="preserve">, the progress would have been undoubtedly even greater. Afghanistan Basic Package of Health Services, focus areas: </w:t>
      </w:r>
      <w:r w:rsidRPr="00DD2D90">
        <w:rPr>
          <w:rStyle w:val="StyleUnderline"/>
          <w:highlight w:val="green"/>
        </w:rPr>
        <w:t>child immunization</w:t>
      </w:r>
      <w:r w:rsidRPr="00DD2D90">
        <w:rPr>
          <w:rStyle w:val="StyleUnderline"/>
        </w:rPr>
        <w:t xml:space="preserve"> micro</w:t>
      </w:r>
      <w:r w:rsidRPr="00DD2D90">
        <w:rPr>
          <w:rStyle w:val="StyleUnderline"/>
          <w:highlight w:val="green"/>
        </w:rPr>
        <w:t>nutrient</w:t>
      </w:r>
      <w:r w:rsidRPr="00DD2D90">
        <w:rPr>
          <w:rStyle w:val="StyleUnderline"/>
        </w:rPr>
        <w:t xml:space="preserve"> </w:t>
      </w:r>
      <w:r w:rsidRPr="00DD2D90">
        <w:rPr>
          <w:rStyle w:val="StyleUnderline"/>
          <w:highlight w:val="green"/>
        </w:rPr>
        <w:t>supplement</w:t>
      </w:r>
      <w:r w:rsidRPr="00DD2D90">
        <w:rPr>
          <w:rStyle w:val="StyleUnderline"/>
        </w:rPr>
        <w:t xml:space="preserve">ation and nutrition </w:t>
      </w:r>
      <w:r w:rsidRPr="00DD2D90">
        <w:rPr>
          <w:rStyle w:val="StyleUnderline"/>
          <w:highlight w:val="green"/>
        </w:rPr>
        <w:t>screening tuberculosis and malaria control prenatal, obstetrical, and postpartum care family planning basic curative services</w:t>
      </w:r>
      <w:r w:rsidRPr="009278EB">
        <w:rPr>
          <w:rFonts w:eastAsia="Calibri"/>
          <w:sz w:val="16"/>
        </w:rPr>
        <w:t xml:space="preserve">, including integrated management of childhood illnesses Third, women's interest in health care extends far beyond their own maternal and reproductive health needs. </w:t>
      </w:r>
      <w:r w:rsidRPr="00DD2D90">
        <w:rPr>
          <w:rStyle w:val="StyleUnderline"/>
          <w:highlight w:val="green"/>
        </w:rPr>
        <w:t>Comprehensive care promotes</w:t>
      </w:r>
      <w:r w:rsidRPr="00DD2D90">
        <w:rPr>
          <w:rStyle w:val="StyleUnderline"/>
        </w:rPr>
        <w:t xml:space="preserve"> good </w:t>
      </w:r>
      <w:r w:rsidRPr="00DD2D90">
        <w:rPr>
          <w:rStyle w:val="StyleUnderline"/>
          <w:highlight w:val="green"/>
        </w:rPr>
        <w:t>health</w:t>
      </w:r>
      <w:r w:rsidRPr="00DD2D90">
        <w:rPr>
          <w:rStyle w:val="StyleUnderline"/>
        </w:rPr>
        <w:t xml:space="preserve"> for women and their families </w:t>
      </w:r>
      <w:r w:rsidRPr="00DD2D90">
        <w:rPr>
          <w:rStyle w:val="StyleUnderline"/>
          <w:highlight w:val="green"/>
        </w:rPr>
        <w:t>throughout</w:t>
      </w:r>
      <w:r w:rsidRPr="00DD2D90">
        <w:rPr>
          <w:rStyle w:val="StyleUnderline"/>
        </w:rPr>
        <w:t xml:space="preserve"> their </w:t>
      </w:r>
      <w:r w:rsidRPr="00DD2D90">
        <w:rPr>
          <w:rStyle w:val="StyleUnderline"/>
          <w:highlight w:val="green"/>
        </w:rPr>
        <w:t>lives</w:t>
      </w:r>
      <w:r w:rsidRPr="00DD2D90">
        <w:rPr>
          <w:rStyle w:val="StyleUnderline"/>
        </w:rPr>
        <w:t>, from prevention of low birth weight and prematurity, to childhood nutrition and immunization, to prevention and treatment for chronic conditions such as heart and lung disease, mental health disorders, diabetes, and cancers</w:t>
      </w:r>
      <w:r w:rsidRPr="009278EB">
        <w:rPr>
          <w:rFonts w:eastAsia="Calibri"/>
          <w:sz w:val="16"/>
        </w:rPr>
        <w:t xml:space="preserve">. Services provided in the context of </w:t>
      </w:r>
      <w:r w:rsidRPr="00DD2D90">
        <w:rPr>
          <w:rStyle w:val="StyleUnderline"/>
          <w:highlight w:val="green"/>
        </w:rPr>
        <w:t>UHC become</w:t>
      </w:r>
      <w:r w:rsidRPr="00DD2D90">
        <w:rPr>
          <w:rStyle w:val="StyleUnderline"/>
        </w:rPr>
        <w:t xml:space="preserve"> more </w:t>
      </w:r>
      <w:r w:rsidRPr="00DD2D90">
        <w:rPr>
          <w:rStyle w:val="StyleUnderline"/>
          <w:highlight w:val="green"/>
        </w:rPr>
        <w:t xml:space="preserve">user-friendly as they are </w:t>
      </w:r>
      <w:r w:rsidRPr="00DD2D90">
        <w:rPr>
          <w:rStyle w:val="Emphasis"/>
          <w:highlight w:val="green"/>
        </w:rPr>
        <w:t>integrated</w:t>
      </w:r>
      <w:r w:rsidRPr="009278EB">
        <w:rPr>
          <w:rFonts w:eastAsia="Calibri"/>
          <w:sz w:val="16"/>
        </w:rPr>
        <w:t>—</w:t>
      </w:r>
      <w:r w:rsidRPr="00DD2D90">
        <w:rPr>
          <w:rStyle w:val="StyleUnderline"/>
        </w:rPr>
        <w:t>available from the same provider</w:t>
      </w:r>
      <w:r w:rsidRPr="009278EB">
        <w:rPr>
          <w:rFonts w:eastAsia="Calibri"/>
          <w:sz w:val="16"/>
        </w:rPr>
        <w:t xml:space="preserve"> or under the same roof. Equitable access to integrated, </w:t>
      </w:r>
      <w:r w:rsidRPr="00DD2D90">
        <w:rPr>
          <w:rStyle w:val="StyleUnderline"/>
        </w:rPr>
        <w:t>comprehensive care is more likely in UHC</w:t>
      </w:r>
      <w:r w:rsidRPr="009278EB">
        <w:rPr>
          <w:rFonts w:eastAsia="Calibri"/>
          <w:sz w:val="16"/>
        </w:rPr>
        <w:t xml:space="preserve">-style systems, which enable policymakers and health planners to rationalize service delivery. Designing and Implementing UHC That Works for Women Many low- and middle-income countries are already pursuing UHC [17]. Making UHC a central focus of the post-2015 development framework (discussed below) will encourage many more nations to join these efforts. Well-designed UHC programs have shown positive impacts on women's access to needed health services. In 2003, Seguro Popular (Popular Health Insurance)—a core element of </w:t>
      </w:r>
      <w:r w:rsidRPr="00DD2D90">
        <w:rPr>
          <w:rStyle w:val="StyleUnderline"/>
        </w:rPr>
        <w:t>Mexico's</w:t>
      </w:r>
      <w:r w:rsidRPr="009278EB">
        <w:rPr>
          <w:rFonts w:eastAsia="Calibri"/>
          <w:sz w:val="16"/>
        </w:rPr>
        <w:t xml:space="preserve"> commitment to </w:t>
      </w:r>
      <w:r w:rsidRPr="00DD2D90">
        <w:rPr>
          <w:rStyle w:val="StyleUnderline"/>
        </w:rPr>
        <w:t>UHC</w:t>
      </w:r>
      <w:r w:rsidRPr="009278EB">
        <w:rPr>
          <w:rFonts w:eastAsia="Calibri"/>
          <w:sz w:val="16"/>
        </w:rPr>
        <w:t xml:space="preserve">—was established to dramatically expand population coverage for 90% of the common health conditions. Within its first two years, the new program </w:t>
      </w:r>
      <w:r w:rsidRPr="00DD2D90">
        <w:rPr>
          <w:rStyle w:val="StyleUnderline"/>
        </w:rPr>
        <w:t>was associated with increases in</w:t>
      </w:r>
      <w:r w:rsidRPr="009278EB">
        <w:rPr>
          <w:rFonts w:eastAsia="Calibri"/>
          <w:sz w:val="16"/>
        </w:rPr>
        <w:t xml:space="preserve"> several priority interventions, including four of specific relevance to women: </w:t>
      </w:r>
      <w:r w:rsidRPr="00DD2D90">
        <w:rPr>
          <w:rStyle w:val="StyleUnderline"/>
        </w:rPr>
        <w:t>skilled birth attendance, antenatal care, cervical cancer screening, and mammography</w:t>
      </w:r>
      <w:r w:rsidRPr="009278EB">
        <w:rPr>
          <w:rFonts w:eastAsia="Calibri"/>
          <w:sz w:val="16"/>
        </w:rPr>
        <w:t xml:space="preserve"> [18]. In-depth analyses published nine years later, in 2012, concluded that the </w:t>
      </w:r>
      <w:r w:rsidRPr="00DD2D90">
        <w:rPr>
          <w:rStyle w:val="StyleUnderline"/>
        </w:rPr>
        <w:t>program was</w:t>
      </w:r>
      <w:r w:rsidRPr="009278EB">
        <w:rPr>
          <w:rFonts w:eastAsia="Calibri"/>
          <w:sz w:val="16"/>
        </w:rPr>
        <w:t xml:space="preserve"> “improving access to health services and </w:t>
      </w:r>
      <w:r w:rsidRPr="00DD2D90">
        <w:rPr>
          <w:rStyle w:val="StyleUnderline"/>
        </w:rPr>
        <w:t>reducing the prevalence of catastrophic and impoverishing health expenditures, especially for the poor</w:t>
      </w:r>
      <w:r w:rsidRPr="009278EB">
        <w:rPr>
          <w:rFonts w:eastAsia="Calibri"/>
          <w:sz w:val="16"/>
        </w:rPr>
        <w:t xml:space="preserve">” [19] and generating a wide range of positive impacts on women's health [20]. </w:t>
      </w:r>
      <w:r w:rsidRPr="00DD2D90">
        <w:rPr>
          <w:rStyle w:val="StyleUnderline"/>
        </w:rPr>
        <w:t>Thailand's</w:t>
      </w:r>
      <w:r w:rsidRPr="009278EB">
        <w:rPr>
          <w:rFonts w:eastAsia="Calibri"/>
          <w:sz w:val="16"/>
        </w:rPr>
        <w:t xml:space="preserve"> 2001 </w:t>
      </w:r>
      <w:r w:rsidRPr="00DD2D90">
        <w:rPr>
          <w:rStyle w:val="StyleUnderline"/>
        </w:rPr>
        <w:t>UHC</w:t>
      </w:r>
      <w:r w:rsidRPr="009278EB">
        <w:rPr>
          <w:rFonts w:eastAsia="Calibri"/>
          <w:sz w:val="16"/>
        </w:rPr>
        <w:t xml:space="preserve"> program expanded access to nearly 100% of the population for comprehensive benefit package, which included a wide range of maternal, sexual, and reproductive health services. Equitable public financing </w:t>
      </w:r>
      <w:r w:rsidRPr="00DD2D90">
        <w:rPr>
          <w:rStyle w:val="StyleUnderline"/>
        </w:rPr>
        <w:t>reduced out-of-pocket spending and virtually eliminated medical impoverishment</w:t>
      </w:r>
      <w:r w:rsidRPr="009278EB">
        <w:rPr>
          <w:rFonts w:eastAsia="Calibri"/>
          <w:sz w:val="16"/>
        </w:rPr>
        <w:t xml:space="preserve">. A national study conducted in 2005–2006 found a negligible gap between rich and poor in prenatal care, delivery care, and family planning [21]. In 1999, Rwanda established community-based health insurance (Mutuelles de santé) as part of its strategy for UHC [22]. These and other experiences indicate that for UHC to measurably improve health and equity for women, programs must address five critical factors in their design and implementation: (1) essential services package, (2) access to services, (3) financial barriers, (4) social barriers, and (5) performance indicators (Table 1). Maximizing the benefits of UHC for women also requires strengthening health systems at multiple levels, including financing, human resources, and community involvement. Poor design can reinforce gender inequities, with women falling through the cracks of patchwork insurance schemes, and too narrow a range of reproductive health services available [23]. Low quality of care, often overlooked as services are scaled up, can undermine health impact even when coverage appears to have increased. When improving health systems, women, who play multiple and essential roles as leaders and health care givers in the informal and formal health systems, must be recognized as a key part of the solution and drivers of positive change [24]. Delivering more services requires more service providers. The move towards UHC requires improvements in health workforce recruitment, training, deployment, management, and retention. Community health workers and community midwives can cost-effectively scale up essential women's health services, such as family planning, antenatal care, and delivery attendance, especially in poor and rural settings. However, their effectiveness and sustainability depends on thoughtful management, with particular attention to the challenges women face as providers and users in these settings. Similarly, UHC success depends on the availability and management of essential medicines. Medicines, along with micronutrient supplementation and other life-saving commodities, are central to maternal health, contraception, and other key women's health services. Making these products widely available requires a strong supply chain and trained providers. Effective pharmaceutical management, from procurement to the provider level, is necessary to ensure safety and appropriate use, and to prevent medicines costs from overwhelming UHC budgets [25]. Measuring Impact The MDGs adopted by the UN in 2000 expire in 2015. The MDGs contain three health goals (child mortality, maternal mortality/family planning, and communicable disease) and a gender equality goal. The health MDGs have been credited with focusing international efforts around priority areas, but criticized for reinforcing a vertical (disease-specific) approach and for failing to incorporate equity, which may have incentivized policymakers to focus on the most easily accessible populations. In the framework that will replace the MDGs in 2015, it is expected that there will be only one health goal. Priorities include continued progress on the MDG health agenda and new attention to the growing burden of disease from chronic conditions like cancers, heart and lung disease, and diabetes. WHO and others have considered UHC as an overarching health goal that could incorporate all priorities by improving affordable access to health care services [26]. Others have proposed UHC as a sub-goal alongside disease-specific outcomes target [5]. Both in the post-2015 framework and in country-level policies, some constituencies, including women's health advocates, consider UHC a means and not an end in itself. They worry that a UHC goal would be too detached from real-world priorities, measured only by indicators such as service coverage and financial protection, and would divert attention and resources from actual health outcomes, such as maternal and reproductive health. This pitfall can be avoided by tying the UHC process to specific health impact indicators and service delivery measures. Whether health outcomes stand alongside UHC (as recommended by the Sustainable Development Solutions Network) or fall beneath a UHC “umbrella” in the post-2015 framework, it should be understood that UHC programs are ultimately judged by their impact. At the country level, policymakers should tailor UHC benefits packages to address these specific health targets, then monitor and evaluate progress against them. Among multilateral organizations such as the World Bank and WHO, a push is underway to develop indicators for UHC, especially for potential post-2015 use. National health leaders, academics, civil society (especially advocates for women's health and reproductive rights), and other stakeholders should actively engage in this process. For women's health, the framework should retain key indicators including maternal mortality ratios, adolescent birth rate, contraceptive prevalence rate, and unmet need for family planning (see Table 2). A UHC indicator associated with contraceptive coverage sends a powerful message about reproductive health's essential place in any UHC scheme. Ambitious targets should also reflect our ability to improve reproductive health by scaling up low-cost, high-impact interventions; these include antenatal care, use of skilled birth attendants, and provision of micronutrient supplementation and other life-saving commodities [27] and essential medicines [28] for reproductive health along the continuum of care [29]. For conditions that affect women but are not specific to women, indicators and data collection must disaggregate by sex to highlight gender inequalities in health. Coverage inequality must be carefully defined and systematically assessed [30]. Policy responses to gender-based health inequalities must be comprehensive and multi-sectorial—in maternal health, for example, the unfinished agenda will only be advanced when gender gaps are narrowed, social determinants of poor maternal health are successfully addressed, and neglected aspects of maternal health, such as morbidities and their links with conditions in pre- and post-reproductive stages, are incorporated [31]. Social issues must be recognized within UHC frameworks, while other sectors, such as education and employment, must target health improvement [32]. </w:t>
      </w:r>
      <w:r w:rsidRPr="00DD2D90">
        <w:rPr>
          <w:rStyle w:val="StyleUnderline"/>
        </w:rPr>
        <w:t xml:space="preserve">Women's health should be understood as a </w:t>
      </w:r>
      <w:r w:rsidRPr="00DD2D90">
        <w:rPr>
          <w:rStyle w:val="Emphasis"/>
        </w:rPr>
        <w:t>priority</w:t>
      </w:r>
      <w:r w:rsidRPr="009278EB">
        <w:rPr>
          <w:rFonts w:eastAsia="Calibri"/>
          <w:sz w:val="16"/>
        </w:rPr>
        <w:t xml:space="preserve"> cutting across the entire post-2015 framework. UHC and Women's Health: A Shared Agenda As examples from Afghanistan, Mexico, Rwanda, Thailand, and other countries demonstrate, </w:t>
      </w:r>
      <w:r w:rsidRPr="00DD2D90">
        <w:rPr>
          <w:rStyle w:val="StyleUnderline"/>
        </w:rPr>
        <w:t xml:space="preserve">commitment to UHC can be a </w:t>
      </w:r>
      <w:r w:rsidRPr="00DD2D90">
        <w:rPr>
          <w:rStyle w:val="Emphasis"/>
        </w:rPr>
        <w:t>powerful driver</w:t>
      </w:r>
      <w:r w:rsidRPr="00DD2D90">
        <w:rPr>
          <w:rStyle w:val="StyleUnderline"/>
        </w:rPr>
        <w:t xml:space="preserve"> to improve health</w:t>
      </w:r>
      <w:r w:rsidRPr="009278EB">
        <w:rPr>
          <w:rFonts w:eastAsia="Calibri"/>
          <w:sz w:val="16"/>
        </w:rPr>
        <w:t xml:space="preserve"> outcomes and </w:t>
      </w:r>
      <w:r w:rsidRPr="00DD2D90">
        <w:rPr>
          <w:rStyle w:val="StyleUnderline"/>
        </w:rPr>
        <w:t>equity for women</w:t>
      </w:r>
      <w:r w:rsidRPr="009278EB">
        <w:rPr>
          <w:rFonts w:eastAsia="Calibri"/>
          <w:sz w:val="16"/>
        </w:rPr>
        <w:t xml:space="preserve">. Priority health objectives can—and must—guide the design and execution of UHC strategies. Both within countries and at the global level, the goal of achieving </w:t>
      </w:r>
      <w:r w:rsidRPr="00DD2D90">
        <w:rPr>
          <w:rStyle w:val="StyleUnderline"/>
        </w:rPr>
        <w:t>UHC can help expand coverage, align services, and accelerate equitable progress towards improving women's health. Women's health must be a shared agenda</w:t>
      </w:r>
      <w:r w:rsidRPr="009278EB">
        <w:rPr>
          <w:rFonts w:eastAsia="Calibri"/>
          <w:sz w:val="16"/>
        </w:rPr>
        <w:t xml:space="preserve">, with active engagement from country political and health leaders; local and international civil society, including advocates for women's health, sexual, and reproductive health rights; multilateral agencies; global health funders; and all others concerned with women's health and equity. We urge groups that already support UHC principles of equity, access, and affordability to embrace the UHC concept. The global health community must ensure that women's health priorities are fully represented in UHC schemes, as well as the post-2015 health framework. The strategies discussed in this article—including the importance of a comprehensive essential benefits package for women, attention to reducing or eliminating financial and social barriers to women's health care, and inclusion of service delivery and health outcome indicators—should provide the focus for designing and implementing UHC that works for women. These strategies can also guide advocacy for women's health and UHC, which must accelerate rapidly to influence the post-2015 agenda. </w:t>
      </w:r>
    </w:p>
    <w:p w14:paraId="1657DABE" w14:textId="7BE25C72" w:rsidR="00B16888" w:rsidRPr="009278EB" w:rsidRDefault="00251AC1" w:rsidP="00251AC1">
      <w:pPr>
        <w:pStyle w:val="Heading4"/>
        <w:rPr>
          <w:szCs w:val="26"/>
        </w:rPr>
      </w:pPr>
      <w:r w:rsidRPr="009278EB">
        <w:rPr>
          <w:szCs w:val="26"/>
        </w:rPr>
        <w:t>Universal healthcare helps domestic violence victims</w:t>
      </w:r>
      <w:r w:rsidR="001D1B16" w:rsidRPr="009278EB">
        <w:rPr>
          <w:szCs w:val="26"/>
        </w:rPr>
        <w:t xml:space="preserve"> – increased access means a higher likelihood of discovery of violence by professionals</w:t>
      </w:r>
    </w:p>
    <w:p w14:paraId="3361FBA6" w14:textId="0B9CDAE8" w:rsidR="002A28CB" w:rsidRPr="00DD2D90" w:rsidRDefault="002A28CB" w:rsidP="002A28CB">
      <w:r w:rsidRPr="009278EB">
        <w:rPr>
          <w:b/>
          <w:bCs/>
          <w:sz w:val="26"/>
          <w:szCs w:val="26"/>
        </w:rPr>
        <w:t>Kaushal 23</w:t>
      </w:r>
      <w:r w:rsidRPr="00DD2D90">
        <w:t xml:space="preserve"> [Vikas Kaushal, </w:t>
      </w:r>
      <w:r w:rsidR="001D1B16" w:rsidRPr="00DD2D90">
        <w:t xml:space="preserve">Health and Nutrition researcher, </w:t>
      </w:r>
      <w:r w:rsidRPr="00DD2D90">
        <w:t>10-26-2023, "Universal Healthcare and Domestic Violence", SpringerLink, https://link.springer.com/rwe/10.1007/978-3-030-85493-5_1679-1</w:t>
      </w:r>
      <w:r w:rsidR="003E50D4" w:rsidRPr="00DD2D90">
        <w:t>]/Kankee</w:t>
      </w:r>
    </w:p>
    <w:p w14:paraId="1C737E22" w14:textId="7434E113" w:rsidR="00251AC1" w:rsidRPr="009278EB" w:rsidRDefault="00251AC1" w:rsidP="00251AC1">
      <w:pPr>
        <w:rPr>
          <w:sz w:val="16"/>
        </w:rPr>
      </w:pPr>
      <w:r w:rsidRPr="009278EB">
        <w:rPr>
          <w:sz w:val="16"/>
        </w:rPr>
        <w:t>Introduction</w:t>
      </w:r>
      <w:r w:rsidR="002A28CB" w:rsidRPr="009278EB">
        <w:rPr>
          <w:sz w:val="16"/>
        </w:rPr>
        <w:t xml:space="preserve"> </w:t>
      </w:r>
      <w:r w:rsidRPr="009278EB">
        <w:rPr>
          <w:sz w:val="16"/>
        </w:rPr>
        <w:t xml:space="preserve">Globally, </w:t>
      </w:r>
      <w:r w:rsidRPr="00DD2D90">
        <w:rPr>
          <w:rStyle w:val="StyleUnderline"/>
          <w:highlight w:val="green"/>
        </w:rPr>
        <w:t>the need for universal health coverage to address</w:t>
      </w:r>
      <w:r w:rsidRPr="00DD2D90">
        <w:rPr>
          <w:rStyle w:val="StyleUnderline"/>
        </w:rPr>
        <w:t xml:space="preserve"> the </w:t>
      </w:r>
      <w:r w:rsidRPr="00DD2D90">
        <w:rPr>
          <w:rStyle w:val="StyleUnderline"/>
          <w:highlight w:val="green"/>
        </w:rPr>
        <w:t xml:space="preserve">domestic violence has become </w:t>
      </w:r>
      <w:r w:rsidRPr="00DD2D90">
        <w:rPr>
          <w:rStyle w:val="Emphasis"/>
          <w:highlight w:val="green"/>
        </w:rPr>
        <w:t>more urgent than</w:t>
      </w:r>
      <w:r w:rsidRPr="00DD2D90">
        <w:rPr>
          <w:rStyle w:val="Emphasis"/>
        </w:rPr>
        <w:t xml:space="preserve"> </w:t>
      </w:r>
      <w:r w:rsidRPr="00DD2D90">
        <w:rPr>
          <w:rStyle w:val="Emphasis"/>
          <w:highlight w:val="green"/>
        </w:rPr>
        <w:t>ever</w:t>
      </w:r>
      <w:r w:rsidRPr="009278EB">
        <w:rPr>
          <w:sz w:val="16"/>
        </w:rPr>
        <w:t xml:space="preserve">. According to the World Health Organization (WHO), “intimate partner violence and domestic violence” are used interchangeably, wherein, the latter term may also encompass other forms of family violence such as children and older people and is not confined to intimate partners (WHO, 2013). World over, the victims of domestic violence are overwhelmingly women, and women tend to experience more severe forms of violence (García-Moreno &amp; Stöckl, 2013). Domestic violence against women is major obstacle on progress on achieving development targets. Without addressing it, anybody have little chance of meeting millennium development goals. It continues to have an unjustifiably low priority on the international development agenda, planning, programming, and budgeting (WHO, 2005). Research has established that </w:t>
      </w:r>
      <w:r w:rsidRPr="00DD2D90">
        <w:rPr>
          <w:rStyle w:val="StyleUnderline"/>
        </w:rPr>
        <w:t xml:space="preserve">there exists a direct and </w:t>
      </w:r>
      <w:r w:rsidRPr="00DD2D90">
        <w:rPr>
          <w:rStyle w:val="Emphasis"/>
        </w:rPr>
        <w:t>significant correlation</w:t>
      </w:r>
      <w:r w:rsidRPr="00DD2D90">
        <w:rPr>
          <w:rStyle w:val="StyleUnderline"/>
        </w:rPr>
        <w:t xml:space="preserve"> between a country’s level of gender equality and rates of domestic violence, where countries with less gender equality experience higher rates of domestic violence</w:t>
      </w:r>
      <w:r w:rsidRPr="009278EB">
        <w:rPr>
          <w:sz w:val="16"/>
        </w:rPr>
        <w:t xml:space="preserve"> (Santoveña et al., 2013).</w:t>
      </w:r>
      <w:r w:rsidR="002A28CB" w:rsidRPr="009278EB">
        <w:rPr>
          <w:sz w:val="16"/>
        </w:rPr>
        <w:t xml:space="preserve"> </w:t>
      </w:r>
      <w:r w:rsidRPr="009278EB">
        <w:rPr>
          <w:sz w:val="16"/>
        </w:rPr>
        <w:t xml:space="preserve">Domestic violence is threatening behavior, violence, or abuse between adults who are, or have been, intimate partners or family members. Such abuse may take various forms, including physical violence (slaps, punches, kicks, assaults with a weapon, choking, homicide), sexual violence (rape or forced participation in sexual acts), emotionally abusive behaviors (stalking, surveillance, threats, preventing contact with family and friends, ongoing belittlement or humiliation, intimidation), economic restrictions (preventing outside working, confiscating earnings, restricting access to funds), and other controlling behaviors (Watts &amp; Zimmerman, 2002). The prevalence and impact of </w:t>
      </w:r>
      <w:r w:rsidRPr="00DD2D90">
        <w:rPr>
          <w:rStyle w:val="StyleUnderline"/>
        </w:rPr>
        <w:t>domestic abuse is recognized as an ongoing</w:t>
      </w:r>
      <w:r w:rsidRPr="009278EB">
        <w:rPr>
          <w:sz w:val="16"/>
        </w:rPr>
        <w:t xml:space="preserve"> and </w:t>
      </w:r>
      <w:r w:rsidRPr="00DD2D90">
        <w:rPr>
          <w:rStyle w:val="StyleUnderline"/>
        </w:rPr>
        <w:t>major public health issue</w:t>
      </w:r>
      <w:r w:rsidRPr="009278EB">
        <w:rPr>
          <w:sz w:val="16"/>
        </w:rPr>
        <w:t xml:space="preserve"> (Baird et al., 2015; NICE, 2016). It is acknowledged that domestic abuse has always been, and continues to be, significantly underreported because victims often remain silent, meaning that actual numbers are likely to be higher (Lazenbatt et al. 2009; ONS, 2016a, b, 2018a).</w:t>
      </w:r>
      <w:r w:rsidR="002A28CB" w:rsidRPr="009278EB">
        <w:rPr>
          <w:sz w:val="16"/>
        </w:rPr>
        <w:t xml:space="preserve"> </w:t>
      </w:r>
      <w:r w:rsidRPr="009278EB">
        <w:rPr>
          <w:sz w:val="16"/>
        </w:rPr>
        <w:t xml:space="preserve">Domestic violence is not simply an argument. It is a pattern of coercive control that one person exercises over another. Abusers use physical and sexual violence, threats, emotional insults, and economic deprivation as a way to dominate their victims and get their way. Indeed, domestic violence is an all-pervasive public-health concern that women face in various forms across different parts of the world (Heidi et al., 2013). In England, for example, the 2020 Crime Survey reported a 9% increase from 2019 in domestic abuse-related crimes (Stripe, 2020). In India, 30% of women have experienced domestic violence at least once from when they were aged 15, and around 4% of ever-pregnant women have experienced spousal violence during a pregnancy (NFHS4). </w:t>
      </w:r>
      <w:r w:rsidRPr="00DD2D90">
        <w:rPr>
          <w:rStyle w:val="StyleUnderline"/>
        </w:rPr>
        <w:t xml:space="preserve">Domestic violence can have sustained and prolonged health effects on the victims. </w:t>
      </w:r>
      <w:r w:rsidRPr="009278EB">
        <w:rPr>
          <w:sz w:val="16"/>
        </w:rPr>
        <w:t>Along with physical abuse, it also sabotages the social, economic, psychological, spiritual, and emotional well-being of the victim, the perpetrator, and the society as a whole. Domestic violence is a major contributor to the ill health of women.</w:t>
      </w:r>
      <w:r w:rsidR="002A28CB" w:rsidRPr="009278EB">
        <w:rPr>
          <w:sz w:val="16"/>
        </w:rPr>
        <w:t xml:space="preserve"> </w:t>
      </w:r>
      <w:r w:rsidRPr="009278EB">
        <w:rPr>
          <w:sz w:val="16"/>
        </w:rPr>
        <w:t xml:space="preserve">Domestic violence victims visit primary care clinicians frequently and consider it appropriate to be asked about domestic violence by doctors and nurses (Plichta, 2007). They also identify healthcare professionals as potential sources of support if this is delivered in a non-judgmental and non-directive manner, and an appreciation of the complexity of domestic violence is shown. Historically, however, </w:t>
      </w:r>
      <w:r w:rsidRPr="00DD2D90">
        <w:rPr>
          <w:rStyle w:val="StyleUnderline"/>
        </w:rPr>
        <w:t>the quality of care for women experiencing abuse has been poor worldwide</w:t>
      </w:r>
      <w:r w:rsidRPr="009278EB">
        <w:rPr>
          <w:sz w:val="16"/>
        </w:rPr>
        <w:t xml:space="preserve"> (Colombini et al., 2008). Many </w:t>
      </w:r>
      <w:r w:rsidRPr="00DD2D90">
        <w:rPr>
          <w:rStyle w:val="StyleUnderline"/>
        </w:rPr>
        <w:t>clinicians agree that domestic violence is a healthcare issue</w:t>
      </w:r>
      <w:r w:rsidRPr="009278EB">
        <w:rPr>
          <w:sz w:val="16"/>
        </w:rPr>
        <w:t>, but often they are reluctant to ask about abuse or do not respond appropriately if domestic violence is disclosed. Such ambivalence is attributed to a number of factors but most frequently cited are a lack of domestic violence knowledge and training, and a perceived lack of time and support resources (Hegarty, 2010).</w:t>
      </w:r>
      <w:r w:rsidR="002A28CB" w:rsidRPr="009278EB">
        <w:rPr>
          <w:sz w:val="16"/>
        </w:rPr>
        <w:t xml:space="preserve"> </w:t>
      </w:r>
      <w:r w:rsidRPr="009278EB">
        <w:rPr>
          <w:sz w:val="16"/>
        </w:rPr>
        <w:t>Globally, plenty of studies demonstrating the barriers and facilitators to identify and response to DVA have been performed. However, there remain major gaps in knowledge regarding the best ways to support and train health practitioners to enable an evidence-based pathway to safety for family members through the health system. Therefore, urgent need is there to develop a multiplex inter-sectorial approach along with strong universal health system capacity to identify and accustom responses to the circumstances of affected families.</w:t>
      </w:r>
      <w:r w:rsidR="002A28CB" w:rsidRPr="009278EB">
        <w:rPr>
          <w:sz w:val="16"/>
        </w:rPr>
        <w:t xml:space="preserve"> </w:t>
      </w:r>
      <w:r w:rsidRPr="009278EB">
        <w:rPr>
          <w:sz w:val="16"/>
        </w:rPr>
        <w:t>Impact of Domestic Violence on Woman Health</w:t>
      </w:r>
      <w:r w:rsidR="002A28CB" w:rsidRPr="009278EB">
        <w:rPr>
          <w:sz w:val="16"/>
        </w:rPr>
        <w:t xml:space="preserve"> </w:t>
      </w:r>
      <w:r w:rsidRPr="009278EB">
        <w:rPr>
          <w:sz w:val="16"/>
        </w:rPr>
        <w:t>Approximately, 736 million women become victims of intimate partner violence (IPV), or non-partner sexual violence, or both, at least once in their life. Gender-based violence (GBV) or violence against women and girls is considered as a global pandemic affecting one in every three women across their lifetime. The gravity of this issue has already been realized by the international community long time back. In 2015, the 2030 Agenda for Sustainable Development was enforced by the UN, which included a global target to eliminate “all forms of violence against women and girls in public and private spheres.” Studies on domestic violence have observed its grave outcomes on women’s mental and physical health, including their reproductive and sexual health. It is known that women are more vulnerable to health problems and has unique needs, differentiated from other groups in society, such as prevention, control, and combat the physical and mental illnesses.</w:t>
      </w:r>
      <w:r w:rsidR="002A28CB" w:rsidRPr="009278EB">
        <w:rPr>
          <w:sz w:val="16"/>
        </w:rPr>
        <w:t xml:space="preserve"> </w:t>
      </w:r>
      <w:r w:rsidRPr="009278EB">
        <w:rPr>
          <w:sz w:val="16"/>
        </w:rPr>
        <w:t>According to the National Policy for Integral Attention to Women’s Health, these injuries are more linked with gender issues, such as the situation of discrimination in society than to biological factors. Existing literature suggests a significant association between domestic violence, and the poor health and well-being of not only the women themselves but also the children they give birth to, and are expected by social norms to care for. Indeed, the impacts of violence against women lead to grave demographic consequences, including low educational attainment and reduced earning potential for the younger generations. Thus, it is necessary to deepen studies about the impact of violence on women’s lives generated from gender inequality. It is believed that this study may be used in the planning and implementation of public and educational policies with actions that can minimize the damage caused by violence due to the naturalization of the phenomenon (Silva et al., 2015).</w:t>
      </w:r>
      <w:r w:rsidR="002A28CB" w:rsidRPr="009278EB">
        <w:rPr>
          <w:sz w:val="16"/>
        </w:rPr>
        <w:t xml:space="preserve"> </w:t>
      </w:r>
      <w:r w:rsidRPr="009278EB">
        <w:rPr>
          <w:sz w:val="16"/>
        </w:rPr>
        <w:t>Physical and Psychological Effects of Violence</w:t>
      </w:r>
      <w:r w:rsidR="002A28CB" w:rsidRPr="009278EB">
        <w:rPr>
          <w:sz w:val="16"/>
        </w:rPr>
        <w:t xml:space="preserve"> </w:t>
      </w:r>
      <w:r w:rsidRPr="009278EB">
        <w:rPr>
          <w:sz w:val="16"/>
        </w:rPr>
        <w:t>It is well known that violence affects women in different ways, particularly their health (Beydoun et al., 2012; WHO, 2017). In addition to the shorter-term health effects of VAW such as injury or anxiety, violence is associated with a number of long-term health problems, including chronic pain, disability, sexually transmitted diseases, substance abuse, suicidality, and depression (Bott et al., 2010; Beydoun et al., 2012). According to the existing literature, the impact of violence on physical and mental health is proportional to severity of abuse. The consequences of violence tend to be more severe when women experience more than one type of violence (e.g., physical and sexual) and/or multiple incidents over time (Johnson &amp; Leone, 2005; Heise &amp; Garcia Moreno, 2002).</w:t>
      </w:r>
      <w:r w:rsidR="002A28CB" w:rsidRPr="009278EB">
        <w:rPr>
          <w:sz w:val="16"/>
        </w:rPr>
        <w:t xml:space="preserve"> </w:t>
      </w:r>
      <w:r w:rsidRPr="009278EB">
        <w:rPr>
          <w:sz w:val="16"/>
        </w:rPr>
        <w:t>Several forms of verbal and psychological abuse, which appear to be relatively harmless at first, expand and grow more menacing over time, sometimes gradually and subtly. These physical and mental health outcomes have social and emotional squeal for the individual, the family, the community, and the society at large. The primary physical effect of domestic violence are diverse, including minor to serious injuries such as cuts and bruises, broken bones, injuries to organs, internal bleeding, gastrointestinal issues, STDs, and ultimately leading to death sometimes. Whereas, the extended effects comprise chronic pain, heart disease, diabetes, asthma, arthritis, heart problems, digestive problems, and sexual problems, problems with the immune system, difficulty sleeping, eating disorders, migraines, and stress.</w:t>
      </w:r>
      <w:r w:rsidR="002A28CB" w:rsidRPr="009278EB">
        <w:rPr>
          <w:sz w:val="16"/>
        </w:rPr>
        <w:t xml:space="preserve"> </w:t>
      </w:r>
      <w:r w:rsidRPr="009278EB">
        <w:rPr>
          <w:sz w:val="16"/>
        </w:rPr>
        <w:t>Bonomi et al. (2006) had observed that the prevalence of intimate partner abuse (IPA) is high and is correlated with numerous negative effects for both women and men (Campbell et al., 2002), but the research documenting long-term outcomes is sparse. Women are far more likely than men to experience physical injury as a result of physical violence by intimate partners (Johnson &amp; Leone, 2005; Heise &amp; Garcia Moreno, 2002). Results from the National Intimate Partner and Sexual Violence Survey (NISVS) indicate that 4,741,000 women and 5,565,000 men experienced physical IPA in the 12 months preceding the survey. Lifetime estimates of IPA victimization indicate that one in four women and one in seven men will experience severe physical violence by an intimate partner (Black et al., 2011). Looking into the incidences of IPA it has been observed that both male-on-female violence and female-on-male violence we can say that both men and women sustain a comparable number of physical injuries. However, so far much research on the physical health outcomes of male victims of IPA has not been present. This could be because male IPA victims often do not report their victimization due to embarrassment or fear of ridicule or disbelief by law enforcement (Drijber et al., 2012). Though the available reports suggest that men experience similar forms of mental and physical abuse as women (Drijber et al., 2012; Du-Plat Jones, 2006).</w:t>
      </w:r>
      <w:r w:rsidR="002A28CB" w:rsidRPr="009278EB">
        <w:rPr>
          <w:sz w:val="16"/>
        </w:rPr>
        <w:t xml:space="preserve"> </w:t>
      </w:r>
      <w:r w:rsidRPr="009278EB">
        <w:rPr>
          <w:sz w:val="16"/>
        </w:rPr>
        <w:t>The individuals, both male and female, reporting about experiencing abuse generally have poorer health compared to individuals who do not experience abuse (Coker et al., 2002; Logan et al., 2002; Plichta, 2004). Indirectly, IPA victimization may contribute to gastrointestinal disorders or other, stress-related problems for women (Plichta, 2004). Overall, abused women note that they experience more chronic conditions, such as fibromyalgia and irritable bowel syndrome, surgeries, hospitalizations, and visits to doctors than non-abused women (Logan et al., 2002). In addition, abused women are more likely to experience sexually transmitted diseases (STDs), pelvic inflammatory disease, chronic pain, bladder, kidney, and urinary tract infections, broken bones, seizures, headaches, stomach ulcers, spastic colon, indigestion, and hypertension (Coker et al., 2000). Abused men report impotence and other sexual problems and loss of weight and appetite (George &amp; Yarwood, 2004).</w:t>
      </w:r>
      <w:r w:rsidR="002A28CB" w:rsidRPr="009278EB">
        <w:rPr>
          <w:sz w:val="16"/>
        </w:rPr>
        <w:t xml:space="preserve"> </w:t>
      </w:r>
      <w:r w:rsidRPr="009278EB">
        <w:rPr>
          <w:sz w:val="16"/>
        </w:rPr>
        <w:t>Impact of Domestic Violence on Sexual and Reproductive Health</w:t>
      </w:r>
      <w:r w:rsidR="002A28CB" w:rsidRPr="009278EB">
        <w:rPr>
          <w:sz w:val="16"/>
        </w:rPr>
        <w:t xml:space="preserve"> </w:t>
      </w:r>
      <w:r w:rsidRPr="009278EB">
        <w:rPr>
          <w:sz w:val="16"/>
        </w:rPr>
        <w:t>Higher rates of gynecological problems have been reported in women who experience sexual violence than other women, including vaginal infection, pain during intercourse, chronic pelvic pain, and urinary tract infections (Campbell et al., 2002; Jewkes et al., 2002). However, women who experience partner violence even without sexual abuse appear to have increased risk of gynecological problems, though the reasons for this are not well understood (Campbell et al., 2002).</w:t>
      </w:r>
      <w:r w:rsidR="002A28CB" w:rsidRPr="009278EB">
        <w:rPr>
          <w:sz w:val="16"/>
        </w:rPr>
        <w:t xml:space="preserve"> </w:t>
      </w:r>
      <w:r w:rsidRPr="009278EB">
        <w:rPr>
          <w:sz w:val="16"/>
        </w:rPr>
        <w:t>Women who experience physical intimate partner violence or forced sexual intercourse by any perpetrator appear to be at greater risk of unintended or unwanted pregnancy than women with no history of abuse, both in the short term and over the course of their reproductive lives (Heise et al., 1999). The risk of unwanted pregnancy may occur, directly through forced sexual intercourse or difficulty in negotiating condom or contraceptive use in an abusive relationship, or indirectly via high-risk sexual behaviors linked to a history of sexual abuse in childhood or adolescence (Jewkes et al., 2002).</w:t>
      </w:r>
      <w:r w:rsidR="002A28CB" w:rsidRPr="009278EB">
        <w:rPr>
          <w:sz w:val="16"/>
        </w:rPr>
        <w:t xml:space="preserve"> </w:t>
      </w:r>
      <w:r w:rsidRPr="009278EB">
        <w:rPr>
          <w:sz w:val="16"/>
        </w:rPr>
        <w:t>Girls and women who become pregnant as a result of forced sexual intercourse often terminate their pregnancy, whether or not safe abortion is available. Intimate partner violence, rape by non-partners, and transactional sex are all associated with higher rates of termination of pregnancy. For example, the WHO multi-country study found that, in nearly all settings, women who had experienced physical or sexual violence by an intimate partner also reported significantly higher rates of induced abortion than other women (Garcia-Moreno et al., 2005).</w:t>
      </w:r>
      <w:r w:rsidR="002A28CB" w:rsidRPr="009278EB">
        <w:rPr>
          <w:sz w:val="16"/>
        </w:rPr>
        <w:t xml:space="preserve"> </w:t>
      </w:r>
      <w:r w:rsidRPr="009278EB">
        <w:rPr>
          <w:sz w:val="16"/>
        </w:rPr>
        <w:t>Global Action Agenda</w:t>
      </w:r>
      <w:r w:rsidR="002A28CB" w:rsidRPr="009278EB">
        <w:rPr>
          <w:sz w:val="16"/>
        </w:rPr>
        <w:t xml:space="preserve"> </w:t>
      </w:r>
      <w:r w:rsidRPr="009278EB">
        <w:rPr>
          <w:sz w:val="16"/>
        </w:rPr>
        <w:t>Sustainable Development Goals (SDGs) target elimination of violence against women and girls (VAWG) through elimination of all forms of violence against all women and girls everywhere. The SDG-5, the “gender goal” (achieve gender equality), exclusively deals with achieving gender equality and empowering women and girls to eliminate all forms of VAWG including trafficking and sexual and other forms of exploitation (target 5.2), and harmful practices such as child, early and forced marriages, and female genital mutilation (target 5.3). SDG is formulated on strong gender framework with an understanding of gender inequality to possess economic, political, and social aspects, which are interlinked. The SDG-16 is meant to promote peaceful and inclusive societies for sustainable development with a goal to end abuse, exploitation, trafficking, and all forms of violence against and torture of children (target 16.2). The target 16.1 is meant to reduce all forms of violence and related deaths to attain a peaceful and inclusive societies. The SDG-16 addresses reducing violence and related deaths among women including deaths related to domestic violence and dowry, which are rampant in many developing countries (WHO, 2014). Thus, four SDG targets (5.2, 5.3, 16.1, and 16.2) directly targeted VAWG, and there are several targets among the other SDGs that were directly or indirectly aimed to prevent and reduce VAWG. These targets are to ensure that all men and women have equal rights to resources, basic services, ownership and control over properties, inheritance, natural resources, technology, etc. (target 1.4); create policy frameworks based on gender-sensitive developmental strategies (target 1b), double agricultural productivity/income in small-scale food producers, particularly women through secure and equal access to land and other resources (target 2.3); ensure universal access to sexual and reproductive healthcare, and related services and rights (targets 3.7 and 5.6); ensure that all girls and boys complete free, equitable, and quality primary and secondary education (target 4.1), childhood development, care and pre-primary education (target 4.2), technical, vocational, and tertiary/university education (target 4.3), and to eliminate gender disparity in education (target 4.5); target all forms of discrimination against women and girls everywhere (target 5.1); recognize and value unpaid care and domestic work (carried out by women) (target 5.4); ensure women’s participation/leadership in decision making in all spheres (target 5.5); undertake reforms to give women equal rights and access to economic resources (target 5a); enhance technology to empower women (target 5b); adopt and strengthen policies and enforceable legislation toward gender equality and women empowerment (target 5c); empower and promote the social, economic, and political inclusion of all, irrespective of age, sex, disability, race, ethnicity, origin, religion or economic, or other status (target 10.2); ensure equal opportunity and reduce inequalities of outcome, including by eliminating discriminatory laws, policies, and practices and promoting appropriate legislation, policies, and action in this regard (target 10.3); provide universal access to safe public transport (target 11.2) and public spaces, in particular for women (target 11.7) (United Nation General Assembly, 2015).</w:t>
      </w:r>
      <w:r w:rsidR="002A28CB" w:rsidRPr="009278EB">
        <w:rPr>
          <w:sz w:val="16"/>
        </w:rPr>
        <w:t xml:space="preserve"> </w:t>
      </w:r>
      <w:r w:rsidRPr="009278EB">
        <w:rPr>
          <w:sz w:val="16"/>
        </w:rPr>
        <w:t xml:space="preserve">Thus, the advantage of inclusion of VAWG in SDGs would be increased intensity of campaigns and more funds and resources for their campaigns and research. Countries are developing action plans to address VAWG along with other SDG targets by involving various developmental partners. The agenda of actions against VAWG will reflect in countries’ policy documents and thereby explicit interventions. Evidences based on existing interventions and programs show that preventing VAWG is possible. Interventions should adopt a holistic and comprehensive approach to address the drivers and consequents of VAWG, empower women, and reduce their vulnerability. In addition, efforts are needed to promote coordination between all relevant actors including health, education, police, judiciary, and community groups. This kind of multi-sectorial approach is recognized as effective in addressing VAWG (UN Women, 2017). Efforts and plans are to be consolidated during developing implementation plans at different levels in countries. However, the policy directions under developmental framework should be available from global partners. Subsequently, the national and sub-national efforts are to be scaled-up and intensified to achieve the targets toward eliminating the VAWG (Kusuma &amp; Babu, 2017). Multi-sectorial programs to promote gender equality and women empowerment seem to be successful to transform deeply entrenched attitudes and behaviors. However, action plans of such programs need to be guided by the principles of gender equality, human rights, and health equity. Such programs not only challenge the acceptability of violence but also address underlying risk factors (Ellsberg et al., 2015). Health sector can support programs that involve women and children affected by violence. </w:t>
      </w:r>
      <w:r w:rsidRPr="00DD2D90">
        <w:rPr>
          <w:rStyle w:val="StyleUnderline"/>
        </w:rPr>
        <w:t>Healthcare system can provide women with a safe environment where they can confidentially disclose their violence experience and seek a supportive response</w:t>
      </w:r>
      <w:r w:rsidRPr="009278EB">
        <w:rPr>
          <w:sz w:val="16"/>
        </w:rPr>
        <w:t xml:space="preserve">. It is evident that some </w:t>
      </w:r>
      <w:r w:rsidRPr="00DD2D90">
        <w:rPr>
          <w:rStyle w:val="StyleUnderline"/>
        </w:rPr>
        <w:t>health</w:t>
      </w:r>
      <w:r w:rsidRPr="009278EB">
        <w:rPr>
          <w:sz w:val="16"/>
        </w:rPr>
        <w:t xml:space="preserve"> sector-based </w:t>
      </w:r>
      <w:r w:rsidRPr="00DD2D90">
        <w:rPr>
          <w:rStyle w:val="StyleUnderline"/>
        </w:rPr>
        <w:t>interventions</w:t>
      </w:r>
      <w:r w:rsidRPr="009278EB">
        <w:rPr>
          <w:sz w:val="16"/>
        </w:rPr>
        <w:t xml:space="preserve"> </w:t>
      </w:r>
      <w:r w:rsidRPr="00DD2D90">
        <w:rPr>
          <w:rStyle w:val="StyleUnderline"/>
        </w:rPr>
        <w:t>can have positive outcomes for women such as reduction in victimization by intimate partner, reduction of revictimization, and reduction in mental health problems such as depression</w:t>
      </w:r>
      <w:r w:rsidRPr="009278EB">
        <w:rPr>
          <w:sz w:val="16"/>
        </w:rPr>
        <w:t xml:space="preserve"> (Kusuma &amp; Babu, 2017).</w:t>
      </w:r>
      <w:r w:rsidR="002A28CB" w:rsidRPr="009278EB">
        <w:rPr>
          <w:sz w:val="16"/>
        </w:rPr>
        <w:t xml:space="preserve"> </w:t>
      </w:r>
      <w:r w:rsidRPr="009278EB">
        <w:rPr>
          <w:sz w:val="16"/>
        </w:rPr>
        <w:t>Countries are recognizing the broad need for action to address violence against women and girls, with four in five countries (81%) having national multisectoral action plans in place (Fig. 1). These aim to prevent violence against women by addressing the underlying causes and to strengthen the systems that respond to it. These help healthcare systems respond effectively to violence and help health workers provide quality care to those affected. This includes identification of intimate partner violence, first-line support that addresses the practical and emotional needs of survivors, care, and treatment for any medical conditions, and comprehensive care in case of rape including prophylaxis for HIV and sexually transmitted infections, emergency contraception, and abortion services where legal (WHO, 2021). Healthcare and Domestic Violence</w:t>
      </w:r>
      <w:r w:rsidR="002A28CB" w:rsidRPr="009278EB">
        <w:rPr>
          <w:sz w:val="16"/>
        </w:rPr>
        <w:t xml:space="preserve"> </w:t>
      </w:r>
      <w:r w:rsidRPr="009278EB">
        <w:rPr>
          <w:sz w:val="16"/>
        </w:rPr>
        <w:t xml:space="preserve">Managing the expeditious practical requirement of women experience violence as well as catering the need for long-term follow-up and aid should be multi-sectorial, focusing on changing those cultural norms, attitudes, and legal provisions that promote the acceptance of and even encourage violence against women, and undermine women’s enjoyment of their full human rights and freedoms. </w:t>
      </w:r>
      <w:r w:rsidRPr="00DD2D90">
        <w:rPr>
          <w:rStyle w:val="StyleUnderline"/>
        </w:rPr>
        <w:t xml:space="preserve">The </w:t>
      </w:r>
      <w:r w:rsidRPr="00DD2D90">
        <w:rPr>
          <w:rStyle w:val="StyleUnderline"/>
          <w:highlight w:val="green"/>
        </w:rPr>
        <w:t>health sector has unique potential to deal with violence</w:t>
      </w:r>
      <w:r w:rsidRPr="009278EB">
        <w:rPr>
          <w:sz w:val="16"/>
        </w:rPr>
        <w:t xml:space="preserve"> against women, particularly </w:t>
      </w:r>
      <w:r w:rsidRPr="00DD2D90">
        <w:rPr>
          <w:rStyle w:val="StyleUnderline"/>
          <w:highlight w:val="green"/>
        </w:rPr>
        <w:t>through reproductive health services</w:t>
      </w:r>
      <w:r w:rsidRPr="009278EB">
        <w:rPr>
          <w:sz w:val="16"/>
        </w:rPr>
        <w:t>, which most women will access at some point in their lives. However, this potential is far from being realized. Few doctors, nurses, or other health personnel have the awareness and the training to identify violence as the underlying cause of women’s health problems.</w:t>
      </w:r>
      <w:r w:rsidR="002A28CB" w:rsidRPr="009278EB">
        <w:rPr>
          <w:sz w:val="16"/>
        </w:rPr>
        <w:t xml:space="preserve"> </w:t>
      </w:r>
      <w:r w:rsidRPr="009278EB">
        <w:rPr>
          <w:sz w:val="16"/>
        </w:rPr>
        <w:t xml:space="preserve">An indispensable job is played by the health sector in preventing violence against women, helping to identify abuse early, providing victims with the necessary treatment, and referring women to appropriate care. Health services must be places where women feel safe, are treated with respect, are not stigmatized, and where they can receive quality, informed support. </w:t>
      </w:r>
      <w:r w:rsidRPr="00DD2D90">
        <w:rPr>
          <w:rStyle w:val="StyleUnderline"/>
          <w:highlight w:val="green"/>
        </w:rPr>
        <w:t xml:space="preserve">A </w:t>
      </w:r>
      <w:r w:rsidRPr="00DD2D90">
        <w:rPr>
          <w:rStyle w:val="Emphasis"/>
          <w:highlight w:val="green"/>
        </w:rPr>
        <w:t>comprehensive</w:t>
      </w:r>
      <w:r w:rsidRPr="00DD2D90">
        <w:rPr>
          <w:rStyle w:val="StyleUnderline"/>
        </w:rPr>
        <w:t xml:space="preserve"> health sector </w:t>
      </w:r>
      <w:r w:rsidRPr="00DD2D90">
        <w:rPr>
          <w:rStyle w:val="StyleUnderline"/>
          <w:highlight w:val="green"/>
        </w:rPr>
        <w:t>response</w:t>
      </w:r>
      <w:r w:rsidRPr="00DD2D90">
        <w:rPr>
          <w:rStyle w:val="StyleUnderline"/>
        </w:rPr>
        <w:t xml:space="preserve"> to the problem </w:t>
      </w:r>
      <w:r w:rsidRPr="00DD2D90">
        <w:rPr>
          <w:rStyle w:val="StyleUnderline"/>
          <w:highlight w:val="green"/>
        </w:rPr>
        <w:t>is</w:t>
      </w:r>
      <w:r w:rsidRPr="009278EB">
        <w:rPr>
          <w:sz w:val="16"/>
        </w:rPr>
        <w:t xml:space="preserve"> an </w:t>
      </w:r>
      <w:r w:rsidRPr="00DD2D90">
        <w:rPr>
          <w:rStyle w:val="StyleUnderline"/>
          <w:highlight w:val="green"/>
        </w:rPr>
        <w:t>urgent</w:t>
      </w:r>
      <w:r w:rsidRPr="009278EB">
        <w:rPr>
          <w:sz w:val="16"/>
        </w:rPr>
        <w:t xml:space="preserve"> requirement, particularly in addressing the reluctance of abused women to seek help (WHO, 2007).</w:t>
      </w:r>
      <w:r w:rsidR="002A28CB" w:rsidRPr="009278EB">
        <w:rPr>
          <w:sz w:val="16"/>
        </w:rPr>
        <w:t xml:space="preserve"> </w:t>
      </w:r>
      <w:r w:rsidRPr="009278EB">
        <w:rPr>
          <w:sz w:val="16"/>
        </w:rPr>
        <w:t>Despite the legislative and policy mandates with explicit direction for the health sector, there is no definitive roadmap for improving the health systems response to violence against women. Limited technical and financial resources for the health sector inhibit implementation of programming to reduce intimate partner violence, specifically. For example, most health professionals are not trained to investigate violence and respond to the needs of survivors. Medical and nursing education does not include training on various aspects of recognizing risk and outcomes associated with gender-based violence. Efforts to collaborate with different levels of the health system to set up models demonstrating the necessary health system support to survivors of violence have frequently come from external non-profit organizations, rather than being internally driven (Deosthali et al., 2018).</w:t>
      </w:r>
      <w:r w:rsidR="002A28CB" w:rsidRPr="009278EB">
        <w:rPr>
          <w:sz w:val="16"/>
        </w:rPr>
        <w:t xml:space="preserve"> </w:t>
      </w:r>
      <w:r w:rsidRPr="009278EB">
        <w:rPr>
          <w:sz w:val="16"/>
        </w:rPr>
        <w:t>Role of Health Professional in Domestic Violence</w:t>
      </w:r>
    </w:p>
    <w:p w14:paraId="747E564D" w14:textId="77777777" w:rsidR="00FA1D49" w:rsidRPr="009278EB" w:rsidRDefault="00FA1D49">
      <w:pPr>
        <w:rPr>
          <w:rFonts w:eastAsiaTheme="majorEastAsia" w:cstheme="majorBidi"/>
          <w:b/>
          <w:iCs/>
          <w:sz w:val="16"/>
        </w:rPr>
      </w:pPr>
      <w:r w:rsidRPr="009278EB">
        <w:rPr>
          <w:sz w:val="16"/>
        </w:rPr>
        <w:br w:type="page"/>
      </w:r>
    </w:p>
    <w:p w14:paraId="73AEE368" w14:textId="4C30501D" w:rsidR="0033530B" w:rsidRPr="009278EB" w:rsidRDefault="0033530B" w:rsidP="0033530B">
      <w:pPr>
        <w:pStyle w:val="Heading4"/>
        <w:rPr>
          <w:szCs w:val="26"/>
        </w:rPr>
      </w:pPr>
      <w:r w:rsidRPr="009278EB">
        <w:rPr>
          <w:szCs w:val="26"/>
        </w:rPr>
        <w:t xml:space="preserve">Bad health </w:t>
      </w:r>
      <w:r w:rsidR="00B16888" w:rsidRPr="009278EB">
        <w:rPr>
          <w:szCs w:val="26"/>
        </w:rPr>
        <w:t xml:space="preserve">is </w:t>
      </w:r>
      <w:r w:rsidRPr="009278EB">
        <w:rPr>
          <w:szCs w:val="26"/>
        </w:rPr>
        <w:t xml:space="preserve">bad for marginalized </w:t>
      </w:r>
      <w:r w:rsidR="00B16888" w:rsidRPr="009278EB">
        <w:rPr>
          <w:szCs w:val="26"/>
        </w:rPr>
        <w:t>people</w:t>
      </w:r>
      <w:r w:rsidRPr="009278EB">
        <w:rPr>
          <w:szCs w:val="26"/>
        </w:rPr>
        <w:t xml:space="preserve"> and leads to pandemics</w:t>
      </w:r>
    </w:p>
    <w:p w14:paraId="1757008C" w14:textId="070BCB30" w:rsidR="0033530B" w:rsidRPr="00DD2D90" w:rsidRDefault="00222A37" w:rsidP="0033530B">
      <w:r w:rsidRPr="009278EB">
        <w:rPr>
          <w:b/>
          <w:bCs/>
          <w:sz w:val="26"/>
          <w:szCs w:val="26"/>
        </w:rPr>
        <w:t>Messina 25</w:t>
      </w:r>
      <w:r w:rsidRPr="00DD2D90">
        <w:t xml:space="preserve"> [Janey Messina, Associate Professor in Quantitative Social Science Methods</w:t>
      </w:r>
      <w:r w:rsidR="0033530B" w:rsidRPr="00DD2D90">
        <w:t xml:space="preserve">, 4-7-2025, "Who Gets Hit the Hardest? Disease Emergence and Inequality (and why “America-first” politics will backfire)", Oxford School of Geography and the Environment (SOGE), </w:t>
      </w:r>
      <w:r w:rsidR="004A572D" w:rsidRPr="00DD2D90">
        <w:t>https://www.geog.ox.ac.uk/research/who-gets-hit-hardest-disease-emergence-and-inequality-and-why-america-first-politics-will]/Kankee</w:t>
      </w:r>
    </w:p>
    <w:p w14:paraId="442AAE27" w14:textId="47D80F9F" w:rsidR="004A572D" w:rsidRPr="00DD2D90" w:rsidRDefault="004A572D" w:rsidP="0033530B">
      <w:r w:rsidRPr="00DD2D90">
        <w:t>*NOTE: one paragraph repeated back-to-back</w:t>
      </w:r>
    </w:p>
    <w:p w14:paraId="6BB145D9" w14:textId="19517A8D" w:rsidR="0033530B" w:rsidRPr="009278EB" w:rsidRDefault="0033530B" w:rsidP="0033530B">
      <w:pPr>
        <w:rPr>
          <w:sz w:val="16"/>
        </w:rPr>
      </w:pPr>
      <w:r w:rsidRPr="009278EB">
        <w:rPr>
          <w:sz w:val="16"/>
        </w:rPr>
        <w:t xml:space="preserve">The Political Ecology of Disease: A Vicious Cycle </w:t>
      </w:r>
      <w:r w:rsidRPr="00DD2D90">
        <w:rPr>
          <w:rStyle w:val="StyleUnderline"/>
          <w:highlight w:val="green"/>
        </w:rPr>
        <w:t>Epidemics</w:t>
      </w:r>
      <w:r w:rsidRPr="00DD2D90">
        <w:rPr>
          <w:rStyle w:val="StyleUnderline"/>
        </w:rPr>
        <w:t xml:space="preserve"> don’t just cause suffering</w:t>
      </w:r>
      <w:r w:rsidRPr="009278EB">
        <w:rPr>
          <w:sz w:val="16"/>
        </w:rPr>
        <w:t>—</w:t>
      </w:r>
      <w:r w:rsidRPr="00DD2D90">
        <w:rPr>
          <w:rStyle w:val="StyleUnderline"/>
        </w:rPr>
        <w:t xml:space="preserve">they </w:t>
      </w:r>
      <w:r w:rsidRPr="00DD2D90">
        <w:rPr>
          <w:rStyle w:val="StyleUnderline"/>
          <w:highlight w:val="green"/>
        </w:rPr>
        <w:t xml:space="preserve">reinforce </w:t>
      </w:r>
      <w:r w:rsidRPr="00DD2D90">
        <w:rPr>
          <w:rStyle w:val="Emphasis"/>
          <w:highlight w:val="green"/>
        </w:rPr>
        <w:t>cycles of poverty,</w:t>
      </w:r>
      <w:r w:rsidRPr="009278EB">
        <w:rPr>
          <w:sz w:val="16"/>
          <w:highlight w:val="green"/>
        </w:rPr>
        <w:t xml:space="preserve"> </w:t>
      </w:r>
      <w:r w:rsidRPr="00DD2D90">
        <w:rPr>
          <w:rStyle w:val="Emphasis"/>
          <w:highlight w:val="green"/>
        </w:rPr>
        <w:t>inequality</w:t>
      </w:r>
      <w:r w:rsidRPr="00DD2D90">
        <w:rPr>
          <w:rStyle w:val="StyleUnderline"/>
          <w:highlight w:val="green"/>
        </w:rPr>
        <w:t xml:space="preserve">, and </w:t>
      </w:r>
      <w:r w:rsidRPr="00DD2D90">
        <w:rPr>
          <w:rStyle w:val="Emphasis"/>
          <w:highlight w:val="green"/>
        </w:rPr>
        <w:t>marginalization</w:t>
      </w:r>
      <w:r w:rsidRPr="009278EB">
        <w:rPr>
          <w:sz w:val="16"/>
        </w:rPr>
        <w:t xml:space="preserve">. </w:t>
      </w:r>
      <w:r w:rsidRPr="00DD2D90">
        <w:rPr>
          <w:rStyle w:val="StyleUnderline"/>
        </w:rPr>
        <w:t>When disease strikes poor communities, the economic consequences can be</w:t>
      </w:r>
      <w:r w:rsidRPr="009278EB">
        <w:rPr>
          <w:sz w:val="16"/>
        </w:rPr>
        <w:t xml:space="preserve"> </w:t>
      </w:r>
      <w:r w:rsidRPr="00DD2D90">
        <w:rPr>
          <w:rStyle w:val="Emphasis"/>
        </w:rPr>
        <w:t>devastating</w:t>
      </w:r>
      <w:r w:rsidRPr="009278EB">
        <w:rPr>
          <w:sz w:val="16"/>
        </w:rPr>
        <w:t xml:space="preserve">. Think about it -- </w:t>
      </w:r>
      <w:r w:rsidRPr="00DD2D90">
        <w:rPr>
          <w:rStyle w:val="StyleUnderline"/>
          <w:highlight w:val="green"/>
        </w:rPr>
        <w:t>illness</w:t>
      </w:r>
      <w:r w:rsidRPr="009278EB">
        <w:rPr>
          <w:sz w:val="16"/>
        </w:rPr>
        <w:t xml:space="preserve"> and caregiving responsibilities </w:t>
      </w:r>
      <w:r w:rsidRPr="00DD2D90">
        <w:rPr>
          <w:rStyle w:val="StyleUnderline"/>
          <w:highlight w:val="green"/>
        </w:rPr>
        <w:t>mean missed work</w:t>
      </w:r>
      <w:r w:rsidRPr="00DD2D90">
        <w:rPr>
          <w:rStyle w:val="StyleUnderline"/>
        </w:rPr>
        <w:t xml:space="preserve"> and</w:t>
      </w:r>
      <w:r w:rsidRPr="009278EB">
        <w:rPr>
          <w:sz w:val="16"/>
        </w:rPr>
        <w:t xml:space="preserve"> ultimately </w:t>
      </w:r>
      <w:r w:rsidRPr="00DD2D90">
        <w:rPr>
          <w:rStyle w:val="StyleUnderline"/>
          <w:highlight w:val="green"/>
        </w:rPr>
        <w:t>loss of income</w:t>
      </w:r>
      <w:r w:rsidRPr="009278EB">
        <w:rPr>
          <w:sz w:val="16"/>
          <w:highlight w:val="green"/>
        </w:rPr>
        <w:t>.</w:t>
      </w:r>
      <w:r w:rsidRPr="009278EB">
        <w:rPr>
          <w:sz w:val="16"/>
        </w:rPr>
        <w:t xml:space="preserve"> </w:t>
      </w:r>
      <w:r w:rsidRPr="00DD2D90">
        <w:rPr>
          <w:rStyle w:val="StyleUnderline"/>
        </w:rPr>
        <w:t>Children</w:t>
      </w:r>
      <w:r w:rsidRPr="009278EB">
        <w:rPr>
          <w:sz w:val="16"/>
        </w:rPr>
        <w:t xml:space="preserve"> frequently needing to </w:t>
      </w:r>
      <w:r w:rsidRPr="00DD2D90">
        <w:rPr>
          <w:rStyle w:val="StyleUnderline"/>
        </w:rPr>
        <w:t>miss school</w:t>
      </w:r>
      <w:r w:rsidRPr="009278EB">
        <w:rPr>
          <w:sz w:val="16"/>
        </w:rPr>
        <w:t xml:space="preserve"> </w:t>
      </w:r>
      <w:r w:rsidRPr="00DD2D90">
        <w:rPr>
          <w:rStyle w:val="StyleUnderline"/>
        </w:rPr>
        <w:t xml:space="preserve">has long-term </w:t>
      </w:r>
      <w:r w:rsidRPr="00DD2D90">
        <w:rPr>
          <w:rStyle w:val="StyleUnderline"/>
          <w:highlight w:val="green"/>
        </w:rPr>
        <w:t>impacts on</w:t>
      </w:r>
      <w:r w:rsidRPr="009278EB">
        <w:rPr>
          <w:sz w:val="16"/>
        </w:rPr>
        <w:t xml:space="preserve"> their </w:t>
      </w:r>
      <w:r w:rsidRPr="00DD2D90">
        <w:rPr>
          <w:rStyle w:val="StyleUnderline"/>
          <w:highlight w:val="green"/>
        </w:rPr>
        <w:t>education</w:t>
      </w:r>
      <w:r w:rsidRPr="009278EB">
        <w:rPr>
          <w:sz w:val="16"/>
        </w:rPr>
        <w:t xml:space="preserve"> </w:t>
      </w:r>
      <w:r w:rsidRPr="00DD2D90">
        <w:rPr>
          <w:rStyle w:val="StyleUnderline"/>
        </w:rPr>
        <w:t>and economic prospects</w:t>
      </w:r>
      <w:r w:rsidRPr="009278EB">
        <w:rPr>
          <w:sz w:val="16"/>
        </w:rPr>
        <w:t xml:space="preserve"> in life. </w:t>
      </w:r>
      <w:r w:rsidRPr="00DD2D90">
        <w:rPr>
          <w:rStyle w:val="StyleUnderline"/>
        </w:rPr>
        <w:t>Healthcare</w:t>
      </w:r>
      <w:r w:rsidRPr="009278EB">
        <w:rPr>
          <w:sz w:val="16"/>
        </w:rPr>
        <w:t xml:space="preserve"> </w:t>
      </w:r>
      <w:r w:rsidRPr="00DD2D90">
        <w:rPr>
          <w:rStyle w:val="StyleUnderline"/>
        </w:rPr>
        <w:t>costs push families</w:t>
      </w:r>
      <w:r w:rsidRPr="009278EB">
        <w:rPr>
          <w:sz w:val="16"/>
        </w:rPr>
        <w:t xml:space="preserve"> even </w:t>
      </w:r>
      <w:r w:rsidRPr="00DD2D90">
        <w:rPr>
          <w:rStyle w:val="StyleUnderline"/>
        </w:rPr>
        <w:t>deeper</w:t>
      </w:r>
      <w:r w:rsidRPr="009278EB">
        <w:rPr>
          <w:sz w:val="16"/>
        </w:rPr>
        <w:t xml:space="preserve"> </w:t>
      </w:r>
      <w:r w:rsidRPr="00DD2D90">
        <w:rPr>
          <w:rStyle w:val="StyleUnderline"/>
        </w:rPr>
        <w:t xml:space="preserve">into financial </w:t>
      </w:r>
      <w:r w:rsidRPr="00DD2D90">
        <w:rPr>
          <w:rStyle w:val="Emphasis"/>
        </w:rPr>
        <w:t>instability</w:t>
      </w:r>
      <w:r w:rsidRPr="009278EB">
        <w:rPr>
          <w:sz w:val="16"/>
        </w:rPr>
        <w:t xml:space="preserve">. And it’s not just about countries being poor – it’s about inequality. Income </w:t>
      </w:r>
      <w:r w:rsidRPr="00DD2D90">
        <w:rPr>
          <w:rStyle w:val="StyleUnderline"/>
          <w:highlight w:val="green"/>
        </w:rPr>
        <w:t>inequality</w:t>
      </w:r>
      <w:r w:rsidRPr="009278EB">
        <w:rPr>
          <w:sz w:val="16"/>
        </w:rPr>
        <w:t xml:space="preserve"> in a country </w:t>
      </w:r>
      <w:r w:rsidRPr="00DD2D90">
        <w:rPr>
          <w:rStyle w:val="StyleUnderline"/>
        </w:rPr>
        <w:t xml:space="preserve">was shown to </w:t>
      </w:r>
      <w:r w:rsidRPr="00DD2D90">
        <w:rPr>
          <w:rStyle w:val="StyleUnderline"/>
          <w:highlight w:val="green"/>
        </w:rPr>
        <w:t>lead to more deaths</w:t>
      </w:r>
      <w:r w:rsidRPr="00DD2D90">
        <w:rPr>
          <w:rStyle w:val="StyleUnderline"/>
        </w:rPr>
        <w:t xml:space="preserve"> during</w:t>
      </w:r>
      <w:r w:rsidRPr="009278EB">
        <w:rPr>
          <w:sz w:val="16"/>
        </w:rPr>
        <w:t xml:space="preserve"> the </w:t>
      </w:r>
      <w:r w:rsidRPr="00DD2D90">
        <w:rPr>
          <w:rStyle w:val="StyleUnderline"/>
        </w:rPr>
        <w:t>COVID</w:t>
      </w:r>
      <w:r w:rsidRPr="009278EB">
        <w:rPr>
          <w:sz w:val="16"/>
        </w:rPr>
        <w:t>-19 pandemic.</w:t>
      </w:r>
      <w:r w:rsidR="004A572D" w:rsidRPr="009278EB">
        <w:rPr>
          <w:sz w:val="16"/>
        </w:rPr>
        <w:t xml:space="preserve"> </w:t>
      </w:r>
      <w:r w:rsidRPr="009278EB">
        <w:rPr>
          <w:sz w:val="16"/>
        </w:rPr>
        <w:t xml:space="preserve">At the same time, </w:t>
      </w:r>
      <w:r w:rsidRPr="00DD2D90">
        <w:rPr>
          <w:rStyle w:val="StyleUnderline"/>
          <w:highlight w:val="green"/>
        </w:rPr>
        <w:t>marginalized populations are</w:t>
      </w:r>
      <w:r w:rsidRPr="00DD2D90">
        <w:rPr>
          <w:rStyle w:val="StyleUnderline"/>
        </w:rPr>
        <w:t xml:space="preserve"> often </w:t>
      </w:r>
      <w:r w:rsidRPr="00DD2D90">
        <w:rPr>
          <w:rStyle w:val="Emphasis"/>
          <w:highlight w:val="green"/>
        </w:rPr>
        <w:t>disproportionately exposed</w:t>
      </w:r>
      <w:r w:rsidRPr="00DD2D90">
        <w:rPr>
          <w:rStyle w:val="StyleUnderline"/>
          <w:highlight w:val="green"/>
        </w:rPr>
        <w:t xml:space="preserve"> to</w:t>
      </w:r>
      <w:r w:rsidRPr="00DD2D90">
        <w:rPr>
          <w:rStyle w:val="StyleUnderline"/>
        </w:rPr>
        <w:t xml:space="preserve"> infectious </w:t>
      </w:r>
      <w:r w:rsidRPr="00DD2D90">
        <w:rPr>
          <w:rStyle w:val="StyleUnderline"/>
          <w:highlight w:val="green"/>
        </w:rPr>
        <w:t>diseases</w:t>
      </w:r>
      <w:r w:rsidRPr="009278EB">
        <w:rPr>
          <w:sz w:val="16"/>
        </w:rPr>
        <w:t xml:space="preserve">. </w:t>
      </w:r>
      <w:r w:rsidRPr="00DD2D90">
        <w:rPr>
          <w:rStyle w:val="StyleUnderline"/>
        </w:rPr>
        <w:t xml:space="preserve">Many work in </w:t>
      </w:r>
      <w:r w:rsidRPr="00DD2D90">
        <w:rPr>
          <w:rStyle w:val="Emphasis"/>
          <w:highlight w:val="green"/>
        </w:rPr>
        <w:t>high-risk</w:t>
      </w:r>
      <w:r w:rsidRPr="00DD2D90">
        <w:rPr>
          <w:rStyle w:val="StyleUnderline"/>
        </w:rPr>
        <w:t xml:space="preserve"> </w:t>
      </w:r>
      <w:r w:rsidRPr="00DD2D90">
        <w:rPr>
          <w:rStyle w:val="StyleUnderline"/>
          <w:highlight w:val="green"/>
        </w:rPr>
        <w:t>jobs</w:t>
      </w:r>
      <w:r w:rsidRPr="009278EB">
        <w:rPr>
          <w:sz w:val="16"/>
        </w:rPr>
        <w:t>—</w:t>
      </w:r>
      <w:r w:rsidRPr="00DD2D90">
        <w:rPr>
          <w:rStyle w:val="StyleUnderline"/>
        </w:rPr>
        <w:t>such as in agriculture, street markets, and waste manage</w:t>
      </w:r>
      <w:r w:rsidRPr="009278EB">
        <w:rPr>
          <w:sz w:val="16"/>
        </w:rPr>
        <w:t>ment—</w:t>
      </w:r>
      <w:r w:rsidRPr="00DD2D90">
        <w:rPr>
          <w:rStyle w:val="StyleUnderline"/>
        </w:rPr>
        <w:t>where they</w:t>
      </w:r>
      <w:r w:rsidRPr="009278EB">
        <w:rPr>
          <w:sz w:val="16"/>
        </w:rPr>
        <w:t xml:space="preserve"> are more likely to </w:t>
      </w:r>
      <w:r w:rsidRPr="00DD2D90">
        <w:rPr>
          <w:rStyle w:val="StyleUnderline"/>
        </w:rPr>
        <w:t>come into</w:t>
      </w:r>
      <w:r w:rsidRPr="009278EB">
        <w:rPr>
          <w:sz w:val="16"/>
        </w:rPr>
        <w:t xml:space="preserve"> </w:t>
      </w:r>
      <w:r w:rsidRPr="00DD2D90">
        <w:rPr>
          <w:rStyle w:val="StyleUnderline"/>
        </w:rPr>
        <w:t>contact with infected animals, contaminated water, or disease vectors</w:t>
      </w:r>
      <w:r w:rsidRPr="009278EB">
        <w:rPr>
          <w:sz w:val="16"/>
        </w:rPr>
        <w:t xml:space="preserve"> like mosquitoes and ticks. </w:t>
      </w:r>
      <w:r w:rsidRPr="00DD2D90">
        <w:rPr>
          <w:rStyle w:val="StyleUnderline"/>
        </w:rPr>
        <w:t>These</w:t>
      </w:r>
      <w:r w:rsidRPr="009278EB">
        <w:rPr>
          <w:sz w:val="16"/>
        </w:rPr>
        <w:t xml:space="preserve"> realities </w:t>
      </w:r>
      <w:r w:rsidRPr="00DD2D90">
        <w:rPr>
          <w:rStyle w:val="StyleUnderline"/>
          <w:highlight w:val="green"/>
        </w:rPr>
        <w:t>create</w:t>
      </w:r>
      <w:r w:rsidRPr="009278EB">
        <w:rPr>
          <w:sz w:val="16"/>
          <w:highlight w:val="green"/>
        </w:rPr>
        <w:t xml:space="preserve"> </w:t>
      </w:r>
      <w:r w:rsidRPr="00DD2D90">
        <w:rPr>
          <w:rStyle w:val="Emphasis"/>
          <w:highlight w:val="green"/>
        </w:rPr>
        <w:t>perfect</w:t>
      </w:r>
      <w:r w:rsidRPr="009278EB">
        <w:rPr>
          <w:sz w:val="16"/>
          <w:highlight w:val="green"/>
        </w:rPr>
        <w:t xml:space="preserve"> </w:t>
      </w:r>
      <w:r w:rsidRPr="00DD2D90">
        <w:rPr>
          <w:rStyle w:val="Emphasis"/>
          <w:highlight w:val="green"/>
        </w:rPr>
        <w:t>conditions</w:t>
      </w:r>
      <w:r w:rsidRPr="009278EB">
        <w:rPr>
          <w:sz w:val="16"/>
          <w:highlight w:val="green"/>
        </w:rPr>
        <w:t xml:space="preserve"> </w:t>
      </w:r>
      <w:r w:rsidRPr="00DD2D90">
        <w:rPr>
          <w:rStyle w:val="StyleUnderline"/>
          <w:highlight w:val="green"/>
        </w:rPr>
        <w:t>for pathogen spillover</w:t>
      </w:r>
      <w:r w:rsidRPr="00DD2D90">
        <w:rPr>
          <w:rStyle w:val="StyleUnderline"/>
        </w:rPr>
        <w:t xml:space="preserve"> from animals to humans, increasing the risk of outbreaks</w:t>
      </w:r>
      <w:r w:rsidRPr="009278EB">
        <w:rPr>
          <w:sz w:val="16"/>
        </w:rPr>
        <w:t xml:space="preserve">. And when things get really bad, like in the case of a pandemic, </w:t>
      </w:r>
      <w:r w:rsidRPr="00DD2D90">
        <w:rPr>
          <w:rStyle w:val="StyleUnderline"/>
          <w:highlight w:val="green"/>
        </w:rPr>
        <w:t>productivity decreases and households are pushed back into poverty</w:t>
      </w:r>
      <w:r w:rsidRPr="009278EB">
        <w:rPr>
          <w:sz w:val="16"/>
        </w:rPr>
        <w:t>. It’s been shown here.</w:t>
      </w:r>
      <w:r w:rsidR="004A572D" w:rsidRPr="009278EB">
        <w:rPr>
          <w:sz w:val="16"/>
        </w:rPr>
        <w:t xml:space="preserve"> </w:t>
      </w:r>
      <w:r w:rsidRPr="009278EB">
        <w:rPr>
          <w:sz w:val="16"/>
        </w:rPr>
        <w:t>Access to Healthcare: The Difference Between Containment and Catastrophe</w:t>
      </w:r>
      <w:r w:rsidR="004A572D" w:rsidRPr="009278EB">
        <w:rPr>
          <w:sz w:val="16"/>
        </w:rPr>
        <w:t xml:space="preserve"> </w:t>
      </w:r>
      <w:r w:rsidRPr="00DD2D90">
        <w:rPr>
          <w:rStyle w:val="StyleUnderline"/>
          <w:highlight w:val="green"/>
        </w:rPr>
        <w:t>Healthcare access is a determining factor in disease</w:t>
      </w:r>
      <w:r w:rsidRPr="00DD2D90">
        <w:rPr>
          <w:rStyle w:val="StyleUnderline"/>
        </w:rPr>
        <w:t xml:space="preserve"> emergence and persistence</w:t>
      </w:r>
      <w:r w:rsidRPr="009278EB">
        <w:rPr>
          <w:sz w:val="16"/>
        </w:rPr>
        <w:t xml:space="preserve">. </w:t>
      </w:r>
      <w:r w:rsidRPr="00DD2D90">
        <w:rPr>
          <w:rStyle w:val="StyleUnderline"/>
        </w:rPr>
        <w:t xml:space="preserve">In low-income regions, </w:t>
      </w:r>
      <w:r w:rsidRPr="00DD2D90">
        <w:rPr>
          <w:rStyle w:val="StyleUnderline"/>
          <w:highlight w:val="green"/>
        </w:rPr>
        <w:t>people</w:t>
      </w:r>
      <w:r w:rsidRPr="009278EB">
        <w:rPr>
          <w:sz w:val="16"/>
        </w:rPr>
        <w:t xml:space="preserve"> are far more likely to </w:t>
      </w:r>
      <w:r w:rsidRPr="00DD2D90">
        <w:rPr>
          <w:rStyle w:val="StyleUnderline"/>
          <w:highlight w:val="green"/>
        </w:rPr>
        <w:t>remain untreated</w:t>
      </w:r>
      <w:r w:rsidRPr="009278EB">
        <w:rPr>
          <w:sz w:val="16"/>
        </w:rPr>
        <w:t xml:space="preserve"> (or not complete treatment), </w:t>
      </w:r>
      <w:r w:rsidRPr="00DD2D90">
        <w:rPr>
          <w:rStyle w:val="StyleUnderline"/>
        </w:rPr>
        <w:t xml:space="preserve">allowing infections to spread. This means more opportunities for </w:t>
      </w:r>
      <w:r w:rsidRPr="00DD2D90">
        <w:rPr>
          <w:rStyle w:val="StyleUnderline"/>
          <w:highlight w:val="green"/>
        </w:rPr>
        <w:t xml:space="preserve">pathogens </w:t>
      </w:r>
      <w:r w:rsidRPr="00DD2D90">
        <w:rPr>
          <w:rStyle w:val="StyleUnderline"/>
        </w:rPr>
        <w:t xml:space="preserve">to </w:t>
      </w:r>
      <w:r w:rsidRPr="00DD2D90">
        <w:rPr>
          <w:rStyle w:val="Emphasis"/>
          <w:highlight w:val="green"/>
        </w:rPr>
        <w:t>mutate</w:t>
      </w:r>
      <w:r w:rsidRPr="00DD2D90">
        <w:rPr>
          <w:rStyle w:val="StyleUnderline"/>
        </w:rPr>
        <w:t xml:space="preserve">, </w:t>
      </w:r>
      <w:r w:rsidRPr="00DD2D90">
        <w:rPr>
          <w:rStyle w:val="StyleUnderline"/>
          <w:highlight w:val="green"/>
        </w:rPr>
        <w:t>which means</w:t>
      </w:r>
      <w:r w:rsidRPr="00DD2D90">
        <w:rPr>
          <w:rStyle w:val="StyleUnderline"/>
        </w:rPr>
        <w:t xml:space="preserve"> more chances for a particularly virulent virus or </w:t>
      </w:r>
      <w:r w:rsidRPr="00DD2D90">
        <w:rPr>
          <w:rStyle w:val="StyleUnderline"/>
          <w:highlight w:val="green"/>
        </w:rPr>
        <w:t xml:space="preserve">drug-resistant </w:t>
      </w:r>
      <w:r w:rsidRPr="00DD2D90">
        <w:rPr>
          <w:rStyle w:val="StyleUnderline"/>
        </w:rPr>
        <w:t xml:space="preserve">bacteria to evolve </w:t>
      </w:r>
      <w:r w:rsidRPr="00DD2D90">
        <w:rPr>
          <w:rStyle w:val="StyleUnderline"/>
          <w:highlight w:val="green"/>
        </w:rPr>
        <w:t>and</w:t>
      </w:r>
      <w:r w:rsidRPr="00DD2D90">
        <w:rPr>
          <w:rStyle w:val="StyleUnderline"/>
        </w:rPr>
        <w:t xml:space="preserve"> spread</w:t>
      </w:r>
      <w:r w:rsidRPr="009278EB">
        <w:rPr>
          <w:sz w:val="16"/>
        </w:rPr>
        <w:t xml:space="preserve"> in the population. </w:t>
      </w:r>
      <w:r w:rsidRPr="00DD2D90">
        <w:rPr>
          <w:rStyle w:val="StyleUnderline"/>
        </w:rPr>
        <w:t>These regions also</w:t>
      </w:r>
      <w:r w:rsidRPr="009278EB">
        <w:rPr>
          <w:sz w:val="16"/>
        </w:rPr>
        <w:t xml:space="preserve"> often </w:t>
      </w:r>
      <w:r w:rsidRPr="00DD2D90">
        <w:rPr>
          <w:rStyle w:val="StyleUnderline"/>
        </w:rPr>
        <w:t>face vaccine shortages, leading to unchecked outbreaks.</w:t>
      </w:r>
      <w:r w:rsidR="004A572D" w:rsidRPr="00DD2D90">
        <w:rPr>
          <w:rStyle w:val="StyleUnderline"/>
        </w:rPr>
        <w:t xml:space="preserve"> </w:t>
      </w:r>
      <w:r w:rsidRPr="009278EB">
        <w:rPr>
          <w:sz w:val="16"/>
        </w:rPr>
        <w:t xml:space="preserve">We saw this during the COVID-19 pandemic, where vaccine hoarding by wealthier nations left many lower-income countries with little access to life-saving immunisation, possibly costing more than a million lives. But these </w:t>
      </w:r>
      <w:r w:rsidRPr="00DD2D90">
        <w:rPr>
          <w:rStyle w:val="StyleUnderline"/>
        </w:rPr>
        <w:t>disparities</w:t>
      </w:r>
      <w:r w:rsidRPr="009278EB">
        <w:rPr>
          <w:sz w:val="16"/>
        </w:rPr>
        <w:t xml:space="preserve"> don’t just affect the poor—they </w:t>
      </w:r>
      <w:r w:rsidRPr="00DD2D90">
        <w:rPr>
          <w:rStyle w:val="StyleUnderline"/>
        </w:rPr>
        <w:t>allow diseases to evolve in under-vaccinated populations</w:t>
      </w:r>
      <w:r w:rsidRPr="009278EB">
        <w:rPr>
          <w:sz w:val="16"/>
        </w:rPr>
        <w:t xml:space="preserve">, ultimately </w:t>
      </w:r>
      <w:r w:rsidRPr="00DD2D90">
        <w:rPr>
          <w:rStyle w:val="StyleUnderline"/>
        </w:rPr>
        <w:t xml:space="preserve">increasing the global risk of </w:t>
      </w:r>
      <w:r w:rsidRPr="00DD2D90">
        <w:rPr>
          <w:rStyle w:val="StyleUnderline"/>
          <w:highlight w:val="green"/>
        </w:rPr>
        <w:t>vaccine-resistant variants</w:t>
      </w:r>
      <w:r w:rsidRPr="00DD2D90">
        <w:rPr>
          <w:rStyle w:val="StyleUnderline"/>
        </w:rPr>
        <w:t>.</w:t>
      </w:r>
      <w:r w:rsidR="004A572D" w:rsidRPr="00DD2D90">
        <w:rPr>
          <w:rStyle w:val="StyleUnderline"/>
        </w:rPr>
        <w:t xml:space="preserve"> </w:t>
      </w:r>
      <w:r w:rsidRPr="009278EB">
        <w:rPr>
          <w:sz w:val="16"/>
        </w:rPr>
        <w:t>Pathogens Love Crowded Cities</w:t>
      </w:r>
      <w:r w:rsidR="004A572D" w:rsidRPr="009278EB">
        <w:rPr>
          <w:sz w:val="16"/>
        </w:rPr>
        <w:t xml:space="preserve"> </w:t>
      </w:r>
      <w:r w:rsidRPr="009278EB">
        <w:rPr>
          <w:sz w:val="16"/>
        </w:rPr>
        <w:t>The future is urban. Cities are growing faster than ever in rapidly developing countries, creating environments where diseases flourish. This is because a lot of urbanisation is happening in the form of slums. These informal settlements are characterised by overcrowded housing, poor sanitation, lack of clean water, and close human-animal interactions. Not only does this make for generally deprived living conditions, but also means respiratory infections like tuberculosis can spread more easily, diarrheal diseases like cholera are difficult to control, and zoonotic spillovers are more likely (as seen with Mpox and Ebola). The bottom line is that as slum populations continue to grow, so too does the likelihood of new infectious diseases emerging. Climate Change, Displacement, and Infectious Diseases The climate crisis is a health crisis. Rising temperatures, extreme weather, and environmental degradation are all part of climate change, and in addition to their direct health impacts, these phenomena are forcing millions to migrate, often into overcrowded and unsanitary living conditions like refugee camps. This means potentially introducing diseases to new populations, but also encountering unfamiliar pathogens to which they have little immunity themselves. Combine this with the fact that migration is increasing in areas simultaneously affected by climate change and violent conflict (such as in Africa and the Middle East), and you have the perfect conditions for disease transmission – worsened healthcare infrastructure, unsanitary and overcrowded living conditions of refugee camps, and logistical difficulties in delivering vaccines and medical treatments.</w:t>
      </w:r>
      <w:r w:rsidR="004A572D" w:rsidRPr="009278EB">
        <w:rPr>
          <w:sz w:val="16"/>
        </w:rPr>
        <w:t xml:space="preserve"> </w:t>
      </w:r>
      <w:r w:rsidRPr="009278EB">
        <w:rPr>
          <w:sz w:val="16"/>
        </w:rPr>
        <w:t>Trump’s Politics: Both Selfish and Self-destructive</w:t>
      </w:r>
      <w:r w:rsidR="004A572D" w:rsidRPr="009278EB">
        <w:rPr>
          <w:sz w:val="16"/>
        </w:rPr>
        <w:t xml:space="preserve"> </w:t>
      </w:r>
      <w:r w:rsidRPr="009278EB">
        <w:rPr>
          <w:sz w:val="16"/>
        </w:rPr>
        <w:t>1. Cutting Foreign Aid</w:t>
      </w:r>
      <w:r w:rsidR="004A572D" w:rsidRPr="009278EB">
        <w:rPr>
          <w:sz w:val="16"/>
        </w:rPr>
        <w:t xml:space="preserve"> </w:t>
      </w:r>
      <w:r w:rsidRPr="009278EB">
        <w:rPr>
          <w:sz w:val="16"/>
        </w:rPr>
        <w:t>Foreign aid isn’t “fun money” for its beneficiaries. It funds vaccination programs, clean water initiatives, and disease surveillance in the poorest regions of the world. UNAIDS has warned that withdrawing U.S. support from global AIDS programs could result in 8.7 million new HIV cases and 6.3 million AIDS-related deaths by 2029, all due to treatment disruptions. A lot of this will happen in South Africa (Elon Musk’s home country), which has the most people of any country living with HIV. But cutting this funding will have dire consequences the world over -- resurgence of preventable diseases like measles, polio, tuberculosis, and malaria, as well as unnoticed pathogen emergence have the potential to affect all parts of the world.</w:t>
      </w:r>
      <w:r w:rsidR="004A572D" w:rsidRPr="009278EB">
        <w:rPr>
          <w:sz w:val="16"/>
        </w:rPr>
        <w:t xml:space="preserve"> </w:t>
      </w:r>
      <w:r w:rsidRPr="009278EB">
        <w:rPr>
          <w:sz w:val="16"/>
        </w:rPr>
        <w:t>Pathogen evolution and disease emergence do not happen in a vacuum; diseases don’t respect political borders. In a globalised world, the cost of response far outweighs the “savings” from cutting aid. Failing to invest in global health today guarantees higher costs and more deaths tomorrow. Which leads us to the next destructive Trump policy move…</w:t>
      </w:r>
      <w:r w:rsidR="004A572D" w:rsidRPr="009278EB">
        <w:rPr>
          <w:sz w:val="16"/>
        </w:rPr>
        <w:t xml:space="preserve"> </w:t>
      </w:r>
      <w:r w:rsidRPr="009278EB">
        <w:rPr>
          <w:sz w:val="16"/>
        </w:rPr>
        <w:t>2. U.S. Withdrawal from the WHO</w:t>
      </w:r>
      <w:r w:rsidR="004A572D" w:rsidRPr="009278EB">
        <w:rPr>
          <w:sz w:val="16"/>
        </w:rPr>
        <w:t xml:space="preserve"> </w:t>
      </w:r>
      <w:r w:rsidRPr="009278EB">
        <w:rPr>
          <w:sz w:val="16"/>
        </w:rPr>
        <w:t>The World Health Organization (WHO) is the primary body responsible for early warning systems for emerging diseases, vaccine distribution coordination during outbreaks, and sharing of treatment guidelines during pandemics. By withdrawing from and restricting U.S. Centers for Disease Control (CDC) collaboration (and even communication) with the WHO, the U.S. has weakened global pandemic preparedness—a decision that will ultimately backfire when the next outbreak emerges.</w:t>
      </w:r>
      <w:r w:rsidR="004A572D" w:rsidRPr="009278EB">
        <w:rPr>
          <w:sz w:val="16"/>
        </w:rPr>
        <w:t xml:space="preserve"> </w:t>
      </w:r>
      <w:r w:rsidRPr="009278EB">
        <w:rPr>
          <w:sz w:val="16"/>
        </w:rPr>
        <w:t>3. Anti-Vaccine Sentiment: A Pathogen’s Best Friend</w:t>
      </w:r>
      <w:r w:rsidR="004A572D" w:rsidRPr="009278EB">
        <w:rPr>
          <w:sz w:val="16"/>
        </w:rPr>
        <w:t xml:space="preserve"> </w:t>
      </w:r>
      <w:r w:rsidRPr="009278EB">
        <w:rPr>
          <w:sz w:val="16"/>
        </w:rPr>
        <w:t>People don’t get vaccinated —&gt; herd immunity weakens —&gt; preventable diseases return.</w:t>
      </w:r>
      <w:r w:rsidR="004A572D" w:rsidRPr="009278EB">
        <w:rPr>
          <w:sz w:val="16"/>
        </w:rPr>
        <w:t xml:space="preserve"> </w:t>
      </w:r>
      <w:r w:rsidRPr="009278EB">
        <w:rPr>
          <w:sz w:val="16"/>
        </w:rPr>
        <w:t>More hosts = more mutations, increasing the risk of vaccine-resistant strains.</w:t>
      </w:r>
      <w:r w:rsidR="004A572D" w:rsidRPr="009278EB">
        <w:rPr>
          <w:sz w:val="16"/>
        </w:rPr>
        <w:t xml:space="preserve"> </w:t>
      </w:r>
      <w:r w:rsidRPr="009278EB">
        <w:rPr>
          <w:sz w:val="16"/>
        </w:rPr>
        <w:t xml:space="preserve">Anti-vaccine policymakers like Robert Kennedy, Jr. being assigned to prominent positions such as U.S. Secretary of Health is a gift to pathogens. Pathogen evolution just is a game of basic probability. With viruses, </w:t>
      </w:r>
      <w:r w:rsidRPr="00DD2D90">
        <w:rPr>
          <w:rStyle w:val="StyleUnderline"/>
        </w:rPr>
        <w:t xml:space="preserve">mutation occurs in infected people, so </w:t>
      </w:r>
      <w:r w:rsidRPr="00DD2D90">
        <w:rPr>
          <w:rStyle w:val="StyleUnderline"/>
          <w:highlight w:val="green"/>
        </w:rPr>
        <w:t>the more people infected</w:t>
      </w:r>
      <w:r w:rsidRPr="00DD2D90">
        <w:rPr>
          <w:rStyle w:val="StyleUnderline"/>
        </w:rPr>
        <w:t xml:space="preserve"> with a virus, </w:t>
      </w:r>
      <w:r w:rsidRPr="00DD2D90">
        <w:rPr>
          <w:rStyle w:val="StyleUnderline"/>
          <w:highlight w:val="green"/>
        </w:rPr>
        <w:t>the more chances we give it to mutate</w:t>
      </w:r>
      <w:r w:rsidRPr="009278EB">
        <w:rPr>
          <w:sz w:val="16"/>
        </w:rPr>
        <w:t xml:space="preserve">. </w:t>
      </w:r>
      <w:r w:rsidRPr="00DD2D90">
        <w:rPr>
          <w:rStyle w:val="StyleUnderline"/>
        </w:rPr>
        <w:t>This means more chances for a more virulent or drug-resistant strain to emerge</w:t>
      </w:r>
      <w:r w:rsidRPr="009278EB">
        <w:rPr>
          <w:sz w:val="16"/>
        </w:rPr>
        <w:t xml:space="preserve">. In a nutshell: The Bottom Line: </w:t>
      </w:r>
      <w:r w:rsidRPr="00DD2D90">
        <w:rPr>
          <w:rStyle w:val="StyleUnderline"/>
        </w:rPr>
        <w:t>Global Health Security is Collective Security</w:t>
      </w:r>
      <w:r w:rsidR="004A572D" w:rsidRPr="00DD2D90">
        <w:rPr>
          <w:rStyle w:val="StyleUnderline"/>
        </w:rPr>
        <w:t xml:space="preserve"> </w:t>
      </w:r>
      <w:r w:rsidRPr="00DD2D90">
        <w:rPr>
          <w:rStyle w:val="StyleUnderline"/>
        </w:rPr>
        <w:t>Outbreak preparedness is</w:t>
      </w:r>
      <w:r w:rsidRPr="009278EB">
        <w:rPr>
          <w:sz w:val="16"/>
        </w:rPr>
        <w:t xml:space="preserve">n’t about charity—it’s </w:t>
      </w:r>
      <w:r w:rsidRPr="00DD2D90">
        <w:rPr>
          <w:rStyle w:val="StyleUnderline"/>
        </w:rPr>
        <w:t xml:space="preserve">about </w:t>
      </w:r>
      <w:r w:rsidRPr="00DD2D90">
        <w:rPr>
          <w:rStyle w:val="Emphasis"/>
        </w:rPr>
        <w:t>self-preservation</w:t>
      </w:r>
      <w:r w:rsidRPr="009278EB">
        <w:rPr>
          <w:sz w:val="16"/>
        </w:rPr>
        <w:t xml:space="preserve">. </w:t>
      </w:r>
      <w:r w:rsidRPr="00DD2D90">
        <w:rPr>
          <w:rStyle w:val="StyleUnderline"/>
          <w:highlight w:val="green"/>
        </w:rPr>
        <w:t>Addressing</w:t>
      </w:r>
      <w:r w:rsidRPr="00DD2D90">
        <w:rPr>
          <w:rStyle w:val="StyleUnderline"/>
        </w:rPr>
        <w:t xml:space="preserve"> global </w:t>
      </w:r>
      <w:r w:rsidRPr="00DD2D90">
        <w:rPr>
          <w:rStyle w:val="StyleUnderline"/>
          <w:highlight w:val="green"/>
        </w:rPr>
        <w:t>health disparities</w:t>
      </w:r>
      <w:r w:rsidRPr="009278EB">
        <w:rPr>
          <w:sz w:val="16"/>
        </w:rPr>
        <w:t xml:space="preserve"> </w:t>
      </w:r>
      <w:r w:rsidRPr="00DD2D90">
        <w:rPr>
          <w:rStyle w:val="StyleUnderline"/>
          <w:highlight w:val="green"/>
        </w:rPr>
        <w:t>is</w:t>
      </w:r>
      <w:r w:rsidRPr="009278EB">
        <w:rPr>
          <w:sz w:val="16"/>
        </w:rPr>
        <w:t xml:space="preserve">n’t just an ethical imperative; it’s </w:t>
      </w:r>
      <w:r w:rsidRPr="00DD2D90">
        <w:rPr>
          <w:rStyle w:val="StyleUnderline"/>
          <w:highlight w:val="green"/>
        </w:rPr>
        <w:t>a necessity for preventing the next pandemic</w:t>
      </w:r>
      <w:r w:rsidRPr="00DD2D90">
        <w:rPr>
          <w:rStyle w:val="StyleUnderline"/>
        </w:rPr>
        <w:t>.</w:t>
      </w:r>
      <w:r w:rsidRPr="009278EB">
        <w:rPr>
          <w:sz w:val="16"/>
        </w:rPr>
        <w:t xml:space="preserve"> It’s a “when,” not an “if,” and </w:t>
      </w:r>
      <w:r w:rsidRPr="00DD2D90">
        <w:rPr>
          <w:rStyle w:val="StyleUnderline"/>
        </w:rPr>
        <w:t xml:space="preserve">the world is </w:t>
      </w:r>
      <w:r w:rsidRPr="00DD2D90">
        <w:rPr>
          <w:rStyle w:val="Emphasis"/>
        </w:rPr>
        <w:t>too interconnected</w:t>
      </w:r>
      <w:r w:rsidRPr="00DD2D90">
        <w:rPr>
          <w:rStyle w:val="StyleUnderline"/>
        </w:rPr>
        <w:t xml:space="preserve"> to take chances</w:t>
      </w:r>
      <w:r w:rsidRPr="009278EB">
        <w:rPr>
          <w:sz w:val="16"/>
        </w:rPr>
        <w:t>. Governments and policymakers should be supporting, not defunding global vaccination programs, disease surveillance, and medical research. They should be strengthening, not weakening international health cooperation.</w:t>
      </w:r>
      <w:r w:rsidR="004A572D" w:rsidRPr="009278EB">
        <w:rPr>
          <w:sz w:val="16"/>
        </w:rPr>
        <w:t xml:space="preserve"> </w:t>
      </w:r>
      <w:r w:rsidRPr="009278EB">
        <w:rPr>
          <w:sz w:val="16"/>
        </w:rPr>
        <w:t>But what can non-policymakers do? There are still meaningful ways to push back against policies that weaken global health systems:</w:t>
      </w:r>
      <w:r w:rsidR="004A572D" w:rsidRPr="009278EB">
        <w:rPr>
          <w:sz w:val="16"/>
        </w:rPr>
        <w:t xml:space="preserve"> </w:t>
      </w:r>
      <w:r w:rsidRPr="009278EB">
        <w:rPr>
          <w:sz w:val="16"/>
        </w:rPr>
        <w:t>The Bottom Line: Global Health Security is Collective Security</w:t>
      </w:r>
    </w:p>
    <w:p w14:paraId="76F04038" w14:textId="1B0F6E41" w:rsidR="00605696" w:rsidRPr="00D05211" w:rsidRDefault="00605696" w:rsidP="00605696">
      <w:pPr>
        <w:pStyle w:val="Heading3"/>
        <w:rPr>
          <w:rFonts w:ascii="Arial Black" w:hAnsi="Arial Black"/>
          <w:color w:val="B43E1F"/>
          <w:szCs w:val="32"/>
        </w:rPr>
      </w:pPr>
      <w:bookmarkStart w:id="40" w:name="_lgkk2wib2u0a" w:colFirst="0" w:colLast="0"/>
      <w:bookmarkEnd w:id="40"/>
      <w:r w:rsidRPr="00D05211">
        <w:rPr>
          <w:rFonts w:ascii="Arial Black" w:hAnsi="Arial Black"/>
          <w:color w:val="B43E1F"/>
          <w:szCs w:val="32"/>
        </w:rPr>
        <w:t xml:space="preserve">Contention 6: </w:t>
      </w:r>
      <w:r w:rsidR="00914260" w:rsidRPr="00D05211">
        <w:rPr>
          <w:rFonts w:ascii="Arial Black" w:hAnsi="Arial Black"/>
          <w:color w:val="B43E1F"/>
          <w:szCs w:val="32"/>
        </w:rPr>
        <w:t>Global South</w:t>
      </w:r>
    </w:p>
    <w:p w14:paraId="4D320316" w14:textId="77777777" w:rsidR="00893021" w:rsidRPr="00DD2D90" w:rsidRDefault="00893021" w:rsidP="00893021">
      <w:pPr>
        <w:pStyle w:val="Heading4"/>
        <w:rPr>
          <w:sz w:val="22"/>
        </w:rPr>
      </w:pPr>
      <w:r w:rsidRPr="00DD2D90">
        <w:rPr>
          <w:sz w:val="22"/>
        </w:rPr>
        <w:t>See the 2024 Nov-Dec Kankee Brief on wealth taxes for more evidence on the benefits and harms of philanthrocapitalism, which is respectively useful for the negative (as 1NR blocks) and affirmative (as supplements to this contention).</w:t>
      </w:r>
    </w:p>
    <w:p w14:paraId="753DC268" w14:textId="77777777" w:rsidR="0077760B" w:rsidRPr="00DD2D90" w:rsidRDefault="0077760B" w:rsidP="0077760B"/>
    <w:p w14:paraId="23850944" w14:textId="643975C2" w:rsidR="0077760B" w:rsidRPr="009278EB" w:rsidRDefault="0077760B" w:rsidP="0077760B">
      <w:pPr>
        <w:pStyle w:val="Heading4"/>
        <w:rPr>
          <w:szCs w:val="26"/>
        </w:rPr>
      </w:pPr>
      <w:bookmarkStart w:id="41" w:name="_g7yy20gcvft" w:colFirst="0" w:colLast="0"/>
      <w:bookmarkStart w:id="42" w:name="_b3u10gwib2ic" w:colFirst="0" w:colLast="0"/>
      <w:bookmarkEnd w:id="41"/>
      <w:bookmarkEnd w:id="42"/>
      <w:r w:rsidRPr="009278EB">
        <w:rPr>
          <w:szCs w:val="26"/>
        </w:rPr>
        <w:t xml:space="preserve">Global Health Solidarity </w:t>
      </w:r>
      <w:r w:rsidR="00404B17" w:rsidRPr="009278EB">
        <w:rPr>
          <w:szCs w:val="26"/>
        </w:rPr>
        <w:t>is key to treating all of humanity with inherent dignity</w:t>
      </w:r>
    </w:p>
    <w:p w14:paraId="41C13DEF" w14:textId="77777777" w:rsidR="0077760B" w:rsidRPr="00DD2D90" w:rsidRDefault="0077760B" w:rsidP="0077760B">
      <w:pPr>
        <w:rPr>
          <w:rFonts w:eastAsia="Calibri"/>
        </w:rPr>
      </w:pPr>
      <w:r w:rsidRPr="009278EB">
        <w:rPr>
          <w:rFonts w:eastAsia="Calibri"/>
          <w:b/>
          <w:bCs/>
          <w:sz w:val="26"/>
          <w:szCs w:val="26"/>
        </w:rPr>
        <w:t>Wang 25</w:t>
      </w:r>
      <w:r w:rsidRPr="00DD2D90">
        <w:rPr>
          <w:rFonts w:eastAsia="Calibri"/>
          <w:b/>
          <w:bCs/>
        </w:rPr>
        <w:t xml:space="preserve"> </w:t>
      </w:r>
      <w:r w:rsidRPr="00DD2D90">
        <w:rPr>
          <w:rFonts w:eastAsia="Calibri"/>
        </w:rPr>
        <w:t>[Yijie Wang, Researcher at Goethe University Frankfurt, 10-27-2025, “Global Health Solidarity: A Multidimensional Framework,” Bioethics, https://pmc.ncbi.nlm.nih.gov/articles/PMC12797105/?]/Kankee</w:t>
      </w:r>
    </w:p>
    <w:p w14:paraId="2D71D790" w14:textId="77777777" w:rsidR="0077760B" w:rsidRPr="009278EB" w:rsidRDefault="0077760B" w:rsidP="0077760B">
      <w:pPr>
        <w:rPr>
          <w:rFonts w:eastAsia="Calibri"/>
          <w:sz w:val="16"/>
        </w:rPr>
      </w:pPr>
      <w:r w:rsidRPr="009278EB">
        <w:rPr>
          <w:rFonts w:eastAsia="Calibri"/>
          <w:sz w:val="16"/>
        </w:rPr>
        <w:t>Solidarity has emerged as a vital concept in bioethics.</w:t>
      </w:r>
      <w:r w:rsidRPr="00DD2D90">
        <w:rPr>
          <w:rFonts w:eastAsia="Calibri"/>
          <w:highlight w:val="green"/>
          <w:u w:val="single"/>
        </w:rPr>
        <w:t xml:space="preserve"> In recent years, the concept of solidarity has transcended domestic boundaries</w:t>
      </w:r>
      <w:r w:rsidRPr="00DD2D90">
        <w:rPr>
          <w:rFonts w:eastAsia="Calibri"/>
          <w:u w:val="single"/>
        </w:rPr>
        <w:t>,</w:t>
      </w:r>
      <w:r w:rsidRPr="009278EB">
        <w:rPr>
          <w:rFonts w:eastAsia="Calibri"/>
          <w:sz w:val="16"/>
        </w:rPr>
        <w:t xml:space="preserve"> with its rhetorical power being leveraged across diverse global health contexts. However, despite its prominence in bioethics and its rhetorical use in global health, health solidarity remains largely confined to domestic contexts. This paper fills this gap by exploring the possibility of extending health solidarity on a global level. Rather than pursuing a singular, unitary concept, I propose to conceptualize global health solidarity (GHS) with a multidimensional framework that encompasses four essential modes: prudential, moral, sociopolitical, and institutional. The prudential mode provides a compelling foundation for GHS through self‐interested motivations, emphasizing global health interdependence. The moral mode frames GHS as morally right or good, grounded in relational personhood, functioning either as a duty or a virtue. The sociopolitical mode conceptualizes GHS as a politically significant, prosocial phenomenon in pursuing liberation and confronting injustices, enabling project‐based collaboration beyond identity boundaries. The institutional mode formalizes GHS through established structures, shaping global bioethics frameworks and health governance systems. Recognizing these diverse sources, contexts, and practices of solidarity, the multidimensional framework offers a comprehensive conceptual map for understanding and operationalizing GHS. It provides both analytical clarity and practical guidance for navigating solidarity‐based practices in global health contexts. When compared with established frameworks, such as global health justice, global health governance, global health activism, and global health security,</w:t>
      </w:r>
      <w:r w:rsidRPr="00DD2D90">
        <w:rPr>
          <w:rFonts w:eastAsia="Calibri"/>
          <w:u w:val="single"/>
        </w:rPr>
        <w:t xml:space="preserve"> </w:t>
      </w:r>
      <w:r w:rsidRPr="00DD2D90">
        <w:rPr>
          <w:rFonts w:eastAsia="Calibri"/>
          <w:b/>
          <w:bCs/>
          <w:highlight w:val="green"/>
          <w:u w:val="single"/>
        </w:rPr>
        <w:t>GHS</w:t>
      </w:r>
      <w:r w:rsidRPr="00DD2D90">
        <w:rPr>
          <w:rFonts w:eastAsia="Calibri"/>
          <w:highlight w:val="green"/>
          <w:u w:val="single"/>
        </w:rPr>
        <w:t xml:space="preserve"> provides</w:t>
      </w:r>
      <w:r w:rsidRPr="00DD2D90">
        <w:rPr>
          <w:rFonts w:eastAsia="Calibri"/>
          <w:u w:val="single"/>
        </w:rPr>
        <w:t xml:space="preserve"> </w:t>
      </w:r>
      <w:r w:rsidRPr="00DD2D90">
        <w:rPr>
          <w:rFonts w:eastAsia="Calibri"/>
          <w:b/>
          <w:bCs/>
          <w:u w:val="single"/>
        </w:rPr>
        <w:t>distinct added value</w:t>
      </w:r>
      <w:r w:rsidRPr="00DD2D90">
        <w:rPr>
          <w:rFonts w:eastAsia="Calibri"/>
          <w:u w:val="single"/>
        </w:rPr>
        <w:t xml:space="preserve"> and deserves a more</w:t>
      </w:r>
      <w:r w:rsidRPr="00DD2D90">
        <w:rPr>
          <w:rFonts w:eastAsia="Calibri"/>
          <w:highlight w:val="green"/>
          <w:u w:val="single"/>
        </w:rPr>
        <w:t xml:space="preserve"> fundamental </w:t>
      </w:r>
      <w:r w:rsidRPr="00DD2D90">
        <w:rPr>
          <w:rFonts w:eastAsia="Calibri"/>
          <w:u w:val="single"/>
        </w:rPr>
        <w:t xml:space="preserve">place in the current </w:t>
      </w:r>
      <w:r w:rsidRPr="00DD2D90">
        <w:rPr>
          <w:rFonts w:eastAsia="Calibri"/>
          <w:highlight w:val="green"/>
          <w:u w:val="single"/>
        </w:rPr>
        <w:t xml:space="preserve">global health </w:t>
      </w:r>
      <w:r w:rsidRPr="00DD2D90">
        <w:rPr>
          <w:rFonts w:eastAsia="Calibri"/>
          <w:u w:val="single"/>
        </w:rPr>
        <w:t>discourse.</w:t>
      </w:r>
      <w:r w:rsidRPr="009278EB">
        <w:rPr>
          <w:rFonts w:eastAsia="Calibri"/>
          <w:sz w:val="16"/>
        </w:rPr>
        <w:t xml:space="preserve"> Keywords: global health, institutional, moral, prudential, sociopolitical, solidarity 1. Introduction </w:t>
      </w:r>
      <w:r w:rsidRPr="00DD2D90">
        <w:rPr>
          <w:rFonts w:eastAsia="Calibri"/>
          <w:highlight w:val="green"/>
          <w:u w:val="single"/>
        </w:rPr>
        <w:t xml:space="preserve">Solidarity </w:t>
      </w:r>
      <w:r w:rsidRPr="00DD2D90">
        <w:rPr>
          <w:rFonts w:eastAsia="Calibri"/>
          <w:u w:val="single"/>
        </w:rPr>
        <w:t xml:space="preserve">has </w:t>
      </w:r>
      <w:r w:rsidRPr="00DD2D90">
        <w:rPr>
          <w:rFonts w:eastAsia="Calibri"/>
          <w:highlight w:val="green"/>
          <w:u w:val="single"/>
        </w:rPr>
        <w:t xml:space="preserve">emerged as a </w:t>
      </w:r>
      <w:r w:rsidRPr="00DD2D90">
        <w:rPr>
          <w:rStyle w:val="Emphasis"/>
          <w:highlight w:val="green"/>
        </w:rPr>
        <w:t>vital</w:t>
      </w:r>
      <w:r w:rsidRPr="00DD2D90">
        <w:rPr>
          <w:rFonts w:eastAsia="Calibri"/>
          <w:highlight w:val="green"/>
          <w:u w:val="single"/>
        </w:rPr>
        <w:t xml:space="preserve"> concept in bioethics</w:t>
      </w:r>
      <w:r w:rsidRPr="00DD2D90">
        <w:rPr>
          <w:rFonts w:eastAsia="Calibri"/>
          <w:u w:val="single"/>
        </w:rPr>
        <w:t xml:space="preserve">. It is defined as “an enacted commitment to carry ‘costs’ </w:t>
      </w:r>
      <w:r w:rsidRPr="009278EB">
        <w:rPr>
          <w:rFonts w:eastAsia="Calibri"/>
          <w:sz w:val="16"/>
        </w:rPr>
        <w:t>(financial, social, emotional or otherwise)</w:t>
      </w:r>
      <w:r w:rsidRPr="00DD2D90">
        <w:rPr>
          <w:rFonts w:eastAsia="Calibri"/>
          <w:u w:val="single"/>
        </w:rPr>
        <w:t xml:space="preserve"> to </w:t>
      </w:r>
      <w:r w:rsidRPr="00DD2D90">
        <w:rPr>
          <w:rFonts w:eastAsia="Calibri"/>
          <w:b/>
          <w:bCs/>
          <w:u w:val="single"/>
        </w:rPr>
        <w:t>assist</w:t>
      </w:r>
      <w:r w:rsidRPr="00DD2D90">
        <w:rPr>
          <w:rFonts w:eastAsia="Calibri"/>
          <w:u w:val="single"/>
        </w:rPr>
        <w:t xml:space="preserve"> others</w:t>
      </w:r>
      <w:r w:rsidRPr="009278EB">
        <w:rPr>
          <w:rFonts w:eastAsia="Calibri"/>
          <w:sz w:val="16"/>
        </w:rPr>
        <w:t xml:space="preserve"> with whom a person or persons recognise similarity in a relevant respect” [1, p. 52]. At its core, the principle of “standing up beside” [2] emphasizes the interconnectedness of human health, the needs of vulnerable populations, and social responsibility and care. It complements traditional bioethical frameworks focused on individualism and autonomy [3], manifesting in practices like health database governance and organ donation systems [1]. In recent years, the concept of solidarity has transcended domestic boundaries, with its rhetorical power being leveraged across global health contexts from addressing health workforce migration [4], global health research [5, 6], to responses to pandemics [7]. The COVID‐19 pandemic particularly amplified calls for solidarity through the World Health Organization's Solidarity Call to Action for equitable global access to COVID‐19 health technologies [8], the COVID‐19 Solidarity Response Fund [9], and the COVAX facility, which operates under the slogan that “no one is safe, unless everyone is safe” [10]. However, the rhetorical deployment of solidarity in global health contexts often functions more as aspirational language than an actionable framework. For example, while the WHO's Solidarity Call to Action garnered significant attention and symbolic support, it failed to generate binding commitments for technology transfer or patent waiving that would have operationalized its solidarity rhetoric. Similarly, COVAX's solidarity slogan coexisted with continued vaccine nationalism, where wealthy countries secured multiple doses per capita while low‐income countries remained largely unvaccinated. The gap between rhetoric and implementation reflects both empirical constraints and deeper conceptual limitations in extending health solidarity globally. Empirically, health policy remains primarily within the nation‐state's competence. As Wolf observes, insufficient international institutions and ongoing conflicts create structural barriers to transnational solidarity initiatives [11]. Following this, Prainsack and Buyx concluded that “possibilities of mobilising solidarity in pandemics… are limited” [12], p. 78] with their framework primarily addressing welfare systems within nation‐states rather </w:t>
      </w:r>
      <w:r w:rsidRPr="009278EB">
        <w:rPr>
          <w:sz w:val="16"/>
        </w:rPr>
        <w:t>than transnational applications. Conceptually, many scholars argue that solidarity's core characteristics resist global extension. Rorty, for example, argues that universal solidarity based on common humanity is “weak, unconvincing” [13, p. 191], while Heyd contends that solidarity is “necessarily exclusive, presupposing the existence of competing causes” [14]. This inherent partiality leads Butler and Derpmann to conclude that solidarity cannot ground universal healthcare [15, 16]. This paper aims to address this gap by exploring the possibility of extending health solidarity on a global level. Rather than pursuing a singular, unitary concept, I propose to conceptualize global health solidarity (GHS) with a multidimensional framework that encompasses four essential modes: prudential, moral, sociopolitical, and institutional. Each mode represents a distinct facet of GHS with unique conceptual foundations, normative justifications, practical challenges, and real‐world applications. The multidimensional framework offers a comprehensive conceptual map for understanding and operationalizing GHS. It provides both analytical clarity and practical guidance for navigating solidarity‐based practices in global health contexts. When compared with established frameworks, such as global health justice, global health governance, global health activism, and global health security, GHS provides distinct added value and deserves a more central place in current global health discourse. This paper unfolds in six sections. Section 2 establishes the rationale for endorsing a multidimensional framework rather than a singular, unitary concept. Section 3 examines the four modes of GHS: prudential, moral, sociopolitical, and institutional. Section 4 highlights the advantages of this framework. Section 5 positions GHS within broader global health discourse, particularly in relation to global health justice. Section 6 briefly concludes the paper and points out its principal implication. 2. Toward a Multidimensional Framework of GHS Before elaborating on the four modes of GHS, I shall establish the rationale for adopting a multidimensional framework rather than a singular, unitary concept. My analysis builds upon three crucial insights from scholars working on the concept of solidarity. First, solidarity is normatively dependent [16, 17,</w:t>
      </w:r>
      <w:r w:rsidRPr="009278EB">
        <w:rPr>
          <w:rFonts w:eastAsia="Calibri"/>
          <w:sz w:val="16"/>
        </w:rPr>
        <w:t xml:space="preserve"> 18]. It lacks intrinsic moral value, as evidenced by its operation within morally questionable contexts, for example, a Mafia organization. Instead, solidarity's normative force derives from other foundational concepts such as justice and morality. This dependency does not render solidarity redundant, but rather explains why it becomes valuable in social practices when combined with other normative ideas, and accounts for its varied meanings and applications. Because solidarity is normatively dependent on other concepts, it is necessary to endorse a multidimensional framework when conceptualizing GHS. Second, solidarity is a practical idea [1, pp. 44–48]. It exists primarily as an enacted commitment rather than as an abstract value, ideal, or inner sentiment. This practical dimension underscores the importance of context. While solidarity can be analyzed through a unified analytical framework, as an enacted commitment to bearing costs to assist others, different contexts generate different normative reasons for enacting solidary practices. For example, in moral contexts, solidarity manifests through obligations or virtues motivating assistance to others, while in sociopolitical contexts, it emerges through collective action against injustices. It is thus plausible to endorse a multidimensional framework when conceptualizing GHS to capture contextual variations. Third, solidarity is an elusive idea with various uses. Bayertz, for example, identifies four distinct uses of solidarity: morality, society, liberation, and the welfare state [19]. Expanding on this diversity, Prainsack and Buyx identify at least eight intellectual traditions that have shaped our understanding of solidarity: classical sociology, contemporary political thought, communitarianism, care ethics and feminism, rational choice theory, contractualism, global theory, and agonistic theory [12, pp. 97–122]. Further illustrating this conceptual richness, the Global Health Solidarity Project advocates for a “pluriversal” approach that incorporates various cultural and religious perspectives [20]. With these rich intellectual backgrounds, it is possible to endorse a multidimensional framework when conceptualizing GHS. While a single, unitary concept may help reduce the epistemic burden, it would fail to capture the complex, multifaceted nature of solidarity. Such simplification risks either overgeneralizing the concept of solidarity, rendering it too abstract for practical application, or narrowly focusing on a single dimension, thus missing crucial aspects. A unitary approach also cannot explain why solidarity appeals succeed in some contexts yet fail in others. A multidimensional framework addresses these limitations by providing a comprehensive yet structured conceptual model. In the following section, I elaborate on four essential modes of GHS: prudential, moral, sociopolitical, and institutional. While several existing frameworks acknowledge solidarity's multiple dimensions [1, 12], the multidimensional framework of GHS offers distinctive contributions by (1) explicitly elaborating how this multidimensionality enables solidarity to transcend domestic boundaries; (2) systematically analyzing how prudential, moral, sociopolitical, and institutional modes operate and interact in global health contexts; and (3) providing strategic guidance for how these dimensions can be deliberately emphasized or combined for different global health challenges. 3. Four Modes of GHS 3.1. Prudential Mode The prudential mode of GHS operates through self‐interested motivations or actions. It is generally assumed that self‐interest conflicts with solidarity, as solidarity sometimes requires sacrificing personal interests for others or the collective. However, enlightened self‐interest can align with solidarity. Consider the case of the organ donation system: while individuals may not donate organs for their immediate gain—indeed, donation typically involves personal cost or inconvenience—they would contribute to </w:t>
      </w:r>
      <w:r w:rsidRPr="00DD2D90">
        <w:rPr>
          <w:rStyle w:val="StyleUnderline"/>
        </w:rPr>
        <w:t>organ donation</w:t>
      </w:r>
      <w:r w:rsidRPr="009278EB">
        <w:rPr>
          <w:rFonts w:eastAsia="Calibri"/>
          <w:sz w:val="16"/>
        </w:rPr>
        <w:t xml:space="preserve"> because it </w:t>
      </w:r>
      <w:r w:rsidRPr="00DD2D90">
        <w:rPr>
          <w:rStyle w:val="StyleUnderline"/>
        </w:rPr>
        <w:t>can build a safety net that could benefit</w:t>
      </w:r>
      <w:r w:rsidRPr="009278EB">
        <w:rPr>
          <w:rFonts w:eastAsia="Calibri"/>
          <w:sz w:val="16"/>
        </w:rPr>
        <w:t xml:space="preserve"> themselves </w:t>
      </w:r>
      <w:r w:rsidRPr="00DD2D90">
        <w:rPr>
          <w:rStyle w:val="StyleUnderline"/>
        </w:rPr>
        <w:t>or loved ones in the future</w:t>
      </w:r>
      <w:r w:rsidRPr="009278EB">
        <w:rPr>
          <w:rFonts w:eastAsia="Calibri"/>
          <w:sz w:val="16"/>
        </w:rPr>
        <w:t xml:space="preserve"> if needed. In this case, </w:t>
      </w:r>
      <w:r w:rsidRPr="00DD2D90">
        <w:rPr>
          <w:rStyle w:val="StyleUnderline"/>
        </w:rPr>
        <w:t>enlightened self‐interest transcends narrow egoism by recognizing that individual ultimate long‐term interests are interdependent with the well‐being of others</w:t>
      </w:r>
      <w:r w:rsidRPr="009278EB">
        <w:rPr>
          <w:rFonts w:eastAsia="Calibri"/>
          <w:sz w:val="16"/>
        </w:rPr>
        <w:t xml:space="preserve">. This demonstrates how solidarity can align with self‐interested motivations or actions. The prudential mode becomes particularly valuable in global contexts where international cooperation faces significant challenges. Because international relations often operate through realist reasoning that prioritizes national self‐interest, purely moral appeals for solidarity often fail to motivate sufficient action from nation‐states. Besides, the global system lacks the enforcement mechanisms that enable solidarity like within welfare states. Under this background, the prudential mode can be an alternative motivation that drives global solidarity by pragmatic necessity. In the context of global health, the prudential mode offers a compelling foundation for GHS precisely because health threats demonstrate clear global interdependence. Several key examples illustrate this. First, infectious disease control reveals how pathogens disregard political boundaries, making cooperative approaches essential for effective disease management even from a self‐interested perspective [21, 22]. Besides, climate change and antimicrobial resistance shift vulnerability patterns globally, creating unexpected similarities between distant populations and pragmatic incentives for developing cooperative health infrastructure [23]. Moreover, health worker migration gives prudential reasons for recipient countries to support source countries' healthcare systems [4]. It can also serve as a starting point or “epistemological catalyst” for recognizing the similarities and shared vulnerabilities between wealthy citizens and migrants [24]. Through these mechanisms, prudential motivations can effectively drive global health solidarity even in the absence of strong moral consensus or enforcement mechanisms. The prudential argument for GHS, however, also has significant pitfalls. First, it confronts the collective action problem. Although agents may share common interests or goals, solidarity can falter when too many group members prioritize individual profit and immediate satisfaction, creating incentives to free‐ride rather than act collectively for common interests. Second, prudential solidarity often manifests as ad hoc cooperation aimed at overcoming specific threats rather than promoting comprehensive common goods. This episodic approach fails to build sustainable solidarity infrastructure for ongoing health challenges. In this process, shared interests remain differentiated and asymmetric, undermining the depth and durability of solidarity actions. Third, the prudential mode faces an inherent risk. When no shared interest exists or is perceived, agents lack motivation for solidarity actions. This explains why diseases primarily affecting developing regions, such as malaria, tuberculosis, and neglected tropical diseases, fail to generate comparable international solidarity to pandemics with global reach. These aspects reveal the limitations of the prudential mode of GHS and suggest the need for a complementary mode to achieve comprehensive global health outcomes. 3.2. Moral Mode The moral mode conceptualizes GHS as morally right or good, independent of whether it promotes self‐interest. This normative foundation derives from a </w:t>
      </w:r>
      <w:r w:rsidRPr="00DD2D90">
        <w:rPr>
          <w:rStyle w:val="StyleUnderline"/>
        </w:rPr>
        <w:t xml:space="preserve">relational ontology of </w:t>
      </w:r>
      <w:r w:rsidRPr="00DD2D90">
        <w:rPr>
          <w:rStyle w:val="StyleUnderline"/>
          <w:highlight w:val="green"/>
        </w:rPr>
        <w:t>personhood</w:t>
      </w:r>
      <w:r w:rsidRPr="009278EB">
        <w:rPr>
          <w:rFonts w:eastAsia="Calibri"/>
          <w:sz w:val="16"/>
        </w:rPr>
        <w:t xml:space="preserve">—a view that </w:t>
      </w:r>
      <w:r w:rsidRPr="00DD2D90">
        <w:rPr>
          <w:rStyle w:val="StyleUnderline"/>
          <w:highlight w:val="green"/>
        </w:rPr>
        <w:t>understands individuals</w:t>
      </w:r>
      <w:r w:rsidRPr="00DD2D90">
        <w:rPr>
          <w:rStyle w:val="StyleUnderline"/>
        </w:rPr>
        <w:t xml:space="preserve"> not </w:t>
      </w:r>
      <w:r w:rsidRPr="00DD2D90">
        <w:rPr>
          <w:rStyle w:val="StyleUnderline"/>
          <w:highlight w:val="green"/>
        </w:rPr>
        <w:t>as</w:t>
      </w:r>
      <w:r w:rsidRPr="00DD2D90">
        <w:rPr>
          <w:rStyle w:val="StyleUnderline"/>
        </w:rPr>
        <w:t xml:space="preserve"> autonomous, self‐contained entities but as fundamentally </w:t>
      </w:r>
      <w:r w:rsidRPr="00DD2D90">
        <w:rPr>
          <w:rStyle w:val="StyleUnderline"/>
          <w:highlight w:val="green"/>
        </w:rPr>
        <w:t xml:space="preserve">constituted through </w:t>
      </w:r>
      <w:r w:rsidRPr="00DD2D90">
        <w:rPr>
          <w:rStyle w:val="StyleUnderline"/>
        </w:rPr>
        <w:t xml:space="preserve">their </w:t>
      </w:r>
      <w:r w:rsidRPr="00DD2D90">
        <w:rPr>
          <w:rStyle w:val="StyleUnderline"/>
          <w:highlight w:val="green"/>
        </w:rPr>
        <w:t>relationships</w:t>
      </w:r>
      <w:r w:rsidRPr="00DD2D90">
        <w:rPr>
          <w:rStyle w:val="StyleUnderline"/>
        </w:rPr>
        <w:t xml:space="preserve"> with</w:t>
      </w:r>
      <w:r w:rsidRPr="009278EB">
        <w:rPr>
          <w:rFonts w:eastAsia="Calibri"/>
          <w:sz w:val="16"/>
        </w:rPr>
        <w:t xml:space="preserve"> others [25]. </w:t>
      </w:r>
      <w:r w:rsidRPr="00DD2D90">
        <w:rPr>
          <w:rStyle w:val="StyleUnderline"/>
          <w:highlight w:val="green"/>
        </w:rPr>
        <w:t>This</w:t>
      </w:r>
      <w:r w:rsidRPr="009278EB">
        <w:rPr>
          <w:rFonts w:eastAsia="Calibri"/>
          <w:sz w:val="16"/>
        </w:rPr>
        <w:t xml:space="preserve"> relational understanding </w:t>
      </w:r>
      <w:r w:rsidRPr="00DD2D90">
        <w:rPr>
          <w:rStyle w:val="StyleUnderline"/>
          <w:highlight w:val="green"/>
        </w:rPr>
        <w:t>generates</w:t>
      </w:r>
      <w:r w:rsidRPr="009278EB">
        <w:rPr>
          <w:rFonts w:eastAsia="Calibri"/>
          <w:sz w:val="16"/>
        </w:rPr>
        <w:t xml:space="preserve"> two distinct moral frameworks: a </w:t>
      </w:r>
      <w:r w:rsidRPr="00DD2D90">
        <w:rPr>
          <w:rStyle w:val="Emphasis"/>
          <w:highlight w:val="green"/>
        </w:rPr>
        <w:t>deontological</w:t>
      </w:r>
      <w:r w:rsidRPr="009278EB">
        <w:rPr>
          <w:rFonts w:eastAsia="Calibri"/>
          <w:sz w:val="16"/>
        </w:rPr>
        <w:t xml:space="preserve"> approach, which establishes binding moral obligations for solidarity that may be institutionalized through legal or political mechanisms [26]; </w:t>
      </w:r>
      <w:r w:rsidRPr="00DD2D90">
        <w:rPr>
          <w:rStyle w:val="StyleUnderline"/>
        </w:rPr>
        <w:t>and</w:t>
      </w:r>
      <w:r w:rsidRPr="009278EB">
        <w:rPr>
          <w:rFonts w:eastAsia="Calibri"/>
          <w:sz w:val="16"/>
        </w:rPr>
        <w:t xml:space="preserve"> an </w:t>
      </w:r>
      <w:r w:rsidRPr="00DD2D90">
        <w:rPr>
          <w:rStyle w:val="Emphasis"/>
          <w:highlight w:val="green"/>
        </w:rPr>
        <w:t>axiological</w:t>
      </w:r>
      <w:r w:rsidRPr="009278EB">
        <w:rPr>
          <w:rFonts w:eastAsia="Calibri"/>
          <w:sz w:val="16"/>
        </w:rPr>
        <w:t xml:space="preserve"> perspective, </w:t>
      </w:r>
      <w:r w:rsidRPr="00DD2D90">
        <w:rPr>
          <w:rStyle w:val="StyleUnderline"/>
        </w:rPr>
        <w:t xml:space="preserve">which frames solidarity as a </w:t>
      </w:r>
      <w:r w:rsidRPr="00DD2D90">
        <w:rPr>
          <w:rStyle w:val="Emphasis"/>
          <w:highlight w:val="green"/>
        </w:rPr>
        <w:t>supererogatory</w:t>
      </w:r>
      <w:r w:rsidRPr="00DD2D90">
        <w:rPr>
          <w:rStyle w:val="StyleUnderline"/>
        </w:rPr>
        <w:t xml:space="preserve"> duty</w:t>
      </w:r>
      <w:r w:rsidRPr="009278EB">
        <w:rPr>
          <w:rFonts w:eastAsia="Calibri"/>
          <w:sz w:val="16"/>
        </w:rPr>
        <w:t xml:space="preserve">, virtue, or ideal functioning as the “putty” for justice [1]. Additionally, the moral mode engages moral sentiments, such as empathy, trust, and loyalty. While these affective sentiments are neither necessary nor sufficient conditions for solidary action, </w:t>
      </w:r>
      <w:r w:rsidRPr="00DD2D90">
        <w:rPr>
          <w:rStyle w:val="StyleUnderline"/>
        </w:rPr>
        <w:t xml:space="preserve">they strengthen </w:t>
      </w:r>
      <w:r w:rsidRPr="00DD2D90">
        <w:rPr>
          <w:rStyle w:val="Emphasis"/>
        </w:rPr>
        <w:t>solidarity commitments</w:t>
      </w:r>
      <w:r w:rsidRPr="009278EB">
        <w:rPr>
          <w:rFonts w:eastAsia="Calibri"/>
          <w:sz w:val="16"/>
        </w:rPr>
        <w:t xml:space="preserve">. Moral arguments for GHS gain strength as human relationships increasingly globalize. Both deontological and axiological frameworks provide pathways for extending health solidarity globally. From a deontological perspective, </w:t>
      </w:r>
      <w:r w:rsidRPr="00DD2D90">
        <w:rPr>
          <w:rStyle w:val="StyleUnderline"/>
          <w:highlight w:val="green"/>
        </w:rPr>
        <w:t>our embeddedness in global relationships establishes</w:t>
      </w:r>
      <w:r w:rsidRPr="00DD2D90">
        <w:rPr>
          <w:rStyle w:val="StyleUnderline"/>
        </w:rPr>
        <w:t xml:space="preserve"> moral </w:t>
      </w:r>
      <w:r w:rsidRPr="00DD2D90">
        <w:rPr>
          <w:rStyle w:val="StyleUnderline"/>
          <w:highlight w:val="green"/>
        </w:rPr>
        <w:t>obligations toward distant others</w:t>
      </w:r>
      <w:r w:rsidRPr="009278EB">
        <w:rPr>
          <w:rFonts w:eastAsia="Calibri"/>
          <w:sz w:val="16"/>
        </w:rPr>
        <w:t xml:space="preserve">. Recent scholarship from African perspectives justifies GHS as a deontological duty derived from the relational concept of personhood embodied in “ubuntu” [27, 28]. This approach becomes particularly compelling when considering shared health vulnerabilities. </w:t>
      </w:r>
      <w:r w:rsidRPr="00DD2D90">
        <w:rPr>
          <w:rStyle w:val="StyleUnderline"/>
        </w:rPr>
        <w:t xml:space="preserve">If moral duties to protect vulnerable populations exist within national welfare states, </w:t>
      </w:r>
      <w:r w:rsidRPr="00DD2D90">
        <w:rPr>
          <w:rStyle w:val="StyleUnderline"/>
          <w:highlight w:val="green"/>
        </w:rPr>
        <w:t xml:space="preserve">it is </w:t>
      </w:r>
      <w:r w:rsidRPr="00DD2D90">
        <w:rPr>
          <w:rStyle w:val="Emphasis"/>
          <w:highlight w:val="green"/>
        </w:rPr>
        <w:t>imperative</w:t>
      </w:r>
      <w:r w:rsidRPr="00DD2D90">
        <w:rPr>
          <w:rStyle w:val="StyleUnderline"/>
          <w:highlight w:val="green"/>
        </w:rPr>
        <w:t xml:space="preserve"> to extend</w:t>
      </w:r>
      <w:r w:rsidRPr="00DD2D90">
        <w:rPr>
          <w:rStyle w:val="StyleUnderline"/>
        </w:rPr>
        <w:t xml:space="preserve"> these </w:t>
      </w:r>
      <w:r w:rsidRPr="00DD2D90">
        <w:rPr>
          <w:rStyle w:val="StyleUnderline"/>
          <w:highlight w:val="green"/>
        </w:rPr>
        <w:t>obligations</w:t>
      </w:r>
      <w:r w:rsidRPr="009278EB">
        <w:rPr>
          <w:rFonts w:eastAsia="Calibri"/>
          <w:sz w:val="16"/>
        </w:rPr>
        <w:t xml:space="preserve"> globally </w:t>
      </w:r>
      <w:r w:rsidRPr="00DD2D90">
        <w:rPr>
          <w:rStyle w:val="StyleUnderline"/>
          <w:highlight w:val="green"/>
        </w:rPr>
        <w:t>to</w:t>
      </w:r>
      <w:r w:rsidRPr="00DD2D90">
        <w:rPr>
          <w:rStyle w:val="StyleUnderline"/>
        </w:rPr>
        <w:t xml:space="preserve"> </w:t>
      </w:r>
      <w:r w:rsidRPr="00DD2D90">
        <w:rPr>
          <w:rStyle w:val="StyleUnderline"/>
          <w:highlight w:val="green"/>
        </w:rPr>
        <w:t>acknowledge</w:t>
      </w:r>
      <w:r w:rsidRPr="009278EB">
        <w:rPr>
          <w:rFonts w:eastAsia="Calibri"/>
          <w:sz w:val="16"/>
        </w:rPr>
        <w:t xml:space="preserve"> our </w:t>
      </w:r>
      <w:r w:rsidRPr="00DD2D90">
        <w:rPr>
          <w:rStyle w:val="Emphasis"/>
          <w:highlight w:val="green"/>
        </w:rPr>
        <w:t>shared vulnerabilities</w:t>
      </w:r>
      <w:r w:rsidRPr="009278EB">
        <w:rPr>
          <w:rFonts w:eastAsia="Calibri"/>
          <w:sz w:val="16"/>
        </w:rPr>
        <w:t xml:space="preserve"> to health threats [29]. From an axiological perspective, </w:t>
      </w:r>
      <w:r w:rsidRPr="00DD2D90">
        <w:rPr>
          <w:rStyle w:val="StyleUnderline"/>
        </w:rPr>
        <w:t>the non‐obligatory nature of solidarity creates space for</w:t>
      </w:r>
      <w:r w:rsidRPr="009278EB">
        <w:rPr>
          <w:rFonts w:eastAsia="Calibri"/>
          <w:sz w:val="16"/>
        </w:rPr>
        <w:t xml:space="preserve"> individuals and </w:t>
      </w:r>
      <w:r w:rsidRPr="00DD2D90">
        <w:rPr>
          <w:rStyle w:val="StyleUnderline"/>
        </w:rPr>
        <w:t>communities to</w:t>
      </w:r>
      <w:r w:rsidRPr="009278EB">
        <w:rPr>
          <w:rFonts w:eastAsia="Calibri"/>
          <w:sz w:val="16"/>
        </w:rPr>
        <w:t xml:space="preserve"> voluntarily </w:t>
      </w:r>
      <w:r w:rsidRPr="00DD2D90">
        <w:rPr>
          <w:rStyle w:val="StyleUnderline"/>
        </w:rPr>
        <w:t>cultivate solidarity</w:t>
      </w:r>
      <w:r w:rsidRPr="009278EB">
        <w:rPr>
          <w:rFonts w:eastAsia="Calibri"/>
          <w:sz w:val="16"/>
        </w:rPr>
        <w:t xml:space="preserve"> with others </w:t>
      </w:r>
      <w:r w:rsidRPr="00DD2D90">
        <w:rPr>
          <w:rStyle w:val="StyleUnderline"/>
        </w:rPr>
        <w:t>across borders, as exemplified by international HIV/AIDS campaigns</w:t>
      </w:r>
      <w:r w:rsidRPr="009278EB">
        <w:rPr>
          <w:rFonts w:eastAsia="Calibri"/>
          <w:sz w:val="16"/>
        </w:rPr>
        <w:t xml:space="preserve">. The moral mode of GHS significantly complements alternative approaches in several crucial ways. </w:t>
      </w:r>
      <w:r w:rsidRPr="00DD2D90">
        <w:rPr>
          <w:rStyle w:val="StyleUnderline"/>
        </w:rPr>
        <w:t>It provides sustained motivation</w:t>
      </w:r>
      <w:r w:rsidRPr="009278EB">
        <w:rPr>
          <w:rFonts w:eastAsia="Calibri"/>
          <w:sz w:val="16"/>
        </w:rPr>
        <w:t xml:space="preserve"> that persists when prudential calculations might prioritize narrow self‐</w:t>
      </w:r>
      <w:r w:rsidRPr="00DD2D90">
        <w:rPr>
          <w:rStyle w:val="StyleUnderline"/>
        </w:rPr>
        <w:t>interest. For marginalized populations or future generations</w:t>
      </w:r>
      <w:r w:rsidRPr="009278EB">
        <w:rPr>
          <w:rFonts w:eastAsia="Calibri"/>
          <w:sz w:val="16"/>
        </w:rPr>
        <w:t xml:space="preserve"> whose reciprocal contributions may be minimal, moral reasoning justifies extending solidarity beyond strategic exchange. Furthermore, </w:t>
      </w:r>
      <w:r w:rsidRPr="00DD2D90">
        <w:rPr>
          <w:rStyle w:val="StyleUnderline"/>
        </w:rPr>
        <w:t>it guides institutional design toward equitable outcomes rather than</w:t>
      </w:r>
      <w:r w:rsidRPr="009278EB">
        <w:rPr>
          <w:rFonts w:eastAsia="Calibri"/>
          <w:sz w:val="16"/>
        </w:rPr>
        <w:t xml:space="preserve"> mere </w:t>
      </w:r>
      <w:r w:rsidRPr="00DD2D90">
        <w:rPr>
          <w:rStyle w:val="StyleUnderline"/>
        </w:rPr>
        <w:t>efficiency</w:t>
      </w:r>
      <w:r w:rsidRPr="009278EB">
        <w:rPr>
          <w:rFonts w:eastAsia="Calibri"/>
          <w:sz w:val="16"/>
        </w:rPr>
        <w:t xml:space="preserve"> and critically identifies and challenges underlying power imbalances and historical injustices. Owing to these virtues, moral mode offers a robust normative foundation and motivational resources for sustained commitment to GHS. Nevertheless, the moral mode encounters significant challenges. Deontological approaches may struggle with specifying precise duties owed to distant others, determining responsibility allocation, and establishing effective enforcement mechanisms. Additionally, conflicts between competing obligations inevitably arise. When duties toward compatriots conflict with those toward distant others, deontological frameworks must provide compelling arguments against reasonable partiality. Axiological approaches face different obstacles, particularly regarding motivation. Since axiological solidarity represents an aspirational ideal rather than a strict duty, sustaining a consistent commitment to global health concerns without an immediate personal connection could be challenging in practice. 3.3. Sociopolitical Mode The sociopolitical mode of GHS unfolds across two interconnected dimensions. First, it conceptualizes solidarity as a social phenomenon characterized by prosocial, bottom‐up organizational structures, exemplified in diverse social movements from 18th to 19th‐century labor movements to contemporary feminist and climate change movements [30, 31].1 Second, these solidarity practices have a political significance because they often pursue liberation and justice, while fighting against oppression and injustices. Political solidarity, as defined by pioneering scholar Scholz, constitutes “a relation that forms a unity of individuals each responding to a particular situation of injustice, oppression, or social vulnerabilities” [32]. Yet political </w:t>
      </w:r>
      <w:r w:rsidRPr="00DD2D90">
        <w:rPr>
          <w:rStyle w:val="StyleUnderline"/>
          <w:highlight w:val="green"/>
        </w:rPr>
        <w:t>solidarity</w:t>
      </w:r>
      <w:r w:rsidRPr="009278EB">
        <w:rPr>
          <w:rFonts w:eastAsia="Calibri"/>
          <w:sz w:val="16"/>
        </w:rPr>
        <w:t xml:space="preserve"> extends beyond mere reactivity to encompass affirmative claims within bioethics and public health. It </w:t>
      </w:r>
      <w:r w:rsidRPr="00DD2D90">
        <w:rPr>
          <w:rStyle w:val="StyleUnderline"/>
        </w:rPr>
        <w:t>functions to</w:t>
      </w:r>
      <w:r w:rsidRPr="009278EB">
        <w:rPr>
          <w:rFonts w:eastAsia="Calibri"/>
          <w:sz w:val="16"/>
        </w:rPr>
        <w:t xml:space="preserve"> </w:t>
      </w:r>
      <w:r w:rsidRPr="00DD2D90">
        <w:rPr>
          <w:rStyle w:val="StyleUnderline"/>
        </w:rPr>
        <w:t>dismantle structural barriers to</w:t>
      </w:r>
      <w:r w:rsidRPr="009278EB">
        <w:rPr>
          <w:rFonts w:eastAsia="Calibri"/>
          <w:sz w:val="16"/>
        </w:rPr>
        <w:t xml:space="preserve"> equitable and </w:t>
      </w:r>
      <w:r w:rsidRPr="00DD2D90">
        <w:rPr>
          <w:rStyle w:val="Emphasis"/>
        </w:rPr>
        <w:t>universal healthcare</w:t>
      </w:r>
      <w:r w:rsidRPr="009278EB">
        <w:rPr>
          <w:rFonts w:eastAsia="Calibri"/>
          <w:sz w:val="16"/>
        </w:rPr>
        <w:t xml:space="preserve"> [33], </w:t>
      </w:r>
      <w:r w:rsidRPr="00DD2D90">
        <w:rPr>
          <w:rStyle w:val="StyleUnderline"/>
        </w:rPr>
        <w:t>advocate for equal access to health resources</w:t>
      </w:r>
      <w:r w:rsidRPr="009278EB">
        <w:rPr>
          <w:rFonts w:eastAsia="Calibri"/>
          <w:sz w:val="16"/>
        </w:rPr>
        <w:t xml:space="preserve"> [34], </w:t>
      </w:r>
      <w:r w:rsidRPr="00DD2D90">
        <w:rPr>
          <w:rStyle w:val="StyleUnderline"/>
        </w:rPr>
        <w:t>and prioritize vulnerable populations</w:t>
      </w:r>
      <w:r w:rsidRPr="009278EB">
        <w:rPr>
          <w:rFonts w:eastAsia="Calibri"/>
          <w:sz w:val="16"/>
        </w:rPr>
        <w:t xml:space="preserve"> to achieve health equity [35]. The sociopolitical mode holds significant promise for extending health solidarity globally. </w:t>
      </w:r>
      <w:r w:rsidRPr="00DD2D90">
        <w:rPr>
          <w:rStyle w:val="StyleUnderline"/>
        </w:rPr>
        <w:t xml:space="preserve">It </w:t>
      </w:r>
      <w:r w:rsidRPr="00DD2D90">
        <w:rPr>
          <w:rStyle w:val="StyleUnderline"/>
          <w:highlight w:val="green"/>
        </w:rPr>
        <w:t>transcends</w:t>
      </w:r>
      <w:r w:rsidRPr="00DD2D90">
        <w:rPr>
          <w:rStyle w:val="StyleUnderline"/>
        </w:rPr>
        <w:t xml:space="preserve"> traditional </w:t>
      </w:r>
      <w:r w:rsidRPr="00DD2D90">
        <w:rPr>
          <w:rStyle w:val="StyleUnderline"/>
          <w:highlight w:val="green"/>
        </w:rPr>
        <w:t>identity</w:t>
      </w:r>
      <w:r w:rsidRPr="00DD2D90">
        <w:rPr>
          <w:rStyle w:val="StyleUnderline"/>
        </w:rPr>
        <w:t xml:space="preserve">‐based boundaries </w:t>
      </w:r>
      <w:r w:rsidRPr="00DD2D90">
        <w:rPr>
          <w:rStyle w:val="StyleUnderline"/>
          <w:highlight w:val="green"/>
        </w:rPr>
        <w:t>in favor of</w:t>
      </w:r>
      <w:r w:rsidRPr="00DD2D90">
        <w:rPr>
          <w:rStyle w:val="StyleUnderline"/>
        </w:rPr>
        <w:t xml:space="preserve"> project‐led </w:t>
      </w:r>
      <w:r w:rsidRPr="00DD2D90">
        <w:rPr>
          <w:rStyle w:val="StyleUnderline"/>
          <w:highlight w:val="green"/>
        </w:rPr>
        <w:t>collaboration</w:t>
      </w:r>
      <w:r w:rsidRPr="009278EB">
        <w:rPr>
          <w:rFonts w:eastAsia="Calibri"/>
          <w:sz w:val="16"/>
        </w:rPr>
        <w:t xml:space="preserve">. Unlike solidarity founded on pre‐existing relational ties or national affiliations, </w:t>
      </w:r>
      <w:r w:rsidRPr="00DD2D90">
        <w:rPr>
          <w:rStyle w:val="StyleUnderline"/>
        </w:rPr>
        <w:t xml:space="preserve">sociopolitical solidarity mobilizes around specific goals, enabling cross‐border coalitions </w:t>
      </w:r>
      <w:r w:rsidRPr="00DD2D90">
        <w:rPr>
          <w:rStyle w:val="StyleUnderline"/>
          <w:highlight w:val="green"/>
        </w:rPr>
        <w:t>addressing</w:t>
      </w:r>
      <w:r w:rsidRPr="00DD2D90">
        <w:rPr>
          <w:rStyle w:val="StyleUnderline"/>
        </w:rPr>
        <w:t xml:space="preserve"> </w:t>
      </w:r>
      <w:r w:rsidRPr="00DD2D90">
        <w:rPr>
          <w:rStyle w:val="StyleUnderline"/>
          <w:highlight w:val="green"/>
        </w:rPr>
        <w:t>shared</w:t>
      </w:r>
      <w:r w:rsidRPr="00DD2D90">
        <w:rPr>
          <w:rStyle w:val="StyleUnderline"/>
        </w:rPr>
        <w:t xml:space="preserve"> health </w:t>
      </w:r>
      <w:r w:rsidRPr="00DD2D90">
        <w:rPr>
          <w:rStyle w:val="StyleUnderline"/>
          <w:highlight w:val="green"/>
        </w:rPr>
        <w:t>challenges</w:t>
      </w:r>
      <w:r w:rsidRPr="00DD2D90">
        <w:rPr>
          <w:rStyle w:val="StyleUnderline"/>
        </w:rPr>
        <w:t>.</w:t>
      </w:r>
      <w:r w:rsidRPr="009278EB">
        <w:rPr>
          <w:rFonts w:eastAsia="Calibri"/>
          <w:sz w:val="16"/>
        </w:rPr>
        <w:t xml:space="preserve"> Gould, for example, differentiates between “unitary solidarity”, typically confined to citizen relationships within state boundaries, and “networking solidarity”, which emerges when diverse groups collaborate across borders on projects confronting oppression or exploitation [33, 36]. </w:t>
      </w:r>
      <w:r w:rsidRPr="00DD2D90">
        <w:rPr>
          <w:rStyle w:val="StyleUnderline"/>
          <w:highlight w:val="green"/>
        </w:rPr>
        <w:t>GHS</w:t>
      </w:r>
      <w:r w:rsidRPr="009278EB">
        <w:rPr>
          <w:rFonts w:eastAsia="Calibri"/>
          <w:sz w:val="16"/>
        </w:rPr>
        <w:t xml:space="preserve"> thus </w:t>
      </w:r>
      <w:r w:rsidRPr="00DD2D90">
        <w:rPr>
          <w:rStyle w:val="StyleUnderline"/>
          <w:highlight w:val="green"/>
        </w:rPr>
        <w:t>demands</w:t>
      </w:r>
      <w:r w:rsidRPr="009278EB">
        <w:rPr>
          <w:rFonts w:eastAsia="Calibri"/>
          <w:sz w:val="16"/>
        </w:rPr>
        <w:t xml:space="preserve"> “active participation in social movements aimed at improving healthcare nationally or transnationally, or, more defensively, to </w:t>
      </w:r>
      <w:r w:rsidRPr="00DD2D90">
        <w:rPr>
          <w:rStyle w:val="StyleUnderline"/>
          <w:highlight w:val="green"/>
        </w:rPr>
        <w:t xml:space="preserve">protesting </w:t>
      </w:r>
      <w:r w:rsidRPr="00DD2D90">
        <w:rPr>
          <w:rStyle w:val="Emphasis"/>
          <w:highlight w:val="green"/>
        </w:rPr>
        <w:t>structural injustices</w:t>
      </w:r>
      <w:r w:rsidRPr="00DD2D90">
        <w:rPr>
          <w:rStyle w:val="StyleUnderline"/>
        </w:rPr>
        <w:t xml:space="preserve"> that lead to the wrongful denial of healthcare or to deep inequalities </w:t>
      </w:r>
      <w:r w:rsidRPr="00DD2D90">
        <w:rPr>
          <w:rStyle w:val="StyleUnderline"/>
          <w:highlight w:val="green"/>
        </w:rPr>
        <w:t>in</w:t>
      </w:r>
      <w:r w:rsidRPr="00DD2D90">
        <w:rPr>
          <w:rStyle w:val="StyleUnderline"/>
        </w:rPr>
        <w:t xml:space="preserve"> its allocation</w:t>
      </w:r>
      <w:r w:rsidRPr="009278EB">
        <w:rPr>
          <w:rFonts w:eastAsia="Calibri"/>
          <w:sz w:val="16"/>
        </w:rPr>
        <w:t xml:space="preserve">” [33, p. 548]. </w:t>
      </w:r>
      <w:r w:rsidRPr="00DD2D90">
        <w:rPr>
          <w:rStyle w:val="StyleUnderline"/>
        </w:rPr>
        <w:t>This</w:t>
      </w:r>
      <w:r w:rsidRPr="009278EB">
        <w:rPr>
          <w:rFonts w:eastAsia="Calibri"/>
          <w:sz w:val="16"/>
        </w:rPr>
        <w:t xml:space="preserve"> mode has demonstrably </w:t>
      </w:r>
      <w:r w:rsidRPr="00DD2D90">
        <w:rPr>
          <w:rStyle w:val="StyleUnderline"/>
        </w:rPr>
        <w:t xml:space="preserve">facilitated </w:t>
      </w:r>
      <w:r w:rsidRPr="00DD2D90">
        <w:rPr>
          <w:rStyle w:val="StyleUnderline"/>
          <w:highlight w:val="green"/>
        </w:rPr>
        <w:t>transnational</w:t>
      </w:r>
      <w:r w:rsidRPr="00DD2D90">
        <w:rPr>
          <w:rStyle w:val="StyleUnderline"/>
        </w:rPr>
        <w:t xml:space="preserve"> </w:t>
      </w:r>
      <w:r w:rsidRPr="00DD2D90">
        <w:rPr>
          <w:rStyle w:val="StyleUnderline"/>
          <w:highlight w:val="green"/>
        </w:rPr>
        <w:t>health</w:t>
      </w:r>
      <w:r w:rsidRPr="00DD2D90">
        <w:rPr>
          <w:rStyle w:val="StyleUnderline"/>
        </w:rPr>
        <w:t xml:space="preserve"> advocacy</w:t>
      </w:r>
      <w:r w:rsidRPr="009278EB">
        <w:rPr>
          <w:rFonts w:eastAsia="Calibri"/>
          <w:sz w:val="16"/>
        </w:rPr>
        <w:t xml:space="preserve">, as evidenced in the HIV/AIDS movement, where organizations like ACT UP united diverse international communities in campaigns for research funding and treatment accessibility [37]. More recently, the People's Vaccine Campaign exemplifies contemporary GHS through its coalition of transnational actors advocating for intellectual property waivers for COVID‐19 vaccines, treatments, and diagnostics, illustrating how project‐focused solidarity can transcend national interests to pursue global health equity [38]. The sociopolitical mode for GHS becomes particularly vital in contexts where institutionalized mechanisms for universal or equitable healthcare are absent or inadequate. These solidarity movements generate substantial mobilizing power that transcends traditional boundaries, facilitating cross‐border collaboration organized around shared objectives rather than pre‐existing affiliations. Such movements strengthen global civil society networks and exert normative pressure on institutional policies and practices within global health governance. Nevertheless, the sociopolitical mode confronts significant challenges. Practical implementation often encounters resistance from entrenched power structures that prioritize established interests over transformative change. Additionally, bottom‐up movements may struggle with the complex coordination required across diverse healthcare systems and cultural contexts. The episodic nature of solidarity campaigns can limit their capacity to address persistent global health inequities that demand sustained institutional commitment and structural reform. 3.4. Institutional Mode The institutional mode of GHS conceptualizes solidarity as formalized in social institutions. This corresponds to what Prainsack and Buyx identify as the tier 3 level of solidarity, where the values or principles enacted and emerged through interpersonal or group‐based practices are solidified in the contractual, legal, or administrative norms [1]. Modern </w:t>
      </w:r>
      <w:r w:rsidRPr="00DD2D90">
        <w:rPr>
          <w:rStyle w:val="StyleUnderline"/>
        </w:rPr>
        <w:t>welfare states</w:t>
      </w:r>
      <w:r w:rsidRPr="009278EB">
        <w:rPr>
          <w:rFonts w:eastAsia="Calibri"/>
          <w:sz w:val="16"/>
        </w:rPr>
        <w:t xml:space="preserve">, </w:t>
      </w:r>
      <w:r w:rsidRPr="00DD2D90">
        <w:rPr>
          <w:rStyle w:val="StyleUnderline"/>
        </w:rPr>
        <w:t>progressive</w:t>
      </w:r>
      <w:r w:rsidRPr="009278EB">
        <w:rPr>
          <w:rFonts w:eastAsia="Calibri"/>
          <w:sz w:val="16"/>
        </w:rPr>
        <w:t xml:space="preserve"> taxation, and </w:t>
      </w:r>
      <w:r w:rsidRPr="00DD2D90">
        <w:rPr>
          <w:rStyle w:val="StyleUnderline"/>
          <w:highlight w:val="green"/>
        </w:rPr>
        <w:t>health</w:t>
      </w:r>
      <w:r w:rsidRPr="00DD2D90">
        <w:rPr>
          <w:rStyle w:val="StyleUnderline"/>
        </w:rPr>
        <w:t xml:space="preserve"> </w:t>
      </w:r>
      <w:r w:rsidRPr="00DD2D90">
        <w:rPr>
          <w:rStyle w:val="StyleUnderline"/>
          <w:highlight w:val="green"/>
        </w:rPr>
        <w:t>insurance</w:t>
      </w:r>
      <w:r w:rsidRPr="009278EB">
        <w:rPr>
          <w:rFonts w:eastAsia="Calibri"/>
          <w:sz w:val="16"/>
        </w:rPr>
        <w:t xml:space="preserve"> systems </w:t>
      </w:r>
      <w:r w:rsidRPr="00DD2D90">
        <w:rPr>
          <w:rStyle w:val="StyleUnderline"/>
          <w:highlight w:val="green"/>
        </w:rPr>
        <w:t>are</w:t>
      </w:r>
      <w:r w:rsidRPr="009278EB">
        <w:rPr>
          <w:rFonts w:eastAsia="Calibri"/>
          <w:sz w:val="16"/>
        </w:rPr>
        <w:t xml:space="preserve"> typically </w:t>
      </w:r>
      <w:r w:rsidRPr="00DD2D90">
        <w:rPr>
          <w:rStyle w:val="StyleUnderline"/>
        </w:rPr>
        <w:t xml:space="preserve">considered </w:t>
      </w:r>
      <w:r w:rsidRPr="00DD2D90">
        <w:rPr>
          <w:rStyle w:val="StyleUnderline"/>
          <w:highlight w:val="green"/>
        </w:rPr>
        <w:t xml:space="preserve">symbols of </w:t>
      </w:r>
      <w:r w:rsidRPr="00DD2D90">
        <w:rPr>
          <w:rStyle w:val="Emphasis"/>
          <w:highlight w:val="green"/>
        </w:rPr>
        <w:t>institutionalized solidarity</w:t>
      </w:r>
      <w:r w:rsidRPr="009278EB">
        <w:rPr>
          <w:rFonts w:eastAsia="Calibri"/>
          <w:sz w:val="16"/>
        </w:rPr>
        <w:t xml:space="preserve">, as these systems are </w:t>
      </w:r>
      <w:r w:rsidRPr="00DD2D90">
        <w:rPr>
          <w:rStyle w:val="StyleUnderline"/>
        </w:rPr>
        <w:t>designed to share the risks and ensure basic well‐being for all their members</w:t>
      </w:r>
      <w:r w:rsidRPr="009278EB">
        <w:rPr>
          <w:rFonts w:eastAsia="Calibri"/>
          <w:sz w:val="16"/>
        </w:rPr>
        <w:t xml:space="preserve">. While European welfare states frequently invoke solidarity as their foundational principle, there exists a problem regarding whether justice, rather than solidarity, provides the more </w:t>
      </w:r>
      <w:r w:rsidRPr="009278EB">
        <w:rPr>
          <w:sz w:val="16"/>
        </w:rPr>
        <w:t xml:space="preserve">appropriate normative framework for analyzing healthcare and welfare systems. Rawls' influential work established principles for just institutional arrangements [39], which Daniels subsequently extended specifically to healthcare contexts [40]. By contrast, solidarity, or what Rawls termed “fraternity”, has occupied a more peripheral position in democratic theory, which is “unrealistic to expect between members of the wider society” [39, p. 90]. This limitation has prompted scholars like Wolf to question solidarity's role in the distribution of healthcare resources [11]. Nevertheless, Rawls acknowledges that his difference principle inherently embodies fraternal values. Under this principle, individuals accept advantages only when these also improve conditions for the less fortunate, reflecting a form of institutional solidarity [39, p. 90]. I will return to the relationship between justice and solidarity, and particularly GHS and global health justice, later in Section 5. Despite theoretical debates, the institutional mode of GHS has gained traction in global bioethics frameworks and continues to influence international health governance structures. Even though there is no world state functioning as a counterpart to nation‐states for global redistribution, numerous intergovernmental organizations and legal frameworks effectively express GHS in institutional forms. The World Health Organization serves as a central coordinator of international health initiatives, pandemic responses, and global disease surveillance systems. Similarly, the GAVI Alliance demonstrates institutional solidarity by pooling resources from countries and private donors to systematically improve vaccine access worldwide [41]. Besides, </w:t>
      </w:r>
      <w:r w:rsidRPr="00DD2D90">
        <w:rPr>
          <w:rStyle w:val="StyleUnderline"/>
        </w:rPr>
        <w:t>the Universal Declaration on Bioethics and Human Rights</w:t>
      </w:r>
      <w:r w:rsidRPr="009278EB">
        <w:rPr>
          <w:sz w:val="16"/>
        </w:rPr>
        <w:t xml:space="preserve"> (</w:t>
      </w:r>
      <w:r w:rsidRPr="00DD2D90">
        <w:rPr>
          <w:rStyle w:val="Emphasis"/>
        </w:rPr>
        <w:t>UDBHR</w:t>
      </w:r>
      <w:r w:rsidRPr="009278EB">
        <w:rPr>
          <w:sz w:val="16"/>
        </w:rPr>
        <w:t xml:space="preserve">) explicitly </w:t>
      </w:r>
      <w:r w:rsidRPr="00DD2D90">
        <w:rPr>
          <w:rStyle w:val="StyleUnderline"/>
        </w:rPr>
        <w:t>incorporates solidarity as a core value</w:t>
      </w:r>
      <w:r w:rsidRPr="009278EB">
        <w:rPr>
          <w:sz w:val="16"/>
        </w:rPr>
        <w:t xml:space="preserve"> while embodying solidaristic principles [42]. The </w:t>
      </w:r>
      <w:r w:rsidRPr="00DD2D90">
        <w:rPr>
          <w:rStyle w:val="Emphasis"/>
        </w:rPr>
        <w:t>WHO</w:t>
      </w:r>
      <w:r w:rsidRPr="009278EB">
        <w:rPr>
          <w:sz w:val="16"/>
        </w:rPr>
        <w:t xml:space="preserve"> Pandemic Agreement represents another emerging institutional mechanism designed to </w:t>
      </w:r>
      <w:r w:rsidRPr="00DD2D90">
        <w:rPr>
          <w:rStyle w:val="StyleUnderline"/>
        </w:rPr>
        <w:t>formalize solidarity commitments for pandemic preparedness</w:t>
      </w:r>
      <w:r w:rsidRPr="009278EB">
        <w:rPr>
          <w:sz w:val="16"/>
        </w:rPr>
        <w:t xml:space="preserve"> and response across borders [43]. The institutional mode of GHS, however, may be subject to governance limitations like bureaucratic inefficiencies and frequently become arenas where geopolitical interests compete for influence and control. National self‐interests consistently restrict countries' willingness to enter binding commitments that prioritize collective health outcomes over domestic considerations. Furthermore, power asymmetries between developed and developing nations fundamentally shape how solidarity mechanisms function in practice, typically reflecting and reinforcing existing geopolitical hierarchies rather than transforming them. These structural impediments can undermine the potential of the institutional mode. 4. Advantages of the Multidimensional Framework Through the prudential, moral, sociopolitical, and institutional modes, the multidimensional framework of GHS offers several significant benefits for understanding, fostering, and implementing solidarity in global health contexts. First, the multidimensional framework of GHS provides analytical clarity. It recognizes that solidarity does not emerge from a single source or motivation. Instead, the framework bridges different theoretical traditions in bioethics, political philosophy, and international relations that have historically approached solidarity from different angles. It also recognizes that solidarity is normatively dependent and can manifest in various forms depending on context. By distinguishing between the prudential, moral, sociopolitical, and institutional dimensions, we gain a clearer understanding of the complex dynamics that drive or inhibit global health cooperation. Second, the multidimensional framework of GHS offers strategic appeal to diverse stakeholders. Different stakeholders may respond to different motivations. Some actors may be more responsive to prudential arguments, while others are motivated by moral considerations, sociopolitical projects, or institutional commitments. The multidimensional framework enables tailored communication strategies that can appeal to diverse stakeholders. When addressing political leaders, it might be more effective to emphasize prudential aspects. When engaging in civil society, the sociopolitical mode may resonate more strongly. When working with global institutional partners, institutional dimensions could be highlighted. Third, the</w:t>
      </w:r>
      <w:r w:rsidRPr="009278EB">
        <w:rPr>
          <w:rFonts w:eastAsia="Calibri"/>
          <w:sz w:val="16"/>
        </w:rPr>
        <w:t xml:space="preserve"> multidimensional framework helps explain why solidarity appears strong in some contexts but weak in others. When solidarity efforts fail, the multidimensional framework provides a more nuanced diagnostic tool. Rather than simply concluding that “solidarity failed”, we can identify specific dimensional weaknesses by asking questions like: Was self‐interest insufficiently aligned with collective action? Were moral obligations not clearly articulated or accepted? Did social connections prove too weak? Were institutional mechanisms inadequate? This diagnosis enables more targeted interventions. Finally, the multidimensional framework of GHS provides the foundation for illuminating the various relationships between different modes. The four modes can be complementary to each other, each capturing a different facet of how solidarity functions in global health contexts. They can be compensatory when another is weak: where moral motivation is insufficient, institutional mechanisms can create accountability. They can reinforce one another, as sociopolitical movements may strengthen moral commitments. They can even dynamically evolve to another, as initial cooperation based on prudential interests might gradually develop social bonds. Or they can be in conflict, as prudential calculations sometimes conflict with moral obligations. While partial or dimensional forms of solidarity have been studied, further research on their relationship is needed to develop a more comprehensive understanding and implementation mechanism toward full GHS.2 5. GHS in Global Health Discourse In the current global health discourse, scholars and practitioners are more familiar with frameworks like global health justice, global health governance, global health activism, and global health security. What added value, then, does the concept of GHS provide? How can it advance our current global health discourse? In the following, I will discuss the positive content and the added value of GHS in comparison with these established frameworks. Compared with global health justice, which focuses on the fair distribution of health resources and is concerned with structural factors causing health disparities, GHS offers distinct added value. First, GHS motivates global health justice. While Rawls established justice, rather than solidarity, as a fundamental value to social institutions, this primacy encounters practical limitations. Communitarian philosopher Sandel persuasively argued that </w:t>
      </w:r>
      <w:r w:rsidRPr="00DD2D90">
        <w:rPr>
          <w:rStyle w:val="StyleUnderline"/>
        </w:rPr>
        <w:t>providing certain goods requires a sense of solidarity, without which citizens would not make the sacrifices demanded by the difference principle</w:t>
      </w:r>
      <w:r w:rsidRPr="009278EB">
        <w:rPr>
          <w:rFonts w:eastAsia="Calibri"/>
          <w:sz w:val="16"/>
        </w:rPr>
        <w:t xml:space="preserve"> [44]. Besides, many </w:t>
      </w:r>
      <w:r w:rsidRPr="00DD2D90">
        <w:rPr>
          <w:rStyle w:val="StyleUnderline"/>
        </w:rPr>
        <w:t xml:space="preserve">cosmopolitan theorists </w:t>
      </w:r>
      <w:r w:rsidRPr="00DD2D90">
        <w:rPr>
          <w:rStyle w:val="StyleUnderline"/>
          <w:highlight w:val="green"/>
        </w:rPr>
        <w:t>view solidarity as a motivational force to fulfill cosmopolitan duties of justice</w:t>
      </w:r>
      <w:r w:rsidRPr="009278EB">
        <w:rPr>
          <w:rFonts w:eastAsia="Calibri"/>
          <w:sz w:val="16"/>
        </w:rPr>
        <w:t xml:space="preserve"> [29]. The multidimensional framework of GHS developed here extends this understanding by showing how solidarity provides prudential, moral, and sociopolitical motivation for global health justice. These motivational dimensions do not operate for solidarity's sake, as solidarity itself remains normatively dependent on ideas like justice, but can serve to enable and sustain the practical pursuit of just distribution of healthcare goods globally. Second, GHS mobilizes global health justice. Many sociopolitical philosophers position solidarity as the social basis for justice. Krishnamurthy, for example, argues that </w:t>
      </w:r>
      <w:r w:rsidRPr="00DD2D90">
        <w:rPr>
          <w:rStyle w:val="StyleUnderline"/>
        </w:rPr>
        <w:t xml:space="preserve">solidarity supports justice in a developmental way because </w:t>
      </w:r>
      <w:r w:rsidRPr="00DD2D90">
        <w:rPr>
          <w:rStyle w:val="StyleUnderline"/>
          <w:highlight w:val="green"/>
        </w:rPr>
        <w:t>commitment to justice is learned through</w:t>
      </w:r>
      <w:r w:rsidRPr="00DD2D90">
        <w:rPr>
          <w:rStyle w:val="StyleUnderline"/>
        </w:rPr>
        <w:t xml:space="preserve"> relational </w:t>
      </w:r>
      <w:r w:rsidRPr="00DD2D90">
        <w:rPr>
          <w:rStyle w:val="StyleUnderline"/>
          <w:highlight w:val="green"/>
        </w:rPr>
        <w:t>engagement with others</w:t>
      </w:r>
      <w:r w:rsidRPr="009278EB">
        <w:rPr>
          <w:rFonts w:eastAsia="Calibri"/>
          <w:sz w:val="16"/>
        </w:rPr>
        <w:t xml:space="preserve"> [34]. Similarly, </w:t>
      </w:r>
      <w:r w:rsidRPr="00DD2D90">
        <w:rPr>
          <w:rStyle w:val="StyleUnderline"/>
        </w:rPr>
        <w:t xml:space="preserve">Gould maintains solidarity as a prerequisite for justice, emphasizing that </w:t>
      </w:r>
      <w:r w:rsidRPr="00DD2D90">
        <w:rPr>
          <w:rStyle w:val="StyleUnderline"/>
          <w:highlight w:val="green"/>
        </w:rPr>
        <w:t>solidary practices create</w:t>
      </w:r>
      <w:r w:rsidRPr="00DD2D90">
        <w:rPr>
          <w:rStyle w:val="StyleUnderline"/>
        </w:rPr>
        <w:t xml:space="preserve"> concrete </w:t>
      </w:r>
      <w:r w:rsidRPr="00DD2D90">
        <w:rPr>
          <w:rStyle w:val="StyleUnderline"/>
          <w:highlight w:val="green"/>
        </w:rPr>
        <w:t xml:space="preserve">spaces for the </w:t>
      </w:r>
      <w:r w:rsidRPr="00DD2D90">
        <w:rPr>
          <w:rStyle w:val="Emphasis"/>
          <w:highlight w:val="green"/>
        </w:rPr>
        <w:t>mobilization of</w:t>
      </w:r>
      <w:r w:rsidRPr="00DD2D90">
        <w:rPr>
          <w:rStyle w:val="Emphasis"/>
        </w:rPr>
        <w:t xml:space="preserve"> </w:t>
      </w:r>
      <w:r w:rsidRPr="00DD2D90">
        <w:rPr>
          <w:rStyle w:val="Emphasis"/>
          <w:highlight w:val="green"/>
        </w:rPr>
        <w:t>justice</w:t>
      </w:r>
      <w:r w:rsidRPr="009278EB">
        <w:rPr>
          <w:rFonts w:eastAsia="Calibri"/>
          <w:sz w:val="16"/>
        </w:rPr>
        <w:t xml:space="preserve"> [45, pp. 119–131]. </w:t>
      </w:r>
      <w:r w:rsidRPr="00DD2D90">
        <w:rPr>
          <w:rStyle w:val="StyleUnderline"/>
        </w:rPr>
        <w:t>Through</w:t>
      </w:r>
      <w:r w:rsidRPr="009278EB">
        <w:rPr>
          <w:rFonts w:eastAsia="Calibri"/>
          <w:sz w:val="16"/>
        </w:rPr>
        <w:t xml:space="preserve"> </w:t>
      </w:r>
      <w:r w:rsidRPr="00DD2D90">
        <w:rPr>
          <w:rStyle w:val="StyleUnderline"/>
        </w:rPr>
        <w:t>solidary practices</w:t>
      </w:r>
      <w:r w:rsidRPr="009278EB">
        <w:rPr>
          <w:rFonts w:eastAsia="Calibri"/>
          <w:sz w:val="16"/>
        </w:rPr>
        <w:t xml:space="preserve">, the sense of </w:t>
      </w:r>
      <w:r w:rsidRPr="00DD2D90">
        <w:rPr>
          <w:rStyle w:val="StyleUnderline"/>
        </w:rPr>
        <w:t>justice is cultivated</w:t>
      </w:r>
      <w:r w:rsidRPr="009278EB">
        <w:rPr>
          <w:rFonts w:eastAsia="Calibri"/>
          <w:sz w:val="16"/>
        </w:rPr>
        <w:t xml:space="preserve">, practiced, and mobilized across multiple domains, </w:t>
      </w:r>
      <w:r w:rsidRPr="00DD2D90">
        <w:rPr>
          <w:rStyle w:val="StyleUnderline"/>
        </w:rPr>
        <w:t>addressing</w:t>
      </w:r>
      <w:r w:rsidRPr="009278EB">
        <w:rPr>
          <w:rFonts w:eastAsia="Calibri"/>
          <w:sz w:val="16"/>
        </w:rPr>
        <w:t xml:space="preserve"> not only </w:t>
      </w:r>
      <w:r w:rsidRPr="00DD2D90">
        <w:rPr>
          <w:rStyle w:val="StyleUnderline"/>
        </w:rPr>
        <w:t>distributive justice</w:t>
      </w:r>
      <w:r w:rsidRPr="009278EB">
        <w:rPr>
          <w:rFonts w:eastAsia="Calibri"/>
          <w:sz w:val="16"/>
        </w:rPr>
        <w:t xml:space="preserve"> but expanding to encompass productive, reproductive, and structural dimensions of global health justice. Third, GHS constitutes global health justice. Building on the previous point, Gould further argues that </w:t>
      </w:r>
      <w:r w:rsidRPr="00DD2D90">
        <w:rPr>
          <w:rStyle w:val="StyleUnderline"/>
        </w:rPr>
        <w:t>solidarity constitutes justice by establishing unity within broad transnational associations where redistribution becomes justified</w:t>
      </w:r>
      <w:r w:rsidRPr="009278EB">
        <w:rPr>
          <w:rFonts w:eastAsia="Calibri"/>
          <w:sz w:val="16"/>
        </w:rPr>
        <w:t xml:space="preserve"> [46]. </w:t>
      </w:r>
      <w:r w:rsidRPr="00DD2D90">
        <w:rPr>
          <w:rStyle w:val="StyleUnderline"/>
        </w:rPr>
        <w:t>When people develop solidarity across borders, they create a shared context that justifies redistributive actions</w:t>
      </w:r>
      <w:r w:rsidRPr="009278EB">
        <w:rPr>
          <w:rFonts w:eastAsia="Calibri"/>
          <w:sz w:val="16"/>
        </w:rPr>
        <w:t xml:space="preserve">. This relationship is evident in </w:t>
      </w:r>
      <w:r w:rsidRPr="00DD2D90">
        <w:rPr>
          <w:rStyle w:val="Emphasis"/>
          <w:highlight w:val="green"/>
        </w:rPr>
        <w:t>Rawls'</w:t>
      </w:r>
      <w:r w:rsidRPr="00DD2D90">
        <w:rPr>
          <w:rStyle w:val="StyleUnderline"/>
          <w:highlight w:val="green"/>
        </w:rPr>
        <w:t xml:space="preserve"> difference principle</w:t>
      </w:r>
      <w:r w:rsidRPr="00DD2D90">
        <w:rPr>
          <w:rStyle w:val="StyleUnderline"/>
        </w:rPr>
        <w:t xml:space="preserve">, which itself </w:t>
      </w:r>
      <w:r w:rsidRPr="00DD2D90">
        <w:rPr>
          <w:rStyle w:val="StyleUnderline"/>
          <w:highlight w:val="green"/>
        </w:rPr>
        <w:t>expresses</w:t>
      </w:r>
      <w:r w:rsidRPr="00DD2D90">
        <w:rPr>
          <w:rStyle w:val="StyleUnderline"/>
        </w:rPr>
        <w:t xml:space="preserve"> the idea of </w:t>
      </w:r>
      <w:r w:rsidRPr="00DD2D90">
        <w:rPr>
          <w:rStyle w:val="StyleUnderline"/>
          <w:highlight w:val="green"/>
        </w:rPr>
        <w:t>fraternity as a justification for addressing inequalities</w:t>
      </w:r>
      <w:r w:rsidRPr="009278EB">
        <w:rPr>
          <w:sz w:val="16"/>
        </w:rPr>
        <w:t>. Munoz‐Dardé further expands this through “contractualist fraternity,” proposing that in a just system, every constraint must be justified to each individual member of a solidarity community [47]. This reflexive character of solidarity, where mutual recognition and reciprocal justification are centered, constitutes justice by creating the social conditions where principles of justice can be meaningfully articulated</w:t>
      </w:r>
      <w:r w:rsidRPr="009278EB">
        <w:rPr>
          <w:rFonts w:eastAsia="Calibri"/>
          <w:sz w:val="16"/>
        </w:rPr>
        <w:t xml:space="preserve">, accepted, and implemented across diverse global contexts. Fourth, GHS complements global health justice. While justice concerns rights and duties derived from justice principles, solidarity emphasizes the relational aspects of cooperation and commonality [46, 48, pp. 71–108]. In Habermas' terms, justice and solidarity are “two sides of a coin” [49]. While justice concerns equal freedoms of individuals, solidarity addresses the welfare of citizens who are intimately linked in an intersubjectively shared form of life. This complementary relationship helps address global health challenges with a more comprehensive perspective.3 Compared with global health governance, which focuses on the institutional arrangements for managing health issues and addresses policy‐making processes and implementation, GHS complements global health governance in several meaningful ways. It provides the moral foundation for global health governance, originating from human relationships and the interconnectedness of health rather than institutional arrangements. It fills the institutional gaps: when formal governance mechanisms are weak, slow, or absent, solidarity drives informal cooperation that can respond to immediate needs. These solidary movements often have public support and can put normative pressure on existing governance structures toward transformation. Compared with global health activism, which focuses on advocacy and mobilization for health changes from a bottom‐up approach through social movements, GHS provides a complementary framework for addressing global health challenges. GHS emphasizes human relationships and shared vulnerability as common ground for health movements, which can reduce the polarization that activist framing might inadvertently create. It builds on broader coalitions, which can unite diverse stakeholders who might not engage in activist approaches. It also provides the moral foundation for sustained activism beyond immediate campaigns. Compared with global health security, which focuses on protection against cross‐border health threats often driven by self‐interest, GHS provides a more comprehensive framework. </w:t>
      </w:r>
      <w:r w:rsidRPr="00DD2D90">
        <w:rPr>
          <w:rStyle w:val="StyleUnderline"/>
          <w:highlight w:val="green"/>
        </w:rPr>
        <w:t>GHS</w:t>
      </w:r>
      <w:r w:rsidRPr="009278EB">
        <w:rPr>
          <w:rFonts w:eastAsia="Calibri"/>
          <w:sz w:val="16"/>
        </w:rPr>
        <w:t xml:space="preserve"> builds on broader moral foundations. It </w:t>
      </w:r>
      <w:r w:rsidRPr="00DD2D90">
        <w:rPr>
          <w:rStyle w:val="StyleUnderline"/>
          <w:highlight w:val="green"/>
        </w:rPr>
        <w:t>extends</w:t>
      </w:r>
      <w:r w:rsidRPr="00DD2D90">
        <w:rPr>
          <w:rStyle w:val="StyleUnderline"/>
        </w:rPr>
        <w:t xml:space="preserve"> beyond concerns about self‐interest and national security to </w:t>
      </w:r>
      <w:r w:rsidRPr="00DD2D90">
        <w:rPr>
          <w:rStyle w:val="StyleUnderline"/>
          <w:highlight w:val="green"/>
        </w:rPr>
        <w:t>genuine care for others</w:t>
      </w:r>
      <w:r w:rsidRPr="00DD2D90">
        <w:rPr>
          <w:rStyle w:val="StyleUnderline"/>
        </w:rPr>
        <w:t xml:space="preserve">. It recognizes shared vulnerability rooted in human relationships </w:t>
      </w:r>
      <w:r w:rsidRPr="00DD2D90">
        <w:rPr>
          <w:rStyle w:val="StyleUnderline"/>
          <w:highlight w:val="green"/>
        </w:rPr>
        <w:t>and considers all populations worthy of protection</w:t>
      </w:r>
      <w:r w:rsidRPr="00DD2D90">
        <w:rPr>
          <w:rStyle w:val="StyleUnderline"/>
        </w:rPr>
        <w:t>, not just those presenting security risks</w:t>
      </w:r>
      <w:r w:rsidRPr="009278EB">
        <w:rPr>
          <w:sz w:val="16"/>
        </w:rPr>
        <w:t>. GHS also addresses diverse health threats, extending concern beyond immediate threats to include non‐communicable diseases, chronic conditions, and everyday health challenges that affect human well‐being globally. 6. Conclusion This paper set out to explore the possibility of extending health solidarity on a global level. It recognizes that solidarity is a normatively dependent idea that builds on different motivations and justifications and manifests in various forms depending on</w:t>
      </w:r>
      <w:r w:rsidRPr="009278EB">
        <w:rPr>
          <w:rFonts w:eastAsia="Calibri"/>
          <w:sz w:val="16"/>
        </w:rPr>
        <w:t xml:space="preserve"> the context. This dependency necessitates the endorsement of a multidimensional framework of GHS rather than a single, unitary concept. The multidimensional framework developed in this paper encompasses four essential modes: prudential, moral, sociopolitical, and institutional. The prudential mode operates through self‐interested motivations or actions. It offers a compelling foundation for GHS precisely because </w:t>
      </w:r>
      <w:r w:rsidRPr="00DD2D90">
        <w:rPr>
          <w:rStyle w:val="StyleUnderline"/>
        </w:rPr>
        <w:t>health threats demonstrate clear global interdependence</w:t>
      </w:r>
      <w:r w:rsidRPr="009278EB">
        <w:rPr>
          <w:rFonts w:eastAsia="Calibri"/>
          <w:sz w:val="16"/>
        </w:rPr>
        <w:t xml:space="preserve">. The moral mode </w:t>
      </w:r>
      <w:r w:rsidRPr="00DD2D90">
        <w:rPr>
          <w:rStyle w:val="StyleUnderline"/>
        </w:rPr>
        <w:t>conceptualizes GHS as morally</w:t>
      </w:r>
      <w:r w:rsidRPr="009278EB">
        <w:rPr>
          <w:rFonts w:eastAsia="Calibri"/>
          <w:sz w:val="16"/>
        </w:rPr>
        <w:t xml:space="preserve"> right or </w:t>
      </w:r>
      <w:r w:rsidRPr="00DD2D90">
        <w:rPr>
          <w:rStyle w:val="StyleUnderline"/>
        </w:rPr>
        <w:t>good</w:t>
      </w:r>
      <w:r w:rsidRPr="009278EB">
        <w:rPr>
          <w:rFonts w:eastAsia="Calibri"/>
          <w:sz w:val="16"/>
        </w:rPr>
        <w:t>, deriving from a relational ontology of personhood. It can be either deontological, as a moral duty, or axiological, as supererogatory, offering a robust normative foundation and motivational resources for sustained commitment. The sociopolitical mode conceptualizes solidarity both as a social phenomenon characterized by prosocial, bottom‐up organizational structures and as politically significant in pursuing liberation and confronting injustices. It holds promise for extending health solidarity globally by transcending traditional identity‐based boundaries in favor of project‐led collaboration. The institutional mode conceptualizes solidarity as formalized in social institutions. It has gained traction in global bioethics frameworks and continues to influence international health governance structures. Integrating these dimensions, the multidimensional framework of GHS provides both analytical clarity and strategic appeal to diverse stakeholders, offering a comprehensive framework for analyzing and operationalizing health solidarity across borders. The principal implication of this paper is that GHS deserves a more central position in current global health discourse. GHS demonstrably provides distinct added value when compared with established frameworks such as global health justice, global health governance, global health activism, and global health security. It motivates, mobilizes, constitutes, and complements global health justice with relational connections that justify and enhance arguments for the fair distribution of healthcare goods globally. It expands the reach and deepens the foundations for global health governance, global health activism, and global health security. As a concept that connects with each of these established frameworks, GHS can serve as an integrative force that helps align these approaches toward more coherent global health responses. The foundational importance of GHS stems from our nature as social beings in relationship with one another. This relational reality creates both the possibility for and necessity of solidarity as a core principle in addressing the inherently interconnected challenges of global health. Recognizing this fundamental aspect of human experience, GHS should be placed in a more fundamental place in global health discourse and practices.</w:t>
      </w:r>
    </w:p>
    <w:p w14:paraId="12AD4AD9" w14:textId="77777777" w:rsidR="00893021" w:rsidRPr="009278EB" w:rsidRDefault="00893021" w:rsidP="00893021">
      <w:pPr>
        <w:rPr>
          <w:sz w:val="16"/>
        </w:rPr>
      </w:pPr>
    </w:p>
    <w:p w14:paraId="7EC19129" w14:textId="77777777" w:rsidR="00FA1D49" w:rsidRPr="009278EB" w:rsidRDefault="00FA1D49">
      <w:pPr>
        <w:rPr>
          <w:rFonts w:eastAsiaTheme="majorEastAsia" w:cstheme="majorBidi"/>
          <w:b/>
          <w:iCs/>
          <w:sz w:val="16"/>
        </w:rPr>
      </w:pPr>
      <w:r w:rsidRPr="009278EB">
        <w:rPr>
          <w:sz w:val="16"/>
        </w:rPr>
        <w:br w:type="page"/>
      </w:r>
    </w:p>
    <w:p w14:paraId="35403BCF" w14:textId="2DC1CC26" w:rsidR="00CC49CA" w:rsidRPr="009278EB" w:rsidRDefault="00CC49CA" w:rsidP="00CC49CA">
      <w:pPr>
        <w:pStyle w:val="Heading4"/>
        <w:rPr>
          <w:szCs w:val="26"/>
        </w:rPr>
      </w:pPr>
      <w:r w:rsidRPr="009278EB">
        <w:rPr>
          <w:szCs w:val="26"/>
        </w:rPr>
        <w:t>Medical IP law causes mass harm throughout the developing world through Western monopolies</w:t>
      </w:r>
    </w:p>
    <w:p w14:paraId="7C43402D" w14:textId="77777777" w:rsidR="00CC49CA" w:rsidRPr="00DD2D90" w:rsidRDefault="00CC49CA" w:rsidP="00CC49CA">
      <w:r w:rsidRPr="009278EB">
        <w:rPr>
          <w:b/>
          <w:bCs/>
          <w:sz w:val="26"/>
          <w:szCs w:val="26"/>
        </w:rPr>
        <w:t>Sell 19</w:t>
      </w:r>
      <w:r w:rsidRPr="00DD2D90">
        <w:t xml:space="preserve"> [Susan K. Sell, researcher at the School of Regulation and Global Governance at The Australian National University, 2019, “21st-century capitalism: structural challenges for universal health care,” Globalization and Health, https://d-nb.info/1206868740/34]/Kankee</w:t>
      </w:r>
    </w:p>
    <w:p w14:paraId="3B01EABB" w14:textId="77777777" w:rsidR="00CC49CA" w:rsidRPr="009278EB" w:rsidRDefault="00CC49CA" w:rsidP="00CC49CA">
      <w:pPr>
        <w:rPr>
          <w:sz w:val="16"/>
        </w:rPr>
      </w:pPr>
      <w:r w:rsidRPr="009278EB">
        <w:rPr>
          <w:sz w:val="16"/>
        </w:rPr>
        <w:t>Twenty-first-century trade, intangibles and global value chains Twenty-First-century trade and financialized capitalism have engendered profound structural change in the global economy. As Johns and Wellhausen ([32], p.33) point out, as of 2016 “MNC-coordinated supply chains account[ed] for 80 percent of global trade.” Power in GSCs and vertical production networks accrues to those who control “intangible assets related to innovation, fi- nance, and marketing” ([9], p.401). While the mechanics of their rise and contemporary dominance are not iden- tical, the big global players in IP and finance share simi- lar political goals. What has changed dramatically under twenty-first- century trade and financialized capitalism is the share of revenue going to those who control intangible assets. With the outsized role accorded to intangibles such as financial products and intellectual property [1], twenty- first-century trade entails what Baldwin ([33], p., 9) has characterized as the “trade–investment–services–and in- tellectual property nexus.” This shift towards intangibles, as opposed to commodity production and trade in goods, has shifted economic and political power towards the owners of intangibles, with negative effects on health. In particular, it has undermined the political power of labor and trade unions, enhanced the power of capital, and introduced greater uncertainty in the commitment to public provision of goods and ser- vices. Government are criticized for being both too big and too inefficient [7]. Twenty-First-century trade exhibits new features made possible by technological change and capital mobility. The rise of GSCs has resulted in a “spatial sorting of skill-intensive stages to high-wage nations and labor- intensive stages in low-wage nations” ([34], pp.13–14), fundamentally altering the political economy of trade. Trade liberalization used to be all about reciprocal mar- ket access—“‘I’ll open my markets if you open yours’”— but, with the rise of GSCs, many emerging economies have unilaterally adopted liberalizing reforms to attract foreign direct investment, factories, and jobs ([34], p.9). Countries seeking to become factories for GSCs have adopted pro-supply chain policies such as assurances for intellectual property protection and liberalized capital movements, or have yoked themselves to bilateral invest- ment treaties and regional trade agreements that fortify such assurances [33]. Services trade partisans could now claim that many domestic regulations functioned as “non-tariff barriers” to banking, data processing, and other sectors of services trade ([35], p.48). This can re- duce policy space for adopting pro-health domestic regulation. The global value chain can be conceived as moving along the following sequence: R&amp;D, design, logistics/ purchase, production, logistics/distribution, marketing and services. According to “smile curve economics,” in the 1970s, the share of revenue going to manufacture, or commodity production, was not so different from the share that went to advertising, logistics, and services [34]. By contrast, in the twenty-first-century, the bulk of the profits goes to controllers of intangibles such as R&amp;D, intellectual property (e.g., copyright, patents, trademarks) and services. “The pre- and post-fabrication stages consist primarily of services rather than goods” ([34], p.19). Owners of intangibles have gained monopoly and oli- gopoly power through the dramatically strengthened protection and enforcement of intellectual property that these owners successfully lobbied for in the 1970s and 1980s [36]. The 1994 Agreement on Trade-Related As- pects of Intellectual Property Rights (</w:t>
      </w:r>
      <w:r w:rsidRPr="00DD2D90">
        <w:rPr>
          <w:rStyle w:val="StyleUnderline"/>
        </w:rPr>
        <w:t>TRIPs</w:t>
      </w:r>
      <w:r w:rsidRPr="009278EB">
        <w:rPr>
          <w:sz w:val="16"/>
        </w:rPr>
        <w:t xml:space="preserve">) in the World Trade Organization </w:t>
      </w:r>
      <w:r w:rsidRPr="00DD2D90">
        <w:rPr>
          <w:rStyle w:val="StyleUnderline"/>
        </w:rPr>
        <w:t>ushered in</w:t>
      </w:r>
      <w:r w:rsidRPr="009278EB">
        <w:rPr>
          <w:sz w:val="16"/>
        </w:rPr>
        <w:t xml:space="preserve"> a new era of “</w:t>
      </w:r>
      <w:r w:rsidRPr="00DD2D90">
        <w:rPr>
          <w:rStyle w:val="StyleUnderline"/>
        </w:rPr>
        <w:t>in- tellectual monopoly capitalism</w:t>
      </w:r>
      <w:r w:rsidRPr="009278EB">
        <w:rPr>
          <w:sz w:val="16"/>
        </w:rPr>
        <w:t xml:space="preserve">” [37], facilitating the rise of today’s hierarchical division of labor that “generates wild competition at the lower value-added stages of pro- duction, where low wages and profit margins prevail for workers and suppliers operating out of export processing zones in developing countries” ([9], p., 401). There has been a relative de-industrialization of the Global North and a re-industrialization of the Global South. Rather than having to build global supply chains, countries in the Global South have joined them [34]. What does this mean for UHC? As McKee et al. note, “many low- and middle-income countries’ economic models have … relied heavily on extensive foreign in- vestment and integration in global markets, which has constrained their ability to raise taxes and public rev- enue, a critical precondition for establishing a viable UHC” ([6], p.S43). What we talk about in discussing “trade” these days is really the control of intangibles such as financial services and intellectual property. Trade agreements now have little to do with trade, and everything to do with deep economic integration and domestic regulation. As Rodrik ([38], pp., 75–76) points out, “trade agreements are shaped largely by rent-seeking, self-interested behav- ior on the export side”: the main beneficiaries are those who control global value chains (GVCs), including inter- national banks, Big Pharma, Big Food, Big Tech, and TNCs. According to Durand and Milberg ([21], pp., 21– 22), “lead firms engaged in GVC trade are interested in stricter IPRs in trade agreements to contain the risk of IP appropriation resulting from the international fragmentation of production.” Today, “profitability is a function of a firm’s ability to extract monopoly rents from complex value chains using their control over IPRs” ([23], p.197). </w:t>
      </w:r>
      <w:r w:rsidRPr="00DD2D90">
        <w:rPr>
          <w:rStyle w:val="StyleUnderline"/>
        </w:rPr>
        <w:t xml:space="preserve">Big </w:t>
      </w:r>
      <w:r w:rsidRPr="00DD2D90">
        <w:rPr>
          <w:rStyle w:val="StyleUnderline"/>
          <w:highlight w:val="green"/>
        </w:rPr>
        <w:t>Pharma</w:t>
      </w:r>
      <w:r w:rsidRPr="00DD2D90">
        <w:rPr>
          <w:rStyle w:val="StyleUnderline"/>
        </w:rPr>
        <w:t xml:space="preserve"> </w:t>
      </w:r>
      <w:r w:rsidRPr="00DD2D90">
        <w:rPr>
          <w:rStyle w:val="Emphasis"/>
          <w:highlight w:val="green"/>
        </w:rPr>
        <w:t>routinely</w:t>
      </w:r>
      <w:r w:rsidRPr="00DD2D90">
        <w:rPr>
          <w:rStyle w:val="StyleUnderline"/>
          <w:highlight w:val="green"/>
        </w:rPr>
        <w:t xml:space="preserve"> blocks pro-health initiatives</w:t>
      </w:r>
      <w:r w:rsidRPr="00DD2D90">
        <w:rPr>
          <w:rStyle w:val="StyleUnderline"/>
        </w:rPr>
        <w:t xml:space="preserve"> </w:t>
      </w:r>
      <w:r w:rsidRPr="009278EB">
        <w:rPr>
          <w:sz w:val="16"/>
        </w:rPr>
        <w:t xml:space="preserve">aimed at promoting the use of TRIPs flexibilities </w:t>
      </w:r>
      <w:r w:rsidRPr="00DD2D90">
        <w:rPr>
          <w:rStyle w:val="StyleUnderline"/>
          <w:highlight w:val="green"/>
        </w:rPr>
        <w:t>to make</w:t>
      </w:r>
      <w:r w:rsidRPr="00DD2D90">
        <w:rPr>
          <w:rStyle w:val="StyleUnderline"/>
        </w:rPr>
        <w:t xml:space="preserve"> </w:t>
      </w:r>
      <w:r w:rsidRPr="00DD2D90">
        <w:rPr>
          <w:rStyle w:val="Emphasis"/>
          <w:highlight w:val="green"/>
        </w:rPr>
        <w:t>essential</w:t>
      </w:r>
      <w:r w:rsidRPr="00DD2D90">
        <w:rPr>
          <w:rStyle w:val="StyleUnderline"/>
        </w:rPr>
        <w:t xml:space="preserve"> </w:t>
      </w:r>
      <w:r w:rsidRPr="00DD2D90">
        <w:rPr>
          <w:rStyle w:val="StyleUnderline"/>
          <w:highlight w:val="green"/>
        </w:rPr>
        <w:t>medicines</w:t>
      </w:r>
      <w:r w:rsidRPr="00DD2D90">
        <w:rPr>
          <w:rStyle w:val="StyleUnderline"/>
        </w:rPr>
        <w:t xml:space="preserve"> </w:t>
      </w:r>
      <w:r w:rsidRPr="00DD2D90">
        <w:rPr>
          <w:rStyle w:val="StyleUnderline"/>
          <w:highlight w:val="green"/>
        </w:rPr>
        <w:t>affordable</w:t>
      </w:r>
      <w:r w:rsidRPr="00DD2D90">
        <w:rPr>
          <w:rStyle w:val="StyleUnderline"/>
        </w:rPr>
        <w:t xml:space="preserve">, </w:t>
      </w:r>
      <w:r w:rsidRPr="00DD2D90">
        <w:rPr>
          <w:rStyle w:val="StyleUnderline"/>
          <w:highlight w:val="green"/>
        </w:rPr>
        <w:t xml:space="preserve">because these would </w:t>
      </w:r>
      <w:r w:rsidRPr="00DD2D90">
        <w:rPr>
          <w:rStyle w:val="StyleUnderline"/>
        </w:rPr>
        <w:t xml:space="preserve">threaten their profits and </w:t>
      </w:r>
      <w:r w:rsidRPr="00DD2D90">
        <w:rPr>
          <w:rStyle w:val="StyleUnderline"/>
          <w:highlight w:val="green"/>
        </w:rPr>
        <w:t>reduce shareholder value</w:t>
      </w:r>
      <w:r w:rsidRPr="009278EB">
        <w:rPr>
          <w:sz w:val="16"/>
        </w:rPr>
        <w:t xml:space="preserve"> [39]. These private actors also press for provisions in plurilateral and bilateral trade and investment treaties that curtail policy space for pro-health initiatives [40]. Investor-State Dispute Settlement [</w:t>
      </w:r>
      <w:r w:rsidRPr="00DD2D90">
        <w:rPr>
          <w:rStyle w:val="StyleUnderline"/>
          <w:highlight w:val="green"/>
        </w:rPr>
        <w:t>ISDS</w:t>
      </w:r>
      <w:r w:rsidRPr="009278EB">
        <w:rPr>
          <w:sz w:val="16"/>
        </w:rPr>
        <w:t xml:space="preserve">] </w:t>
      </w:r>
      <w:r w:rsidRPr="00DD2D90">
        <w:rPr>
          <w:rStyle w:val="StyleUnderline"/>
          <w:highlight w:val="green"/>
        </w:rPr>
        <w:t xml:space="preserve">agreements produce </w:t>
      </w:r>
      <w:r w:rsidRPr="00DD2D90">
        <w:rPr>
          <w:rStyle w:val="Emphasis"/>
          <w:highlight w:val="green"/>
        </w:rPr>
        <w:t>regulatory chill</w:t>
      </w:r>
      <w:r w:rsidRPr="009278EB">
        <w:rPr>
          <w:sz w:val="16"/>
        </w:rPr>
        <w:t xml:space="preserve">: policymakers may choose not to adopt pro-health or pro-environment regulations that might expose them to costly ISDS litigation [41]. </w:t>
      </w:r>
      <w:r w:rsidRPr="00DD2D90">
        <w:rPr>
          <w:rStyle w:val="StyleUnderline"/>
          <w:highlight w:val="green"/>
        </w:rPr>
        <w:t>Commercial returns</w:t>
      </w:r>
      <w:r w:rsidRPr="00DD2D90">
        <w:rPr>
          <w:rStyle w:val="StyleUnderline"/>
        </w:rPr>
        <w:t xml:space="preserve"> </w:t>
      </w:r>
      <w:r w:rsidRPr="00DD2D90">
        <w:rPr>
          <w:rStyle w:val="StyleUnderline"/>
          <w:highlight w:val="green"/>
        </w:rPr>
        <w:t xml:space="preserve">mean “a </w:t>
      </w:r>
      <w:r w:rsidRPr="00DD2D90">
        <w:rPr>
          <w:rStyle w:val="Emphasis"/>
          <w:highlight w:val="green"/>
        </w:rPr>
        <w:t>mismatch</w:t>
      </w:r>
      <w:r w:rsidRPr="00DD2D90">
        <w:rPr>
          <w:rStyle w:val="StyleUnderline"/>
          <w:highlight w:val="green"/>
        </w:rPr>
        <w:t xml:space="preserve"> between</w:t>
      </w:r>
      <w:r w:rsidRPr="00DD2D90">
        <w:rPr>
          <w:rStyle w:val="StyleUnderline"/>
        </w:rPr>
        <w:t xml:space="preserve"> health </w:t>
      </w:r>
      <w:r w:rsidRPr="00DD2D90">
        <w:rPr>
          <w:rStyle w:val="StyleUnderline"/>
          <w:highlight w:val="green"/>
        </w:rPr>
        <w:t>research priorities and the burden of disease</w:t>
      </w:r>
      <w:r w:rsidRPr="00DD2D90">
        <w:rPr>
          <w:rStyle w:val="StyleUnderline"/>
        </w:rPr>
        <w:t xml:space="preserve"> out- side the industrialized world</w:t>
      </w:r>
      <w:r w:rsidRPr="009278EB">
        <w:rPr>
          <w:sz w:val="16"/>
        </w:rPr>
        <w:t xml:space="preserve">” ([42], p.S16). </w:t>
      </w:r>
      <w:r w:rsidRPr="00DD2D90">
        <w:rPr>
          <w:rStyle w:val="StyleUnderline"/>
          <w:highlight w:val="green"/>
        </w:rPr>
        <w:t>Patent pro- tection</w:t>
      </w:r>
      <w:r w:rsidRPr="00DD2D90">
        <w:rPr>
          <w:rStyle w:val="StyleUnderline"/>
        </w:rPr>
        <w:t xml:space="preserve"> </w:t>
      </w:r>
      <w:r w:rsidRPr="00DD2D90">
        <w:rPr>
          <w:rStyle w:val="StyleUnderline"/>
          <w:highlight w:val="green"/>
        </w:rPr>
        <w:t>increases</w:t>
      </w:r>
      <w:r w:rsidRPr="00DD2D90">
        <w:rPr>
          <w:rStyle w:val="StyleUnderline"/>
        </w:rPr>
        <w:t xml:space="preserve"> the </w:t>
      </w:r>
      <w:r w:rsidRPr="00DD2D90">
        <w:rPr>
          <w:rStyle w:val="StyleUnderline"/>
          <w:highlight w:val="green"/>
        </w:rPr>
        <w:t>prices</w:t>
      </w:r>
      <w:r w:rsidRPr="00DD2D90">
        <w:rPr>
          <w:rStyle w:val="StyleUnderline"/>
        </w:rPr>
        <w:t xml:space="preserve"> of drugs </w:t>
      </w:r>
      <w:r w:rsidRPr="00DD2D90">
        <w:rPr>
          <w:rStyle w:val="StyleUnderline"/>
          <w:highlight w:val="green"/>
        </w:rPr>
        <w:t>and reduces access</w:t>
      </w:r>
      <w:r w:rsidRPr="00DD2D90">
        <w:rPr>
          <w:rStyle w:val="StyleUnderline"/>
        </w:rPr>
        <w:t xml:space="preserve"> to medicines and vaccines</w:t>
      </w:r>
      <w:r w:rsidRPr="009278EB">
        <w:rPr>
          <w:sz w:val="16"/>
        </w:rPr>
        <w:t>. Strategic behavior aimed at blocking generic competition contributes to rising drug prices: “</w:t>
      </w:r>
      <w:r w:rsidRPr="00DD2D90">
        <w:rPr>
          <w:rStyle w:val="StyleUnderline"/>
          <w:highlight w:val="green"/>
        </w:rPr>
        <w:t xml:space="preserve">companies create </w:t>
      </w:r>
      <w:r w:rsidRPr="00DD2D90">
        <w:rPr>
          <w:rStyle w:val="Emphasis"/>
          <w:highlight w:val="green"/>
        </w:rPr>
        <w:t>serial barriers</w:t>
      </w:r>
      <w:r w:rsidRPr="00DD2D90">
        <w:rPr>
          <w:rStyle w:val="StyleUnderline"/>
          <w:highlight w:val="green"/>
        </w:rPr>
        <w:t xml:space="preserve"> to hold off com- petition</w:t>
      </w:r>
      <w:r w:rsidRPr="009278EB">
        <w:rPr>
          <w:sz w:val="16"/>
        </w:rPr>
        <w:t>” ([43], p.7). “When more than 70% of best- selling drugs had their protection extended, it is clearly the go-to approach for profitability” ([43], pp.49–50). Trade agreement provisions that extend patent life and impose clinical test data exclusivity all serve to suppress price competition for drugs and medical devices, thereby reducing access to them, and support high rents for Pharma. According to Feldman, “</w:t>
      </w:r>
      <w:r w:rsidRPr="00DD2D90">
        <w:rPr>
          <w:rStyle w:val="StyleUnderline"/>
        </w:rPr>
        <w:t xml:space="preserve">our </w:t>
      </w:r>
      <w:r w:rsidRPr="00DD2D90">
        <w:rPr>
          <w:rStyle w:val="Emphasis"/>
        </w:rPr>
        <w:t>incentive structure</w:t>
      </w:r>
      <w:r w:rsidRPr="00DD2D90">
        <w:rPr>
          <w:rStyle w:val="StyleUnderline"/>
        </w:rPr>
        <w:t xml:space="preserve"> is badly misaligned with societal goals</w:t>
      </w:r>
      <w:r w:rsidRPr="009278EB">
        <w:rPr>
          <w:sz w:val="16"/>
        </w:rPr>
        <w:t xml:space="preserve">” ([43], p.54). The economic and political power of IP-rich global firms has enabled them to shape trade and invest- ment agreements to further entrench their power and increase their profits. According to Missoni, “trade and investment treaties limit the policy space for pub- lic regulatory interventions to protect public health” ([42], p.S15). Trade and investment agreements rou- tinely contain intellectual property provisions that extend protection beyond the TRIPs obligations of the World Trade Organization. Intellectual property has come to be treated as an “investment asset” in Investor-State Dispute Settlement (ISDS) agreements under which private firms can sue states for regula- tions that they claim reduce the “expected value” of their initial investment. The Philip Morris tobacco cases against Uruguay and Australia over plain pack- aging (thus reduced value of the trademark) and the Eli Lilly case against Canada over its pro-health pa- tent policies are three recent examples of intellectual property-based challenges to public health regulations [44]. Even though Philip Morris and Eli Lilly lost these ISDS challenges, we can expect to see more IP- based ISDS challenges in the future [44]. Inequality </w:t>
      </w:r>
    </w:p>
    <w:p w14:paraId="673CE760" w14:textId="77777777" w:rsidR="00FA1D49" w:rsidRPr="009278EB" w:rsidRDefault="00FA1D49">
      <w:pPr>
        <w:rPr>
          <w:rFonts w:eastAsiaTheme="majorEastAsia" w:cstheme="majorBidi"/>
          <w:b/>
          <w:iCs/>
          <w:sz w:val="16"/>
        </w:rPr>
      </w:pPr>
      <w:r w:rsidRPr="009278EB">
        <w:rPr>
          <w:sz w:val="16"/>
        </w:rPr>
        <w:br w:type="page"/>
      </w:r>
    </w:p>
    <w:p w14:paraId="3AC40188" w14:textId="62EADD69" w:rsidR="004E3113" w:rsidRPr="009278EB" w:rsidRDefault="004E3113" w:rsidP="004E3113">
      <w:pPr>
        <w:pStyle w:val="Heading4"/>
        <w:rPr>
          <w:szCs w:val="26"/>
        </w:rPr>
      </w:pPr>
      <w:r w:rsidRPr="009278EB">
        <w:rPr>
          <w:szCs w:val="26"/>
        </w:rPr>
        <w:t>Commodification led to structural adjustment and philanthrocapitalism – both hijack public health to increases private-sector profits</w:t>
      </w:r>
    </w:p>
    <w:p w14:paraId="0C7B952D" w14:textId="77777777" w:rsidR="004E3113" w:rsidRPr="00DD2D90" w:rsidRDefault="004E3113" w:rsidP="004E3113">
      <w:r w:rsidRPr="009278EB">
        <w:rPr>
          <w:b/>
          <w:bCs/>
          <w:sz w:val="26"/>
          <w:szCs w:val="26"/>
        </w:rPr>
        <w:t>Baru and Mohan 18</w:t>
      </w:r>
      <w:r w:rsidRPr="00DD2D90">
        <w:t xml:space="preserve"> [Rama V. Baru, Centre of Social Medicine and Community Health, Jawaharlal Nehru University, and Malu Mohan, Achutha Menon Centre for Health Science Studies, Sree Chitra Tirunal Institute of Medical Science and Technology, 01-2018, "Globalisation and neoliberalism as structural drivers of health inequities", PubMed Central (PMC), https://pmc.ncbi.nlm.nih.gov/articles/PMC6178247/]/Kankee</w:t>
      </w:r>
    </w:p>
    <w:p w14:paraId="7C169FDC" w14:textId="77777777" w:rsidR="004E3113" w:rsidRPr="009278EB" w:rsidRDefault="004E3113" w:rsidP="004E3113">
      <w:pPr>
        <w:rPr>
          <w:sz w:val="16"/>
        </w:rPr>
      </w:pPr>
      <w:r w:rsidRPr="009278EB">
        <w:rPr>
          <w:sz w:val="16"/>
        </w:rPr>
        <w:t xml:space="preserve">This conceptualisation is useful in describing how the various faces of neoliberalism have intersected and redefined the role of the state and society. In the analysis of neoliberalism and health, there is a great deal of conceptual confusion. A quick review of Indian studies shows that they pay more attention to neoliberalism as a hegemonic ideological project. Several studies have examined how </w:t>
      </w:r>
      <w:r w:rsidRPr="00DD2D90">
        <w:rPr>
          <w:rStyle w:val="StyleUnderline"/>
        </w:rPr>
        <w:t>neoliberal policy instruments</w:t>
      </w:r>
      <w:r w:rsidRPr="009278EB">
        <w:rPr>
          <w:sz w:val="16"/>
        </w:rPr>
        <w:t xml:space="preserve">, such as privatisation, marketisation, commercialisation and deregulation, have </w:t>
      </w:r>
      <w:r w:rsidRPr="00DD2D90">
        <w:rPr>
          <w:rStyle w:val="StyleUnderline"/>
        </w:rPr>
        <w:t>led to the expansion of markets</w:t>
      </w:r>
      <w:r w:rsidRPr="009278EB">
        <w:rPr>
          <w:sz w:val="16"/>
        </w:rPr>
        <w:t xml:space="preserve"> in the economic and </w:t>
      </w:r>
      <w:r w:rsidRPr="00DD2D90">
        <w:rPr>
          <w:rStyle w:val="StyleUnderline"/>
        </w:rPr>
        <w:t>social sectors</w:t>
      </w:r>
      <w:r w:rsidRPr="009278EB">
        <w:rPr>
          <w:sz w:val="16"/>
        </w:rPr>
        <w:t xml:space="preserve"> [2, 3]. In the case of the health sector, </w:t>
      </w:r>
      <w:r w:rsidRPr="00DD2D90">
        <w:rPr>
          <w:rStyle w:val="StyleUnderline"/>
        </w:rPr>
        <w:t>this</w:t>
      </w:r>
      <w:r w:rsidRPr="009278EB">
        <w:rPr>
          <w:sz w:val="16"/>
        </w:rPr>
        <w:t xml:space="preserve"> has </w:t>
      </w:r>
      <w:r w:rsidRPr="00DD2D90">
        <w:rPr>
          <w:rStyle w:val="StyleUnderline"/>
        </w:rPr>
        <w:t>meant the restructuring of the public sector by introducing market principles and reducing the barriers for movements of capital to invest in for-profit services</w:t>
      </w:r>
      <w:r w:rsidRPr="009278EB">
        <w:rPr>
          <w:sz w:val="16"/>
        </w:rPr>
        <w:t xml:space="preserve">. Several studies have identified the critical role played by global multilateral organisations like the World Bank and the International Monetary Fund (IMF) in furthering neoliberalism through the Structural Adjustment Programmes (SAP) in India [2, 4]. Thus, the introduction of SAPs served as the starting point for critical academic writing on neoliberal reforms in health. An impositional perspective1 to the engagement of the World Bank and the Indian state informed most of these studies [2–5]. This perspective argues that </w:t>
      </w:r>
      <w:r w:rsidRPr="00DD2D90">
        <w:rPr>
          <w:rStyle w:val="StyleUnderline"/>
        </w:rPr>
        <w:t>the World Bank coerced the Indian government to accept a range of neoliberal conditionalities that were tied to the loans</w:t>
      </w:r>
      <w:r w:rsidRPr="009278EB">
        <w:rPr>
          <w:sz w:val="16"/>
        </w:rPr>
        <w:t xml:space="preserve">. An impositional perspective is limiting because it gives undue importance to the power wielded by international financial institutions. The Indian government did not passively accept the conditionalities but rather negotiated their terms with the World Bank. Therefore, one would disagree with the view that the World Bank coerced the Indian government, which does not give agency to the Indian state.2 It is also important to note that, unlike some countries in Africa, in the Indian case, neoliberal ideas were in circulation, with opposition and resistance to these ideas even before their introduction in 1991 [6].3 However, the elite across major political parties and the administration, including the medical and non-medical civil services, academia and civil society, was in sync with the neoliberal ideology and played an active role in supporting the idea and content of SAPs [5, 7]. The shifts in the ideological position of large sections of the elite to support liberalisation broadly correspond to the academic and intellectual field of the face of neoliberalism as conceptualised by Mudge. The intellectual field played an essential role in shaping policy by legitimising liberalisation and privatisation. Several influential academics, policy and media analysts played an active role in furthering these ideas.4 It is interesting to note that persons who were advocates of free-market philosophy held several of the critical policy portfolios in finance, industry, education and health. Some of them had held senior positions in the World Bank, IMF and WHO prior to occupying influential positions in government. Thus, there was an epistemic community of Indian academics, civil servants, doctors and scientists, including their diasporic counterparts, who subscribed to the ideology and instruments of neoliberal policy even before the formal introduction of SAPs by the Bretton Wood Institutions. While one could argue that the year 1991 is a marker for the introduction of structural adjustment policies of the World Bank and IMF, the conditionalities of SAP further accelerated the liberalisation and privatisation of the Indian economy. There were two-forms of loans offered by the World Bank, including hard loans for economic restructuring and soft loans for reforming the social sectors; the former was loaned on interest while the latter was offered with practically zero interest. Both these loans were tied to some conditionalities that encouraged the restructuring of these sectors towards market-friendly policies. Many of these conditionalities played an important role in shaping health policy from the 1990s onwards. </w:t>
      </w:r>
      <w:r w:rsidRPr="00DD2D90">
        <w:rPr>
          <w:rStyle w:val="StyleUnderline"/>
          <w:highlight w:val="green"/>
        </w:rPr>
        <w:t>Health</w:t>
      </w:r>
      <w:r w:rsidRPr="00DD2D90">
        <w:rPr>
          <w:rStyle w:val="StyleUnderline"/>
        </w:rPr>
        <w:t xml:space="preserve"> sector </w:t>
      </w:r>
      <w:r w:rsidRPr="00DD2D90">
        <w:rPr>
          <w:rStyle w:val="StyleUnderline"/>
          <w:highlight w:val="green"/>
        </w:rPr>
        <w:t>reforms were introduced</w:t>
      </w:r>
      <w:r w:rsidRPr="00DD2D90">
        <w:rPr>
          <w:rStyle w:val="StyleUnderline"/>
        </w:rPr>
        <w:t xml:space="preserve"> </w:t>
      </w:r>
      <w:r w:rsidRPr="00DD2D90">
        <w:rPr>
          <w:rStyle w:val="StyleUnderline"/>
          <w:highlight w:val="green"/>
        </w:rPr>
        <w:t>into</w:t>
      </w:r>
      <w:r w:rsidRPr="00DD2D90">
        <w:rPr>
          <w:rStyle w:val="StyleUnderline"/>
        </w:rPr>
        <w:t xml:space="preserve"> a largely </w:t>
      </w:r>
      <w:r w:rsidRPr="00DD2D90">
        <w:rPr>
          <w:rStyle w:val="StyleUnderline"/>
          <w:highlight w:val="green"/>
        </w:rPr>
        <w:t>underfunded</w:t>
      </w:r>
      <w:r w:rsidRPr="00DD2D90">
        <w:rPr>
          <w:rStyle w:val="StyleUnderline"/>
        </w:rPr>
        <w:t xml:space="preserve">, weak </w:t>
      </w:r>
      <w:r w:rsidRPr="00DD2D90">
        <w:rPr>
          <w:rStyle w:val="StyleUnderline"/>
          <w:highlight w:val="green"/>
        </w:rPr>
        <w:t>public sector that co-existed with an aggressively growing private sector</w:t>
      </w:r>
      <w:r w:rsidRPr="009278EB">
        <w:rPr>
          <w:sz w:val="16"/>
        </w:rPr>
        <w:t xml:space="preserve">. </w:t>
      </w:r>
      <w:r w:rsidRPr="00DD2D90">
        <w:rPr>
          <w:rStyle w:val="StyleUnderline"/>
          <w:highlight w:val="green"/>
        </w:rPr>
        <w:t>The public sector was reconfigured</w:t>
      </w:r>
      <w:r w:rsidRPr="00DD2D90">
        <w:rPr>
          <w:rStyle w:val="StyleUnderline"/>
        </w:rPr>
        <w:t xml:space="preserve"> </w:t>
      </w:r>
      <w:r w:rsidRPr="00DD2D90">
        <w:rPr>
          <w:rStyle w:val="StyleUnderline"/>
          <w:highlight w:val="green"/>
        </w:rPr>
        <w:t>with</w:t>
      </w:r>
      <w:r w:rsidRPr="00DD2D90">
        <w:rPr>
          <w:rStyle w:val="StyleUnderline"/>
        </w:rPr>
        <w:t xml:space="preserve"> the introduction of market principles. Some of the important elements included the introduction of </w:t>
      </w:r>
      <w:r w:rsidRPr="00DD2D90">
        <w:rPr>
          <w:rStyle w:val="StyleUnderline"/>
          <w:highlight w:val="green"/>
        </w:rPr>
        <w:t>user fees, public–private partnerships and</w:t>
      </w:r>
      <w:r w:rsidRPr="00DD2D90">
        <w:rPr>
          <w:rStyle w:val="StyleUnderline"/>
        </w:rPr>
        <w:t xml:space="preserve"> greater </w:t>
      </w:r>
      <w:r w:rsidRPr="00DD2D90">
        <w:rPr>
          <w:rStyle w:val="StyleUnderline"/>
          <w:highlight w:val="green"/>
        </w:rPr>
        <w:t>decentralisation</w:t>
      </w:r>
      <w:r w:rsidRPr="00DD2D90">
        <w:rPr>
          <w:rStyle w:val="StyleUnderline"/>
        </w:rPr>
        <w:t xml:space="preserve"> of the health service</w:t>
      </w:r>
      <w:r w:rsidRPr="009278EB">
        <w:rPr>
          <w:sz w:val="16"/>
        </w:rPr>
        <w:t xml:space="preserve"> </w:t>
      </w:r>
      <w:r w:rsidRPr="00DD2D90">
        <w:rPr>
          <w:rStyle w:val="StyleUnderline"/>
        </w:rPr>
        <w:t>system</w:t>
      </w:r>
      <w:r w:rsidRPr="009278EB">
        <w:rPr>
          <w:sz w:val="16"/>
        </w:rPr>
        <w:t xml:space="preserve">. One of the most visible effects of the neoliberal policies was the commercialisation of health services. The concept of commercialisation is useful because it allows us to analyse the circulation and accommodation of private capital in the public, for-profit and non-profit sectors [3]. It acknowledges how </w:t>
      </w:r>
      <w:r w:rsidRPr="00DD2D90">
        <w:rPr>
          <w:rStyle w:val="StyleUnderline"/>
          <w:highlight w:val="green"/>
        </w:rPr>
        <w:t>the</w:t>
      </w:r>
      <w:r w:rsidRPr="009278EB">
        <w:rPr>
          <w:sz w:val="16"/>
          <w:highlight w:val="green"/>
        </w:rPr>
        <w:t xml:space="preserve"> </w:t>
      </w:r>
      <w:r w:rsidRPr="00DD2D90">
        <w:rPr>
          <w:rStyle w:val="StyleUnderline"/>
          <w:highlight w:val="green"/>
        </w:rPr>
        <w:t>accommodation of private capital fundamentally changes the</w:t>
      </w:r>
      <w:r w:rsidRPr="00DD2D90">
        <w:rPr>
          <w:rStyle w:val="StyleUnderline"/>
        </w:rPr>
        <w:t xml:space="preserve"> character and </w:t>
      </w:r>
      <w:r w:rsidRPr="00DD2D90">
        <w:rPr>
          <w:rStyle w:val="StyleUnderline"/>
          <w:highlight w:val="green"/>
        </w:rPr>
        <w:t>culture of public</w:t>
      </w:r>
      <w:r w:rsidRPr="00DD2D90">
        <w:rPr>
          <w:rStyle w:val="StyleUnderline"/>
        </w:rPr>
        <w:t xml:space="preserve"> and non-profit </w:t>
      </w:r>
      <w:r w:rsidRPr="00DD2D90">
        <w:rPr>
          <w:rStyle w:val="StyleUnderline"/>
          <w:highlight w:val="green"/>
        </w:rPr>
        <w:t>institutions</w:t>
      </w:r>
      <w:r w:rsidRPr="009278EB">
        <w:rPr>
          <w:sz w:val="16"/>
        </w:rPr>
        <w:t xml:space="preserve">. Over time, </w:t>
      </w:r>
      <w:r w:rsidRPr="00DD2D90">
        <w:rPr>
          <w:rStyle w:val="StyleUnderline"/>
        </w:rPr>
        <w:t>the non-profit institutions start thinking and behaving more like for-profit institutions</w:t>
      </w:r>
      <w:r w:rsidRPr="009278EB">
        <w:rPr>
          <w:sz w:val="16"/>
        </w:rPr>
        <w:t xml:space="preserve">. </w:t>
      </w:r>
      <w:r w:rsidRPr="00DD2D90">
        <w:rPr>
          <w:rStyle w:val="StyleUnderline"/>
        </w:rPr>
        <w:t>This</w:t>
      </w:r>
      <w:r w:rsidRPr="009278EB">
        <w:rPr>
          <w:sz w:val="16"/>
        </w:rPr>
        <w:t xml:space="preserve"> change in mindset </w:t>
      </w:r>
      <w:r w:rsidRPr="00DD2D90">
        <w:rPr>
          <w:rStyle w:val="StyleUnderline"/>
        </w:rPr>
        <w:t xml:space="preserve">has </w:t>
      </w:r>
      <w:r w:rsidRPr="00DD2D90">
        <w:rPr>
          <w:rStyle w:val="Emphasis"/>
        </w:rPr>
        <w:t>serious consequences</w:t>
      </w:r>
      <w:r w:rsidRPr="00DD2D90">
        <w:rPr>
          <w:rStyle w:val="StyleUnderline"/>
        </w:rPr>
        <w:t xml:space="preserve"> for the availability, accessibility, affordability, acceptability and quality of health</w:t>
      </w:r>
      <w:r w:rsidRPr="009278EB">
        <w:rPr>
          <w:sz w:val="16"/>
        </w:rPr>
        <w:t xml:space="preserve"> </w:t>
      </w:r>
      <w:r w:rsidRPr="00DD2D90">
        <w:rPr>
          <w:rStyle w:val="StyleUnderline"/>
        </w:rPr>
        <w:t>services</w:t>
      </w:r>
      <w:r w:rsidRPr="009278EB">
        <w:rPr>
          <w:sz w:val="16"/>
        </w:rPr>
        <w:t xml:space="preserve">. Over the last two decades, </w:t>
      </w:r>
      <w:r w:rsidRPr="00DD2D90">
        <w:rPr>
          <w:rStyle w:val="StyleUnderline"/>
          <w:highlight w:val="green"/>
        </w:rPr>
        <w:t>the negative fallout</w:t>
      </w:r>
      <w:r w:rsidRPr="00DD2D90">
        <w:rPr>
          <w:rStyle w:val="StyleUnderline"/>
        </w:rPr>
        <w:t xml:space="preserve"> of commercialisation in developed and developing countries </w:t>
      </w:r>
      <w:r w:rsidRPr="00DD2D90">
        <w:rPr>
          <w:rStyle w:val="StyleUnderline"/>
          <w:highlight w:val="green"/>
        </w:rPr>
        <w:t>has been</w:t>
      </w:r>
      <w:r w:rsidRPr="00DD2D90">
        <w:rPr>
          <w:rStyle w:val="StyleUnderline"/>
        </w:rPr>
        <w:t xml:space="preserve"> the </w:t>
      </w:r>
      <w:r w:rsidRPr="00DD2D90">
        <w:rPr>
          <w:rStyle w:val="StyleUnderline"/>
          <w:highlight w:val="green"/>
        </w:rPr>
        <w:t>widening</w:t>
      </w:r>
      <w:r w:rsidRPr="00DD2D90">
        <w:rPr>
          <w:rStyle w:val="StyleUnderline"/>
        </w:rPr>
        <w:t xml:space="preserve"> of </w:t>
      </w:r>
      <w:r w:rsidRPr="00DD2D90">
        <w:rPr>
          <w:rStyle w:val="StyleUnderline"/>
          <w:highlight w:val="green"/>
        </w:rPr>
        <w:t>inequalities</w:t>
      </w:r>
      <w:r w:rsidRPr="00DD2D90">
        <w:rPr>
          <w:rStyle w:val="StyleUnderline"/>
        </w:rPr>
        <w:t xml:space="preserve"> in access</w:t>
      </w:r>
      <w:r w:rsidRPr="009278EB">
        <w:rPr>
          <w:sz w:val="16"/>
        </w:rPr>
        <w:t xml:space="preserve">. </w:t>
      </w:r>
      <w:r w:rsidRPr="00DD2D90">
        <w:rPr>
          <w:rStyle w:val="StyleUnderline"/>
        </w:rPr>
        <w:t>The burden of paying for care has affected the lower middle and working classes adversely. Rising out-of-pocket and catastrophic expenditures on medical care in India is an example of inequities in access</w:t>
      </w:r>
      <w:r w:rsidRPr="009278EB">
        <w:rPr>
          <w:sz w:val="16"/>
        </w:rPr>
        <w:t xml:space="preserve">. </w:t>
      </w:r>
      <w:r w:rsidRPr="00DD2D90">
        <w:rPr>
          <w:rStyle w:val="StyleUnderline"/>
        </w:rPr>
        <w:t>High out-of-pocket expenditure</w:t>
      </w:r>
      <w:r w:rsidRPr="009278EB">
        <w:rPr>
          <w:sz w:val="16"/>
        </w:rPr>
        <w:t xml:space="preserve"> in health </w:t>
      </w:r>
      <w:r w:rsidRPr="00DD2D90">
        <w:rPr>
          <w:rStyle w:val="StyleUnderline"/>
        </w:rPr>
        <w:t xml:space="preserve">results in a </w:t>
      </w:r>
      <w:r w:rsidRPr="00DD2D90">
        <w:rPr>
          <w:rStyle w:val="Emphasis"/>
        </w:rPr>
        <w:t>significant</w:t>
      </w:r>
      <w:r w:rsidRPr="00DD2D90">
        <w:rPr>
          <w:rStyle w:val="StyleUnderline"/>
        </w:rPr>
        <w:t xml:space="preserve"> proportion of the population foregoing medical treatment</w:t>
      </w:r>
      <w:r w:rsidRPr="009278EB">
        <w:rPr>
          <w:sz w:val="16"/>
        </w:rPr>
        <w:t xml:space="preserve"> when it is most needed due to the inability to pay [8]. Health and health service inequities became global concerns a decade after the initial euphoria of neoliberalism. Several </w:t>
      </w:r>
      <w:r w:rsidRPr="00DD2D90">
        <w:rPr>
          <w:rStyle w:val="StyleUnderline"/>
        </w:rPr>
        <w:t>countries in Africa, Latin America and Asia that had taken loans under SAPs</w:t>
      </w:r>
      <w:r w:rsidRPr="009278EB">
        <w:rPr>
          <w:sz w:val="16"/>
        </w:rPr>
        <w:t xml:space="preserve"> had implemented health sector reforms and </w:t>
      </w:r>
      <w:r w:rsidRPr="00DD2D90">
        <w:rPr>
          <w:rStyle w:val="StyleUnderline"/>
        </w:rPr>
        <w:t>were faced with the challenge of rising inequities in access</w:t>
      </w:r>
      <w:r w:rsidRPr="009278EB">
        <w:rPr>
          <w:sz w:val="16"/>
        </w:rPr>
        <w:t xml:space="preserve">. Many public health and social movements highlighted these inequities on a global platform.5 Even Economists like Joseph Stiglitz, who was an advocate of neoliberalism, wrote on the discontents of globalisation and highlighted the fault lines of liberalisation and globalisation across and within the developing and developed countries [9]. His concerns partially resonated with the social and public health movements across countries that gave voice to those who were excluded from the fruits of globalisation and liberalisation. It is in this context that the concern about development enters the global discourse with the formulation of Millennium Development Goals. Several of these goals directly addressed health issues and many others addressed the social determinants of health. Subsequently, the Asian and global financial crises proved to be a setback to the juggernaut of neoliberal policies. It became increasingly clear that </w:t>
      </w:r>
      <w:r w:rsidRPr="00DD2D90">
        <w:rPr>
          <w:rStyle w:val="StyleUnderline"/>
        </w:rPr>
        <w:t>the fruits of</w:t>
      </w:r>
      <w:r w:rsidRPr="009278EB">
        <w:rPr>
          <w:sz w:val="16"/>
        </w:rPr>
        <w:t xml:space="preserve"> globalisation and </w:t>
      </w:r>
      <w:r w:rsidRPr="00DD2D90">
        <w:rPr>
          <w:rStyle w:val="StyleUnderline"/>
        </w:rPr>
        <w:t>liberalisation benefitted few, resulting in a significant proportion of the population being ‘left out’ regarding</w:t>
      </w:r>
      <w:r w:rsidRPr="009278EB">
        <w:rPr>
          <w:sz w:val="16"/>
        </w:rPr>
        <w:t xml:space="preserve"> access to markets, employment and basic </w:t>
      </w:r>
      <w:r w:rsidRPr="00DD2D90">
        <w:rPr>
          <w:rStyle w:val="StyleUnderline"/>
        </w:rPr>
        <w:t xml:space="preserve">social </w:t>
      </w:r>
      <w:r w:rsidRPr="009278EB">
        <w:rPr>
          <w:sz w:val="16"/>
        </w:rPr>
        <w:t>security</w:t>
      </w:r>
      <w:r w:rsidRPr="00DD2D90">
        <w:rPr>
          <w:rStyle w:val="StyleUnderline"/>
        </w:rPr>
        <w:t xml:space="preserve"> services</w:t>
      </w:r>
      <w:r w:rsidRPr="009278EB">
        <w:rPr>
          <w:sz w:val="16"/>
        </w:rPr>
        <w:t xml:space="preserve">. This was a concern for those who supported as well as those who opposed liberalisation [6]. The former saw these tendencies as a potential source of destabilisation, while the latter were concerned about the injustice of the neoliberal project. Neoliberalism and the reconfiguration of non-governmental organisations (NGOs) Scholarly writings have largely focused on the growth of the private sector and the restructuring of the public sector during the last three decades. Nevertheless, little attention has been paid to the transformation of non-governmental organisations (NGOs) during this period. It is often assumed that NGOs were homogeneous and unaffected by neoliberal ideas and commercialisation. However, this was not the case. The policies of </w:t>
      </w:r>
      <w:r w:rsidRPr="00DD2D90">
        <w:rPr>
          <w:rStyle w:val="StyleUnderline"/>
          <w:highlight w:val="green"/>
        </w:rPr>
        <w:t>the</w:t>
      </w:r>
      <w:r w:rsidRPr="00DD2D90">
        <w:rPr>
          <w:rStyle w:val="StyleUnderline"/>
        </w:rPr>
        <w:t xml:space="preserve"> </w:t>
      </w:r>
      <w:r w:rsidRPr="00DD2D90">
        <w:rPr>
          <w:rStyle w:val="StyleUnderline"/>
          <w:highlight w:val="green"/>
        </w:rPr>
        <w:t>World Bank and IMF reconfigured</w:t>
      </w:r>
      <w:r w:rsidRPr="009278EB">
        <w:rPr>
          <w:sz w:val="16"/>
        </w:rPr>
        <w:t xml:space="preserve"> the role of </w:t>
      </w:r>
      <w:r w:rsidRPr="00DD2D90">
        <w:rPr>
          <w:rStyle w:val="StyleUnderline"/>
          <w:highlight w:val="green"/>
        </w:rPr>
        <w:t>NGOs</w:t>
      </w:r>
      <w:r w:rsidRPr="009278EB">
        <w:rPr>
          <w:sz w:val="16"/>
        </w:rPr>
        <w:t xml:space="preserve"> in the health sector. Greater importance was given to the role of NGOs as facilitators and as representing the voice of the people, as compared to the role and representation of the state. They were given a special place in policy and programme implementation. </w:t>
      </w:r>
      <w:r w:rsidRPr="00DD2D90">
        <w:rPr>
          <w:rStyle w:val="StyleUnderline"/>
        </w:rPr>
        <w:t>For</w:t>
      </w:r>
      <w:r w:rsidRPr="009278EB">
        <w:rPr>
          <w:sz w:val="16"/>
        </w:rPr>
        <w:t xml:space="preserve"> </w:t>
      </w:r>
      <w:r w:rsidRPr="00DD2D90">
        <w:rPr>
          <w:rStyle w:val="StyleUnderline"/>
        </w:rPr>
        <w:t xml:space="preserve">example, </w:t>
      </w:r>
      <w:r w:rsidRPr="00DD2D90">
        <w:rPr>
          <w:rStyle w:val="StyleUnderline"/>
          <w:highlight w:val="green"/>
        </w:rPr>
        <w:t>public–private partnerships became</w:t>
      </w:r>
      <w:r w:rsidRPr="00DD2D90">
        <w:rPr>
          <w:rStyle w:val="StyleUnderline"/>
        </w:rPr>
        <w:t xml:space="preserve"> an </w:t>
      </w:r>
      <w:r w:rsidRPr="00DD2D90">
        <w:rPr>
          <w:rStyle w:val="StyleUnderline"/>
          <w:highlight w:val="green"/>
        </w:rPr>
        <w:t>important</w:t>
      </w:r>
      <w:r w:rsidRPr="00DD2D90">
        <w:rPr>
          <w:rStyle w:val="StyleUnderline"/>
        </w:rPr>
        <w:t xml:space="preserve"> element in national disease control programmes like HIV/AIDS, tuberculosis, malaria and leprosy</w:t>
      </w:r>
      <w:r w:rsidRPr="009278EB">
        <w:rPr>
          <w:sz w:val="16"/>
        </w:rPr>
        <w:t xml:space="preserve">. Kapilashrami and McPake [10], in their critical study of the role of the Global Fund to fight Tuberculosis, AIDS, and Malaria in five states of India, observed that the </w:t>
      </w:r>
      <w:r w:rsidRPr="00DD2D90">
        <w:rPr>
          <w:rStyle w:val="StyleUnderline"/>
        </w:rPr>
        <w:t>funding</w:t>
      </w:r>
      <w:r w:rsidRPr="009278EB">
        <w:rPr>
          <w:sz w:val="16"/>
        </w:rPr>
        <w:t xml:space="preserve"> made available through these global initiatives created many distortions and fissures within the NGO community. </w:t>
      </w:r>
      <w:r w:rsidRPr="00DD2D90">
        <w:rPr>
          <w:rStyle w:val="StyleUnderline"/>
          <w:highlight w:val="green"/>
        </w:rPr>
        <w:t>It</w:t>
      </w:r>
      <w:r w:rsidRPr="009278EB">
        <w:rPr>
          <w:sz w:val="16"/>
          <w:highlight w:val="green"/>
        </w:rPr>
        <w:t xml:space="preserve"> </w:t>
      </w:r>
      <w:r w:rsidRPr="00DD2D90">
        <w:rPr>
          <w:rStyle w:val="StyleUnderline"/>
          <w:highlight w:val="green"/>
        </w:rPr>
        <w:t>led to unhealthy competition</w:t>
      </w:r>
      <w:r w:rsidRPr="009278EB">
        <w:rPr>
          <w:sz w:val="16"/>
        </w:rPr>
        <w:t xml:space="preserve"> in getting access to resources. The </w:t>
      </w:r>
      <w:r w:rsidRPr="00DD2D90">
        <w:rPr>
          <w:rStyle w:val="StyleUnderline"/>
        </w:rPr>
        <w:t xml:space="preserve">increased </w:t>
      </w:r>
      <w:r w:rsidRPr="00DD2D90">
        <w:rPr>
          <w:rStyle w:val="StyleUnderline"/>
          <w:highlight w:val="green"/>
        </w:rPr>
        <w:t>fund flow</w:t>
      </w:r>
      <w:r w:rsidRPr="00DD2D90">
        <w:rPr>
          <w:rStyle w:val="StyleUnderline"/>
        </w:rPr>
        <w:t xml:space="preserve"> </w:t>
      </w:r>
      <w:r w:rsidRPr="00DD2D90">
        <w:rPr>
          <w:rStyle w:val="StyleUnderline"/>
          <w:highlight w:val="green"/>
        </w:rPr>
        <w:t>influenced</w:t>
      </w:r>
      <w:r w:rsidRPr="00DD2D90">
        <w:rPr>
          <w:rStyle w:val="StyleUnderline"/>
        </w:rPr>
        <w:t xml:space="preserve"> and changed </w:t>
      </w:r>
      <w:r w:rsidRPr="00DD2D90">
        <w:rPr>
          <w:rStyle w:val="StyleUnderline"/>
          <w:highlight w:val="green"/>
        </w:rPr>
        <w:t xml:space="preserve">the priorities of </w:t>
      </w:r>
      <w:r w:rsidRPr="00DD2D90">
        <w:rPr>
          <w:rStyle w:val="StyleUnderline"/>
        </w:rPr>
        <w:t xml:space="preserve">several </w:t>
      </w:r>
      <w:r w:rsidRPr="00DD2D90">
        <w:rPr>
          <w:rStyle w:val="StyleUnderline"/>
          <w:highlight w:val="green"/>
        </w:rPr>
        <w:t>NGOs</w:t>
      </w:r>
      <w:r w:rsidRPr="00DD2D90">
        <w:rPr>
          <w:rStyle w:val="StyleUnderline"/>
        </w:rPr>
        <w:t>. Global agendas started shaping the priorities and activities of NGOs</w:t>
      </w:r>
      <w:r w:rsidRPr="009278EB">
        <w:rPr>
          <w:sz w:val="16"/>
        </w:rPr>
        <w:t xml:space="preserve"> at the national and local levels. </w:t>
      </w:r>
      <w:r w:rsidRPr="00DD2D90">
        <w:rPr>
          <w:rStyle w:val="StyleUnderline"/>
        </w:rPr>
        <w:t xml:space="preserve">This resulted in a fracture within the NGO movement with a significant number of them indulging in </w:t>
      </w:r>
      <w:r w:rsidRPr="00DD2D90">
        <w:rPr>
          <w:rStyle w:val="Emphasis"/>
        </w:rPr>
        <w:t>doublespeak</w:t>
      </w:r>
      <w:r w:rsidRPr="009278EB">
        <w:rPr>
          <w:sz w:val="16"/>
        </w:rPr>
        <w:t xml:space="preserve">. </w:t>
      </w:r>
      <w:r w:rsidRPr="00DD2D90">
        <w:rPr>
          <w:rStyle w:val="StyleUnderline"/>
        </w:rPr>
        <w:t xml:space="preserve">Radical </w:t>
      </w:r>
      <w:r w:rsidRPr="00DD2D90">
        <w:rPr>
          <w:rStyle w:val="StyleUnderline"/>
          <w:highlight w:val="green"/>
        </w:rPr>
        <w:t>rhetoric</w:t>
      </w:r>
      <w:r w:rsidRPr="00DD2D90">
        <w:rPr>
          <w:rStyle w:val="StyleUnderline"/>
        </w:rPr>
        <w:t xml:space="preserve"> and the language of rights </w:t>
      </w:r>
      <w:r w:rsidRPr="00DD2D90">
        <w:rPr>
          <w:rStyle w:val="StyleUnderline"/>
          <w:highlight w:val="green"/>
        </w:rPr>
        <w:t>was a façade for legitimising neoliberal</w:t>
      </w:r>
      <w:r w:rsidRPr="00DD2D90">
        <w:rPr>
          <w:rStyle w:val="StyleUnderline"/>
        </w:rPr>
        <w:t xml:space="preserve"> </w:t>
      </w:r>
      <w:r w:rsidRPr="00DD2D90">
        <w:rPr>
          <w:rStyle w:val="StyleUnderline"/>
          <w:highlight w:val="green"/>
        </w:rPr>
        <w:t>policies</w:t>
      </w:r>
      <w:r w:rsidRPr="009278EB">
        <w:rPr>
          <w:sz w:val="16"/>
        </w:rPr>
        <w:t xml:space="preserve">. </w:t>
      </w:r>
      <w:r w:rsidRPr="00DD2D90">
        <w:rPr>
          <w:rStyle w:val="StyleUnderline"/>
          <w:highlight w:val="green"/>
        </w:rPr>
        <w:t xml:space="preserve">There was a </w:t>
      </w:r>
      <w:r w:rsidRPr="00DD2D90">
        <w:rPr>
          <w:rStyle w:val="StyleUnderline"/>
        </w:rPr>
        <w:t xml:space="preserve">strong </w:t>
      </w:r>
      <w:r w:rsidRPr="00DD2D90">
        <w:rPr>
          <w:rStyle w:val="StyleUnderline"/>
          <w:highlight w:val="green"/>
        </w:rPr>
        <w:t xml:space="preserve">move to </w:t>
      </w:r>
      <w:r w:rsidRPr="00DD2D90">
        <w:rPr>
          <w:rStyle w:val="Emphasis"/>
          <w:highlight w:val="green"/>
        </w:rPr>
        <w:t>delegitimise</w:t>
      </w:r>
      <w:r w:rsidRPr="00DD2D90">
        <w:rPr>
          <w:rStyle w:val="StyleUnderline"/>
          <w:highlight w:val="green"/>
        </w:rPr>
        <w:t xml:space="preserve"> the role of the state</w:t>
      </w:r>
      <w:r w:rsidRPr="00DD2D90">
        <w:rPr>
          <w:rStyle w:val="StyleUnderline"/>
        </w:rPr>
        <w:t>, which proved</w:t>
      </w:r>
      <w:r w:rsidRPr="009278EB">
        <w:rPr>
          <w:sz w:val="16"/>
        </w:rPr>
        <w:t xml:space="preserve"> to be </w:t>
      </w:r>
      <w:r w:rsidRPr="00DD2D90">
        <w:rPr>
          <w:rStyle w:val="StyleUnderline"/>
        </w:rPr>
        <w:t>beneficial</w:t>
      </w:r>
      <w:r w:rsidRPr="009278EB">
        <w:rPr>
          <w:sz w:val="16"/>
        </w:rPr>
        <w:t xml:space="preserve"> </w:t>
      </w:r>
      <w:r w:rsidRPr="00DD2D90">
        <w:rPr>
          <w:rStyle w:val="StyleUnderline"/>
        </w:rPr>
        <w:t>for</w:t>
      </w:r>
      <w:r w:rsidRPr="009278EB">
        <w:rPr>
          <w:sz w:val="16"/>
        </w:rPr>
        <w:t xml:space="preserve"> the growth of </w:t>
      </w:r>
      <w:r w:rsidRPr="00DD2D90">
        <w:rPr>
          <w:rStyle w:val="StyleUnderline"/>
        </w:rPr>
        <w:t>the for-profit sector</w:t>
      </w:r>
      <w:r w:rsidRPr="009278EB">
        <w:rPr>
          <w:sz w:val="16"/>
        </w:rPr>
        <w:t xml:space="preserve">. As Utting observes [11], many of the </w:t>
      </w:r>
      <w:r w:rsidRPr="00DD2D90">
        <w:rPr>
          <w:rStyle w:val="StyleUnderline"/>
        </w:rPr>
        <w:t>NGOs were furthering</w:t>
      </w:r>
      <w:r w:rsidRPr="009278EB">
        <w:rPr>
          <w:sz w:val="16"/>
        </w:rPr>
        <w:t xml:space="preserve"> the agenda of </w:t>
      </w:r>
      <w:r w:rsidRPr="00DD2D90">
        <w:rPr>
          <w:rStyle w:val="StyleUnderline"/>
        </w:rPr>
        <w:t>commercialisation</w:t>
      </w:r>
      <w:r w:rsidRPr="009278EB">
        <w:rPr>
          <w:sz w:val="16"/>
        </w:rPr>
        <w:t xml:space="preserve"> through their activities and advocacy. This was an important development in the transformation of the NGO sector in health. The earlier understanding was that NGOs played a major role in resisting the neoliberal agenda. However, over a period, NGOs became an ‘ideologically fractured landscape’ [12]. The new avatar of external funding in health: the rise of American philanthro-capitalism The role of the World Bank and IMF in the health sector lost its sheen during the last two decades. The global and Asian financial crises challenged World Bank policies, leading to the decline in the power and influence that was once wielded by the Bretton Wood institutions. In the health sector, the adverse effects of reforms as prescribed by the World Bank were being seen across developing countries [13]. There was evidence to show that the commercialisation of public health services led to inequities in access. Various progressive social and health movements drew attention to the ill effects of commercialisation across the globe. Several of these movements formed global alliances and forged campaigns for resisting World Bank policies.6 The ongoing criticism and coordinated action did not come from the radical movements alone but found a voice from the advocates of globalisation and liberalisation who were concerned about growing socioeconomic inequities. The United States, which was a major contributor to the multilateral organisations, including WHO, started reducing its share due to the growing resistance to SAPs. As a result, the </w:t>
      </w:r>
      <w:r w:rsidRPr="00DD2D90">
        <w:rPr>
          <w:rStyle w:val="StyleUnderline"/>
        </w:rPr>
        <w:t>UN and WHO were faced with a financial crisis</w:t>
      </w:r>
      <w:r w:rsidRPr="009278EB">
        <w:rPr>
          <w:sz w:val="16"/>
        </w:rPr>
        <w:t xml:space="preserve">. At this point, </w:t>
      </w:r>
      <w:r w:rsidRPr="00DD2D90">
        <w:rPr>
          <w:rStyle w:val="StyleUnderline"/>
          <w:highlight w:val="green"/>
        </w:rPr>
        <w:t>private capital in the form of</w:t>
      </w:r>
      <w:r w:rsidRPr="00DD2D90">
        <w:rPr>
          <w:rStyle w:val="StyleUnderline"/>
        </w:rPr>
        <w:t xml:space="preserve"> </w:t>
      </w:r>
      <w:r w:rsidRPr="00DD2D90">
        <w:rPr>
          <w:rStyle w:val="StyleUnderline"/>
          <w:highlight w:val="green"/>
        </w:rPr>
        <w:t>pharma</w:t>
      </w:r>
      <w:r w:rsidRPr="00DD2D90">
        <w:rPr>
          <w:rStyle w:val="StyleUnderline"/>
        </w:rPr>
        <w:t xml:space="preserve">ceutical industry </w:t>
      </w:r>
      <w:r w:rsidRPr="00DD2D90">
        <w:rPr>
          <w:rStyle w:val="StyleUnderline"/>
          <w:highlight w:val="green"/>
        </w:rPr>
        <w:t>and philanthro-capitalist</w:t>
      </w:r>
      <w:r w:rsidRPr="00DD2D90">
        <w:rPr>
          <w:rStyle w:val="StyleUnderline"/>
        </w:rPr>
        <w:t xml:space="preserve"> groups like</w:t>
      </w:r>
      <w:r w:rsidRPr="009278EB">
        <w:rPr>
          <w:sz w:val="16"/>
        </w:rPr>
        <w:t xml:space="preserve"> the Bill and Melinda Gates Foundation (</w:t>
      </w:r>
      <w:r w:rsidRPr="00DD2D90">
        <w:rPr>
          <w:rStyle w:val="StyleUnderline"/>
        </w:rPr>
        <w:t>BMGF</w:t>
      </w:r>
      <w:r w:rsidRPr="009278EB">
        <w:rPr>
          <w:sz w:val="16"/>
        </w:rPr>
        <w:t xml:space="preserve">) </w:t>
      </w:r>
      <w:r w:rsidRPr="00DD2D90">
        <w:rPr>
          <w:rStyle w:val="StyleUnderline"/>
        </w:rPr>
        <w:t>entered global health</w:t>
      </w:r>
      <w:r w:rsidRPr="009278EB">
        <w:rPr>
          <w:sz w:val="16"/>
        </w:rPr>
        <w:t xml:space="preserve">. </w:t>
      </w:r>
      <w:r w:rsidRPr="00DD2D90">
        <w:rPr>
          <w:rStyle w:val="StyleUnderline"/>
        </w:rPr>
        <w:t>Global public–private partnerships were forged for</w:t>
      </w:r>
      <w:r w:rsidRPr="009278EB">
        <w:rPr>
          <w:sz w:val="16"/>
        </w:rPr>
        <w:t xml:space="preserve"> several </w:t>
      </w:r>
      <w:r w:rsidRPr="00DD2D90">
        <w:rPr>
          <w:rStyle w:val="StyleUnderline"/>
        </w:rPr>
        <w:t>disease control</w:t>
      </w:r>
      <w:r w:rsidRPr="009278EB">
        <w:rPr>
          <w:sz w:val="16"/>
        </w:rPr>
        <w:t xml:space="preserve"> programmes </w:t>
      </w:r>
      <w:r w:rsidRPr="00DD2D90">
        <w:rPr>
          <w:rStyle w:val="StyleUnderline"/>
        </w:rPr>
        <w:t>and</w:t>
      </w:r>
      <w:r w:rsidRPr="009278EB">
        <w:rPr>
          <w:sz w:val="16"/>
        </w:rPr>
        <w:t xml:space="preserve"> for the production of </w:t>
      </w:r>
      <w:r w:rsidRPr="00DD2D90">
        <w:rPr>
          <w:rStyle w:val="StyleUnderline"/>
        </w:rPr>
        <w:t>vaccines</w:t>
      </w:r>
      <w:r w:rsidRPr="009278EB">
        <w:rPr>
          <w:sz w:val="16"/>
        </w:rPr>
        <w:t xml:space="preserve">. The autonomy and normative role of </w:t>
      </w:r>
      <w:r w:rsidRPr="00DD2D90">
        <w:rPr>
          <w:rStyle w:val="StyleUnderline"/>
          <w:highlight w:val="green"/>
        </w:rPr>
        <w:t xml:space="preserve">WHO was </w:t>
      </w:r>
      <w:r w:rsidRPr="00DD2D90">
        <w:rPr>
          <w:rStyle w:val="Emphasis"/>
          <w:highlight w:val="green"/>
        </w:rPr>
        <w:t>compromised</w:t>
      </w:r>
      <w:r w:rsidRPr="009278EB">
        <w:rPr>
          <w:sz w:val="16"/>
          <w:highlight w:val="green"/>
        </w:rPr>
        <w:t xml:space="preserve"> </w:t>
      </w:r>
      <w:r w:rsidRPr="00DD2D90">
        <w:rPr>
          <w:rStyle w:val="StyleUnderline"/>
          <w:highlight w:val="green"/>
        </w:rPr>
        <w:t>by</w:t>
      </w:r>
      <w:r w:rsidRPr="009278EB">
        <w:rPr>
          <w:sz w:val="16"/>
        </w:rPr>
        <w:t xml:space="preserve"> the entry of </w:t>
      </w:r>
      <w:r w:rsidRPr="00DD2D90">
        <w:rPr>
          <w:rStyle w:val="StyleUnderline"/>
          <w:highlight w:val="green"/>
        </w:rPr>
        <w:t>big capital</w:t>
      </w:r>
      <w:r w:rsidRPr="009278EB">
        <w:rPr>
          <w:sz w:val="16"/>
        </w:rPr>
        <w:t xml:space="preserve"> [14]. American foundations have historically played an important role in international health. The earliest among them is the Rockefeller Foundation, of the early twentieth century. Birn traced the history and transformation of the American philanthropists and their engagement with health [15]. She reminds us that, while philanthro-capitalism has been defined as a desire to commit for the welfare of the others or to invest money to good causes, it does not call for loving all humans sincerely equally or loving them more than making money. She clarifies this concept, by citing a comment made by Rockefeller Junior that he was not in the business of producing oil, but was in the business of making money. </w:t>
      </w:r>
      <w:r w:rsidRPr="00DD2D90">
        <w:rPr>
          <w:rStyle w:val="StyleUnderline"/>
        </w:rPr>
        <w:t>The</w:t>
      </w:r>
      <w:r w:rsidRPr="009278EB">
        <w:rPr>
          <w:sz w:val="16"/>
        </w:rPr>
        <w:t xml:space="preserve"> fundamental </w:t>
      </w:r>
      <w:r w:rsidRPr="00DD2D90">
        <w:rPr>
          <w:rStyle w:val="StyleUnderline"/>
        </w:rPr>
        <w:t>objective of corporations is to maximise benefits and profits for their shareholders</w:t>
      </w:r>
      <w:r w:rsidRPr="009278EB">
        <w:rPr>
          <w:sz w:val="16"/>
        </w:rPr>
        <w:t xml:space="preserve">. Birn’s research writings on this subject document how two major American foundations, namely, the Rockefeller Foundation, of the early twentieth century, and the </w:t>
      </w:r>
      <w:r w:rsidRPr="00DD2D90">
        <w:rPr>
          <w:rStyle w:val="StyleUnderline"/>
          <w:highlight w:val="green"/>
        </w:rPr>
        <w:t>BMGF</w:t>
      </w:r>
      <w:r w:rsidRPr="009278EB">
        <w:rPr>
          <w:sz w:val="16"/>
        </w:rPr>
        <w:t xml:space="preserve">, of the twenty-first century, have </w:t>
      </w:r>
      <w:r w:rsidRPr="00DD2D90">
        <w:rPr>
          <w:rStyle w:val="StyleUnderline"/>
        </w:rPr>
        <w:t>shaped the ideology of institutions</w:t>
      </w:r>
      <w:r w:rsidRPr="009278EB">
        <w:rPr>
          <w:sz w:val="16"/>
        </w:rPr>
        <w:t xml:space="preserve"> </w:t>
      </w:r>
      <w:r w:rsidRPr="00DD2D90">
        <w:rPr>
          <w:rStyle w:val="StyleUnderline"/>
        </w:rPr>
        <w:t>in</w:t>
      </w:r>
      <w:r w:rsidRPr="009278EB">
        <w:rPr>
          <w:sz w:val="16"/>
        </w:rPr>
        <w:t xml:space="preserve"> practices of international and </w:t>
      </w:r>
      <w:r w:rsidRPr="00DD2D90">
        <w:rPr>
          <w:rStyle w:val="StyleUnderline"/>
        </w:rPr>
        <w:t>global health</w:t>
      </w:r>
      <w:r w:rsidRPr="009278EB">
        <w:rPr>
          <w:sz w:val="16"/>
        </w:rPr>
        <w:t xml:space="preserve">. These two entrepreneurs and </w:t>
      </w:r>
      <w:r w:rsidRPr="00DD2D90">
        <w:rPr>
          <w:rStyle w:val="StyleUnderline"/>
        </w:rPr>
        <w:t xml:space="preserve">foundations shared a </w:t>
      </w:r>
      <w:r w:rsidRPr="00DD2D90">
        <w:rPr>
          <w:rStyle w:val="StyleUnderline"/>
          <w:highlight w:val="green"/>
        </w:rPr>
        <w:t>belief in narrow</w:t>
      </w:r>
      <w:r w:rsidRPr="00DD2D90">
        <w:rPr>
          <w:rStyle w:val="StyleUnderline"/>
        </w:rPr>
        <w:t xml:space="preserve"> </w:t>
      </w:r>
      <w:r w:rsidRPr="00DD2D90">
        <w:rPr>
          <w:rStyle w:val="StyleUnderline"/>
          <w:highlight w:val="green"/>
        </w:rPr>
        <w:t>techn</w:t>
      </w:r>
      <w:r w:rsidRPr="00DD2D90">
        <w:rPr>
          <w:rStyle w:val="StyleUnderline"/>
        </w:rPr>
        <w:t xml:space="preserve">ology-centred biomedical </w:t>
      </w:r>
      <w:r w:rsidRPr="00DD2D90">
        <w:rPr>
          <w:rStyle w:val="StyleUnderline"/>
          <w:highlight w:val="green"/>
        </w:rPr>
        <w:t>approaches</w:t>
      </w:r>
      <w:r w:rsidRPr="00DD2D90">
        <w:rPr>
          <w:rStyle w:val="StyleUnderline"/>
        </w:rPr>
        <w:t xml:space="preserve"> and tended to </w:t>
      </w:r>
      <w:r w:rsidRPr="00DD2D90">
        <w:rPr>
          <w:rStyle w:val="StyleUnderline"/>
          <w:highlight w:val="green"/>
        </w:rPr>
        <w:t>overlook</w:t>
      </w:r>
      <w:r w:rsidRPr="00DD2D90">
        <w:rPr>
          <w:rStyle w:val="StyleUnderline"/>
        </w:rPr>
        <w:t xml:space="preserve"> the </w:t>
      </w:r>
      <w:r w:rsidRPr="00DD2D90">
        <w:rPr>
          <w:rStyle w:val="StyleUnderline"/>
          <w:highlight w:val="green"/>
        </w:rPr>
        <w:t>social</w:t>
      </w:r>
      <w:r w:rsidRPr="00DD2D90">
        <w:rPr>
          <w:rStyle w:val="StyleUnderline"/>
        </w:rPr>
        <w:t xml:space="preserve">, political and economic </w:t>
      </w:r>
      <w:r w:rsidRPr="00DD2D90">
        <w:rPr>
          <w:rStyle w:val="StyleUnderline"/>
          <w:highlight w:val="green"/>
        </w:rPr>
        <w:t>determinants of health</w:t>
      </w:r>
      <w:r w:rsidRPr="009278EB">
        <w:rPr>
          <w:sz w:val="16"/>
        </w:rPr>
        <w:t xml:space="preserve">. Both of them extended their medical empire into education, agricultural and natural sciences and development. However, a critical difference that divides them is that the Rockefeller Foundation historically supported government responsibility in public health. The Rockefeller Foundation also favoured the creation of a single multilateral coordinating agency for global health which later took shape as the WHO. The BMGF is the world’s largest philanthropic organisation wit the ability, through its diverse business interests, to mobilise funds that many multilateral organisations may not be able to. As Birn observes [14], the BMGF made endowments to the extent of 40 billion dollars in 2016, exceeding the 20 billion dollars so far donated by the United States mega-investor Warren Buffet. The United States public underwrites at least a third of this endowment with no say in its policies. </w:t>
      </w:r>
      <w:r w:rsidRPr="00DD2D90">
        <w:rPr>
          <w:rStyle w:val="StyleUnderline"/>
        </w:rPr>
        <w:t xml:space="preserve">The </w:t>
      </w:r>
      <w:r w:rsidRPr="00DD2D90">
        <w:rPr>
          <w:rStyle w:val="StyleUnderline"/>
          <w:highlight w:val="green"/>
        </w:rPr>
        <w:t>BMGF spends</w:t>
      </w:r>
      <w:r w:rsidRPr="00DD2D90">
        <w:rPr>
          <w:rStyle w:val="StyleUnderline"/>
        </w:rPr>
        <w:t xml:space="preserve"> </w:t>
      </w:r>
      <w:r w:rsidRPr="00DD2D90">
        <w:rPr>
          <w:rStyle w:val="StyleUnderline"/>
          <w:highlight w:val="green"/>
        </w:rPr>
        <w:t>more on global health than any governments</w:t>
      </w:r>
      <w:r w:rsidRPr="00DD2D90">
        <w:rPr>
          <w:rStyle w:val="StyleUnderline"/>
        </w:rPr>
        <w:t xml:space="preserve"> except the United States, with its spending in some years exceeding that of WHO</w:t>
      </w:r>
      <w:r w:rsidRPr="009278EB">
        <w:rPr>
          <w:sz w:val="16"/>
        </w:rPr>
        <w:t xml:space="preserve">. In fact, </w:t>
      </w:r>
      <w:r w:rsidRPr="00DD2D90">
        <w:rPr>
          <w:rStyle w:val="StyleUnderline"/>
          <w:highlight w:val="green"/>
        </w:rPr>
        <w:t>WHO receives funding from BMGF</w:t>
      </w:r>
      <w:r w:rsidRPr="009278EB">
        <w:rPr>
          <w:sz w:val="16"/>
        </w:rPr>
        <w:t xml:space="preserve"> </w:t>
      </w:r>
      <w:r w:rsidRPr="00DD2D90">
        <w:rPr>
          <w:rStyle w:val="StyleUnderline"/>
        </w:rPr>
        <w:t>and</w:t>
      </w:r>
      <w:r w:rsidRPr="009278EB">
        <w:rPr>
          <w:sz w:val="16"/>
        </w:rPr>
        <w:t xml:space="preserve"> has </w:t>
      </w:r>
      <w:r w:rsidRPr="00DD2D90">
        <w:rPr>
          <w:rStyle w:val="StyleUnderline"/>
        </w:rPr>
        <w:t>had to restructure</w:t>
      </w:r>
      <w:r w:rsidRPr="009278EB">
        <w:rPr>
          <w:sz w:val="16"/>
        </w:rPr>
        <w:t xml:space="preserve"> several of </w:t>
      </w:r>
      <w:r w:rsidRPr="00DD2D90">
        <w:rPr>
          <w:rStyle w:val="StyleUnderline"/>
        </w:rPr>
        <w:t>its</w:t>
      </w:r>
      <w:r w:rsidRPr="009278EB">
        <w:rPr>
          <w:sz w:val="16"/>
        </w:rPr>
        <w:t xml:space="preserve"> disease control and vaccine development </w:t>
      </w:r>
      <w:r w:rsidRPr="00DD2D90">
        <w:rPr>
          <w:rStyle w:val="StyleUnderline"/>
        </w:rPr>
        <w:t>programmes into Global Public–Private Partnerships</w:t>
      </w:r>
      <w:r w:rsidRPr="009278EB">
        <w:rPr>
          <w:sz w:val="16"/>
        </w:rPr>
        <w:t xml:space="preserve">. Further, the </w:t>
      </w:r>
      <w:r w:rsidRPr="00DD2D90">
        <w:rPr>
          <w:rStyle w:val="StyleUnderline"/>
        </w:rPr>
        <w:t>BMGF played an important role in the</w:t>
      </w:r>
      <w:r w:rsidRPr="009278EB">
        <w:rPr>
          <w:sz w:val="16"/>
        </w:rPr>
        <w:t xml:space="preserve"> formation of </w:t>
      </w:r>
      <w:r w:rsidRPr="00DD2D90">
        <w:rPr>
          <w:rStyle w:val="StyleUnderline"/>
        </w:rPr>
        <w:t>the H8</w:t>
      </w:r>
      <w:r w:rsidRPr="009278EB">
        <w:rPr>
          <w:sz w:val="16"/>
        </w:rPr>
        <w:t xml:space="preserve">, which is similar to the G8. The H8 </w:t>
      </w:r>
      <w:r w:rsidRPr="00DD2D90">
        <w:rPr>
          <w:rStyle w:val="StyleUnderline"/>
        </w:rPr>
        <w:t>consists of WHO, UNICEF, UNFPA, UNAIDS, the World Bank, the BMGF, the GAVI Alliance, and the Global Fund to Fight AIDS, Tuberculosis, and Malaria</w:t>
      </w:r>
      <w:r w:rsidRPr="009278EB">
        <w:rPr>
          <w:sz w:val="16"/>
        </w:rPr>
        <w:t xml:space="preserve">. Birn further points out, that: “The H8 holds meetings, like the G8, at which the mainstream global health agenda is shaped behind closed doors, and </w:t>
      </w:r>
      <w:r w:rsidRPr="00DD2D90">
        <w:rPr>
          <w:rStyle w:val="StyleUnderline"/>
        </w:rPr>
        <w:t>organisations considerably influenced by Gates and the BMGF constitute a plurality</w:t>
      </w:r>
      <w:r w:rsidRPr="009278EB">
        <w:rPr>
          <w:sz w:val="16"/>
        </w:rPr>
        <w:t xml:space="preserve">” [15]. Researchers have mapped the </w:t>
      </w:r>
      <w:r w:rsidRPr="00DD2D90">
        <w:rPr>
          <w:rStyle w:val="StyleUnderline"/>
          <w:highlight w:val="green"/>
        </w:rPr>
        <w:t>institutions</w:t>
      </w:r>
      <w:r w:rsidRPr="009278EB">
        <w:rPr>
          <w:sz w:val="16"/>
        </w:rPr>
        <w:t xml:space="preserve"> and individuals </w:t>
      </w:r>
      <w:r w:rsidRPr="00DD2D90">
        <w:rPr>
          <w:rStyle w:val="StyleUnderline"/>
        </w:rPr>
        <w:t>who</w:t>
      </w:r>
      <w:r w:rsidRPr="009278EB">
        <w:rPr>
          <w:sz w:val="16"/>
        </w:rPr>
        <w:t xml:space="preserve"> have </w:t>
      </w:r>
      <w:r w:rsidRPr="00DD2D90">
        <w:rPr>
          <w:rStyle w:val="StyleUnderline"/>
        </w:rPr>
        <w:t>received funding from the BMGF</w:t>
      </w:r>
      <w:r w:rsidRPr="009278EB">
        <w:rPr>
          <w:sz w:val="16"/>
        </w:rPr>
        <w:t xml:space="preserve"> and shown that </w:t>
      </w:r>
      <w:r w:rsidRPr="00DD2D90">
        <w:rPr>
          <w:rStyle w:val="StyleUnderline"/>
          <w:highlight w:val="green"/>
        </w:rPr>
        <w:t>involves partnerships with pharma</w:t>
      </w:r>
      <w:r w:rsidRPr="00DD2D90">
        <w:rPr>
          <w:rStyle w:val="StyleUnderline"/>
        </w:rPr>
        <w:t xml:space="preserve">ceutical, </w:t>
      </w:r>
      <w:r w:rsidRPr="00DD2D90">
        <w:rPr>
          <w:rStyle w:val="StyleUnderline"/>
          <w:highlight w:val="green"/>
        </w:rPr>
        <w:t>medical device and IT industries</w:t>
      </w:r>
      <w:r w:rsidRPr="009278EB">
        <w:rPr>
          <w:sz w:val="16"/>
        </w:rPr>
        <w:t xml:space="preserve"> [16]. The large volume of funding gives the BMGF power over priority setting for research and policy in health. In recent years, there have been several examples of the BMGF influencing the Indian government to introduce vaccines for childhood immunisation, injectable contraceptives and the like. Citing the experience of the engagement of the BMGF with the state government of Bihar, Birn argues that there is very little interaction between the BMGF, the health system, and its users [16]; the culture of the organisation is top-down with little scope for dialogue. Conflicts of interests have also been pointed out within the BMGF and in many other philanthro-capitalists for investing in polluting industries or unhealthy food and beverages, which are detrimental to public health. The entry of philanthro-capitalists has transformed the architecture for global health governance and created deficits in the structures for accountability. There is an asymmetry of power within the global order. A great number of large corporations and the wealthiest people in the world, including Gates, Buffet, Bloomberg, Ellison, Zuckerberg, Bezos and Slim, are involved in global health at some level. None of these players are accountable to their shareholders, individual nations or citizens and there are no structures to scrutinise their actions. The political face of </w:t>
      </w:r>
      <w:r w:rsidRPr="00DD2D90">
        <w:rPr>
          <w:rStyle w:val="StyleUnderline"/>
        </w:rPr>
        <w:t>neoliberalism</w:t>
      </w:r>
      <w:r w:rsidRPr="009278EB">
        <w:rPr>
          <w:sz w:val="16"/>
        </w:rPr>
        <w:t xml:space="preserve"> has </w:t>
      </w:r>
      <w:r w:rsidRPr="00DD2D90">
        <w:rPr>
          <w:rStyle w:val="Emphasis"/>
        </w:rPr>
        <w:t>fundamentally</w:t>
      </w:r>
      <w:r w:rsidRPr="009278EB">
        <w:rPr>
          <w:sz w:val="16"/>
        </w:rPr>
        <w:t xml:space="preserve"> </w:t>
      </w:r>
      <w:r w:rsidRPr="00DD2D90">
        <w:rPr>
          <w:rStyle w:val="StyleUnderline"/>
        </w:rPr>
        <w:t>transformed the relationship between big capital and the nation-state, as well as that between the nation-state and its citizens</w:t>
      </w:r>
      <w:r w:rsidRPr="009278EB">
        <w:rPr>
          <w:sz w:val="16"/>
        </w:rPr>
        <w:t xml:space="preserve">. In this process of reconfiguration and transformation, unholy alliances are forged between business interests and conservative politics, including religious fundamentalism. Therefore, what we wish to illustrate in the next section is that the engagement of neoliberalism with the political face has negative consequences for women and marginalised groups. These consequences result in the control of women’s bodies and jeopardise their sexual and reproductive health and rights. Beyond health services: neoliberal globalisation as a driver of gender-based health inequities through its partnership with religious fundamentalisms </w:t>
      </w:r>
    </w:p>
    <w:p w14:paraId="5E12007C" w14:textId="77777777" w:rsidR="00FA1D49" w:rsidRPr="009278EB" w:rsidRDefault="00FA1D49">
      <w:pPr>
        <w:rPr>
          <w:rFonts w:eastAsiaTheme="majorEastAsia" w:cstheme="majorBidi"/>
          <w:b/>
          <w:iCs/>
          <w:sz w:val="16"/>
        </w:rPr>
      </w:pPr>
      <w:r w:rsidRPr="009278EB">
        <w:rPr>
          <w:sz w:val="16"/>
        </w:rPr>
        <w:br w:type="page"/>
      </w:r>
    </w:p>
    <w:p w14:paraId="6FEE5C14" w14:textId="26852CBC" w:rsidR="0041131B" w:rsidRPr="009278EB" w:rsidRDefault="00145FD3" w:rsidP="0041131B">
      <w:pPr>
        <w:pStyle w:val="Heading4"/>
        <w:rPr>
          <w:szCs w:val="26"/>
        </w:rPr>
      </w:pPr>
      <w:r w:rsidRPr="009278EB">
        <w:rPr>
          <w:szCs w:val="26"/>
        </w:rPr>
        <w:t>Pharmaceutical leaders manipulate African healthcare development to sell Western commodities</w:t>
      </w:r>
    </w:p>
    <w:p w14:paraId="264F4DCC" w14:textId="77777777" w:rsidR="0041131B" w:rsidRPr="00DD2D90" w:rsidRDefault="0041131B" w:rsidP="0041131B">
      <w:r w:rsidRPr="009278EB">
        <w:rPr>
          <w:b/>
          <w:bCs/>
          <w:sz w:val="26"/>
          <w:szCs w:val="26"/>
        </w:rPr>
        <w:t>Fox 25</w:t>
      </w:r>
      <w:r w:rsidRPr="00DD2D90">
        <w:t xml:space="preserve"> [Nick J Fox, researcher at the department of Social and Psychological Sciences at the University of Huddersfield, 01-19-2025, "Commercial and Corporate Provision of Healthcare, Capitalism and the State", PubMed Central (PMC), https://pmc.ncbi.nlm.nih.gov/articles/PMC12963035/]/Kankee</w:t>
      </w:r>
    </w:p>
    <w:p w14:paraId="4B685F8E" w14:textId="77777777" w:rsidR="0041131B" w:rsidRPr="009278EB" w:rsidRDefault="0041131B" w:rsidP="0041131B">
      <w:pPr>
        <w:rPr>
          <w:sz w:val="16"/>
        </w:rPr>
      </w:pPr>
      <w:r w:rsidRPr="009278EB">
        <w:rPr>
          <w:sz w:val="16"/>
        </w:rPr>
        <w:t xml:space="preserve">6. Discussion The private provision of healthcare and related commodities is set to grow globally to over $11 trillion by 2030, driven by advances in digital health technologies, personalised medicine, precision treatments, convenience, AI and robotics (Research and Markets 2025). The main focus of the paper has been on how this growth in CCPH has been supported and encouraged by capitalist states. Within the Deleuzo–Guattarian perspective on the dynamics of capitalism outlined earlier, free flows of money, </w:t>
      </w:r>
      <w:r w:rsidRPr="00DD2D90">
        <w:rPr>
          <w:rStyle w:val="Emphasis"/>
          <w:highlight w:val="green"/>
        </w:rPr>
        <w:t>commodities</w:t>
      </w:r>
      <w:r w:rsidRPr="009278EB">
        <w:rPr>
          <w:sz w:val="16"/>
        </w:rPr>
        <w:t xml:space="preserve"> and labour </w:t>
      </w:r>
      <w:r w:rsidRPr="00DD2D90">
        <w:rPr>
          <w:rStyle w:val="StyleUnderline"/>
          <w:highlight w:val="green"/>
        </w:rPr>
        <w:t>are essential for</w:t>
      </w:r>
      <w:r w:rsidRPr="009278EB">
        <w:rPr>
          <w:sz w:val="16"/>
        </w:rPr>
        <w:t xml:space="preserve"> the operation of supply and demand in </w:t>
      </w:r>
      <w:r w:rsidRPr="00DD2D90">
        <w:rPr>
          <w:rStyle w:val="StyleUnderline"/>
        </w:rPr>
        <w:t>capitalist</w:t>
      </w:r>
      <w:r w:rsidRPr="009278EB">
        <w:rPr>
          <w:sz w:val="16"/>
        </w:rPr>
        <w:t xml:space="preserve"> markets and the consequent </w:t>
      </w:r>
      <w:r w:rsidRPr="00DD2D90">
        <w:rPr>
          <w:rStyle w:val="StyleUnderline"/>
        </w:rPr>
        <w:t>accumulation</w:t>
      </w:r>
      <w:r w:rsidRPr="009278EB">
        <w:rPr>
          <w:sz w:val="16"/>
        </w:rPr>
        <w:t xml:space="preserve"> of capital (Deleuze and Guattari 1988, 456), while </w:t>
      </w:r>
      <w:r w:rsidRPr="00DD2D90">
        <w:rPr>
          <w:rStyle w:val="StyleUnderline"/>
        </w:rPr>
        <w:t>the</w:t>
      </w:r>
      <w:r w:rsidRPr="009278EB">
        <w:rPr>
          <w:sz w:val="16"/>
        </w:rPr>
        <w:t xml:space="preserve"> primary </w:t>
      </w:r>
      <w:r w:rsidRPr="00DD2D90">
        <w:rPr>
          <w:rStyle w:val="StyleUnderline"/>
        </w:rPr>
        <w:t xml:space="preserve">objective of </w:t>
      </w:r>
      <w:r w:rsidRPr="00DD2D90">
        <w:rPr>
          <w:rStyle w:val="StyleUnderline"/>
          <w:highlight w:val="green"/>
        </w:rPr>
        <w:t>a capitalist state</w:t>
      </w:r>
      <w:r w:rsidRPr="00DD2D90">
        <w:rPr>
          <w:rStyle w:val="StyleUnderline"/>
        </w:rPr>
        <w:t xml:space="preserve"> is to</w:t>
      </w:r>
      <w:r w:rsidRPr="009278EB">
        <w:rPr>
          <w:sz w:val="16"/>
        </w:rPr>
        <w:t xml:space="preserve"> sustain and </w:t>
      </w:r>
      <w:r w:rsidRPr="00DD2D90">
        <w:rPr>
          <w:rStyle w:val="StyleUnderline"/>
        </w:rPr>
        <w:t>enhance these flows</w:t>
      </w:r>
      <w:r w:rsidRPr="009278EB">
        <w:rPr>
          <w:sz w:val="16"/>
        </w:rPr>
        <w:t xml:space="preserve"> (Deleuze 1992, 5; Guattari and Negri 2010, 49). The paper set out to test this hypothesis by exploring how the capacities of the </w:t>
      </w:r>
      <w:r w:rsidRPr="00DD2D90">
        <w:rPr>
          <w:rStyle w:val="StyleUnderline"/>
        </w:rPr>
        <w:t>UK</w:t>
      </w:r>
      <w:r w:rsidRPr="009278EB">
        <w:rPr>
          <w:sz w:val="16"/>
        </w:rPr>
        <w:t xml:space="preserve"> state apparatus have adapted in recent years to </w:t>
      </w:r>
      <w:r w:rsidRPr="00DD2D90">
        <w:rPr>
          <w:rStyle w:val="StyleUnderline"/>
        </w:rPr>
        <w:t xml:space="preserve">encourage and enhance healthcare trade and overseas investment. </w:t>
      </w:r>
      <w:r w:rsidRPr="009278EB">
        <w:rPr>
          <w:sz w:val="16"/>
        </w:rPr>
        <w:t xml:space="preserve">Analysis of these data revealed that, during the period studied, </w:t>
      </w:r>
      <w:r w:rsidRPr="00DD2D90">
        <w:rPr>
          <w:rStyle w:val="StyleUnderline"/>
          <w:highlight w:val="green"/>
        </w:rPr>
        <w:t>the UK</w:t>
      </w:r>
      <w:r w:rsidRPr="00DD2D90">
        <w:rPr>
          <w:rStyle w:val="StyleUnderline"/>
        </w:rPr>
        <w:t xml:space="preserve"> </w:t>
      </w:r>
      <w:r w:rsidRPr="009278EB">
        <w:rPr>
          <w:sz w:val="16"/>
        </w:rPr>
        <w:t>state</w:t>
      </w:r>
      <w:r w:rsidRPr="00DD2D90">
        <w:rPr>
          <w:rStyle w:val="StyleUnderline"/>
        </w:rPr>
        <w:t xml:space="preserve"> was </w:t>
      </w:r>
      <w:r w:rsidRPr="00DD2D90">
        <w:rPr>
          <w:rStyle w:val="Emphasis"/>
        </w:rPr>
        <w:t>highly proactive</w:t>
      </w:r>
      <w:r w:rsidRPr="00DD2D90">
        <w:rPr>
          <w:rStyle w:val="StyleUnderline"/>
        </w:rPr>
        <w:t xml:space="preserve"> towards this objective</w:t>
      </w:r>
      <w:r w:rsidRPr="009278EB">
        <w:rPr>
          <w:sz w:val="16"/>
        </w:rPr>
        <w:t xml:space="preserve">. </w:t>
      </w:r>
      <w:r w:rsidRPr="00DD2D90">
        <w:rPr>
          <w:rStyle w:val="Emphasis"/>
        </w:rPr>
        <w:t>Significant</w:t>
      </w:r>
      <w:r w:rsidRPr="00DD2D90">
        <w:rPr>
          <w:rStyle w:val="StyleUnderline"/>
        </w:rPr>
        <w:t xml:space="preserve"> governmental </w:t>
      </w:r>
      <w:r w:rsidRPr="00DD2D90">
        <w:rPr>
          <w:rStyle w:val="StyleUnderline"/>
          <w:highlight w:val="green"/>
        </w:rPr>
        <w:t>reorganisation</w:t>
      </w:r>
      <w:r w:rsidRPr="00DD2D90">
        <w:rPr>
          <w:rStyle w:val="StyleUnderline"/>
        </w:rPr>
        <w:t xml:space="preserve"> at the department level and </w:t>
      </w:r>
      <w:r w:rsidRPr="00DD2D90">
        <w:rPr>
          <w:rStyle w:val="StyleUnderline"/>
          <w:highlight w:val="green"/>
        </w:rPr>
        <w:t>in overseas embassies facilitated efforts to increase</w:t>
      </w:r>
      <w:r w:rsidRPr="00DD2D90">
        <w:rPr>
          <w:rStyle w:val="StyleUnderline"/>
        </w:rPr>
        <w:t xml:space="preserve"> trade and </w:t>
      </w:r>
      <w:r w:rsidRPr="00DD2D90">
        <w:rPr>
          <w:rStyle w:val="StyleUnderline"/>
          <w:highlight w:val="green"/>
        </w:rPr>
        <w:t>private healthcare</w:t>
      </w:r>
      <w:r w:rsidRPr="00DD2D90">
        <w:rPr>
          <w:rStyle w:val="StyleUnderline"/>
        </w:rPr>
        <w:t xml:space="preserve"> business</w:t>
      </w:r>
      <w:r w:rsidRPr="009278EB">
        <w:rPr>
          <w:sz w:val="16"/>
        </w:rPr>
        <w:t xml:space="preserve">, most notably via the establishment of Healthcare UK to coordinate this work. </w:t>
      </w:r>
      <w:r w:rsidRPr="00DD2D90">
        <w:rPr>
          <w:rStyle w:val="StyleUnderline"/>
        </w:rPr>
        <w:t xml:space="preserve">UK government officials, trade bodies and </w:t>
      </w:r>
      <w:r w:rsidRPr="00DD2D90">
        <w:rPr>
          <w:rStyle w:val="StyleUnderline"/>
          <w:highlight w:val="green"/>
        </w:rPr>
        <w:t>healthcare organisations</w:t>
      </w:r>
      <w:r w:rsidRPr="00DD2D90">
        <w:rPr>
          <w:rStyle w:val="StyleUnderline"/>
        </w:rPr>
        <w:t xml:space="preserve"> established strategies to </w:t>
      </w:r>
      <w:r w:rsidRPr="00DD2D90">
        <w:rPr>
          <w:rStyle w:val="StyleUnderline"/>
          <w:highlight w:val="green"/>
        </w:rPr>
        <w:t>find overseas partners, with</w:t>
      </w:r>
      <w:r w:rsidRPr="00DD2D90">
        <w:rPr>
          <w:rStyle w:val="StyleUnderline"/>
        </w:rPr>
        <w:t xml:space="preserve"> government ministers and </w:t>
      </w:r>
      <w:r w:rsidRPr="00DD2D90">
        <w:rPr>
          <w:rStyle w:val="StyleUnderline"/>
          <w:highlight w:val="green"/>
        </w:rPr>
        <w:t>prime ministers flown out</w:t>
      </w:r>
      <w:r w:rsidRPr="00DD2D90">
        <w:rPr>
          <w:rStyle w:val="StyleUnderline"/>
        </w:rPr>
        <w:t xml:space="preserve"> when needed </w:t>
      </w:r>
      <w:r w:rsidRPr="00DD2D90">
        <w:rPr>
          <w:rStyle w:val="StyleUnderline"/>
          <w:highlight w:val="green"/>
        </w:rPr>
        <w:t>to bolster</w:t>
      </w:r>
      <w:r w:rsidRPr="00DD2D90">
        <w:rPr>
          <w:rStyle w:val="StyleUnderline"/>
        </w:rPr>
        <w:t xml:space="preserve"> these efforts</w:t>
      </w:r>
      <w:r w:rsidRPr="009278EB">
        <w:rPr>
          <w:sz w:val="16"/>
        </w:rPr>
        <w:t xml:space="preserve">. On occasions, this focus subverted other objectives, such as providing aid to developing nations to reduce poverty and build infrastructure: To this end, the Foreign and Commonwealth Office was merged with the Department for International Development in 2020. As noted earlier, the Deleuzo–Guattarian understanding of capitalism as an ‘ecumenical international’ formation (Deleuze and Guattari 1988, 453) acknowledges that capitalist states take a variety of forms, from a ‘pure’ neoliberal free market to neo‐Keynesian interventionism to state capitalism. In these diverse forms of capitalism, we may expect differing state emphases on private enterprise. The rudimentary provision of public healthcare in the United States reflects the most extreme case among liberal democracies of reliance on the market to deliver healthcare, whereas the data in the study reported in this paper document the efforts by ‘state capitalist’ China to develop private healthcare infrastructure alongside its public systems. </w:t>
      </w:r>
      <w:r w:rsidRPr="00DD2D90">
        <w:rPr>
          <w:rStyle w:val="StyleUnderline"/>
        </w:rPr>
        <w:t xml:space="preserve">The focus on </w:t>
      </w:r>
      <w:r w:rsidRPr="00DD2D90">
        <w:rPr>
          <w:rStyle w:val="StyleUnderline"/>
          <w:highlight w:val="green"/>
        </w:rPr>
        <w:t>international enterprise in</w:t>
      </w:r>
      <w:r w:rsidRPr="009278EB">
        <w:rPr>
          <w:sz w:val="16"/>
          <w:highlight w:val="green"/>
        </w:rPr>
        <w:t xml:space="preserve"> the</w:t>
      </w:r>
      <w:r w:rsidRPr="009278EB">
        <w:rPr>
          <w:sz w:val="16"/>
        </w:rPr>
        <w:t xml:space="preserve"> field of </w:t>
      </w:r>
      <w:r w:rsidRPr="00DD2D90">
        <w:rPr>
          <w:rStyle w:val="StyleUnderline"/>
          <w:highlight w:val="green"/>
        </w:rPr>
        <w:t>healthcare</w:t>
      </w:r>
      <w:r w:rsidRPr="009278EB">
        <w:rPr>
          <w:sz w:val="16"/>
        </w:rPr>
        <w:t xml:space="preserve"> reported in this paper came during a period when a right‐of‐centre UK government was in power, with a manifesto commitment to growing the economy, reducing public spending, rolling back business regulation and increasing international trade in the wake of the departure from the European Union (Conservative and Unionist Party 2019, 32–34, 51). However, it is worth noting that the centrist ‘New Labour’ government of Tony Blair and Gordon Brown (1997–2010) was also enthusiastic about corporate involvement in the nation's health, establishing large health infrastructure projects funded via public–private partnerships (PPPs) alongside substantial increases in funding to the NHS. At the time of writing, the UK Labour government of Keir Starmer seems as intent on economic growth and enterprise as previous right‐of‐centre administrations, suggesting there will be no scaling back of efforts to boost trade in healthcare services and products with countries such as China and India. So, this paper adds weight to the proposition that in liberal democracies, </w:t>
      </w:r>
      <w:r w:rsidRPr="00DD2D90">
        <w:rPr>
          <w:rStyle w:val="StyleUnderline"/>
          <w:highlight w:val="green"/>
        </w:rPr>
        <w:t>state apparatuses</w:t>
      </w:r>
      <w:r w:rsidRPr="00DD2D90">
        <w:rPr>
          <w:rStyle w:val="StyleUnderline"/>
        </w:rPr>
        <w:t xml:space="preserve"> of capitalist countries </w:t>
      </w:r>
      <w:r w:rsidRPr="00DD2D90">
        <w:rPr>
          <w:rStyle w:val="StyleUnderline"/>
          <w:highlight w:val="green"/>
        </w:rPr>
        <w:t>will</w:t>
      </w:r>
      <w:r w:rsidRPr="00DD2D90">
        <w:rPr>
          <w:rStyle w:val="StyleUnderline"/>
        </w:rPr>
        <w:t xml:space="preserve"> support and </w:t>
      </w:r>
      <w:r w:rsidRPr="00DD2D90">
        <w:rPr>
          <w:rStyle w:val="StyleUnderline"/>
          <w:highlight w:val="green"/>
        </w:rPr>
        <w:t>encourage</w:t>
      </w:r>
      <w:r w:rsidRPr="00DD2D90">
        <w:rPr>
          <w:rStyle w:val="StyleUnderline"/>
        </w:rPr>
        <w:t xml:space="preserve"> the commercial and </w:t>
      </w:r>
      <w:r w:rsidRPr="00DD2D90">
        <w:rPr>
          <w:rStyle w:val="StyleUnderline"/>
          <w:highlight w:val="green"/>
        </w:rPr>
        <w:t>corporate delivery</w:t>
      </w:r>
      <w:r w:rsidRPr="00DD2D90">
        <w:rPr>
          <w:rStyle w:val="StyleUnderline"/>
        </w:rPr>
        <w:t xml:space="preserve"> of health services, </w:t>
      </w:r>
      <w:r w:rsidRPr="00DD2D90">
        <w:rPr>
          <w:rStyle w:val="StyleUnderline"/>
          <w:highlight w:val="green"/>
        </w:rPr>
        <w:t>even while</w:t>
      </w:r>
      <w:r w:rsidRPr="00DD2D90">
        <w:rPr>
          <w:rStyle w:val="StyleUnderline"/>
        </w:rPr>
        <w:t xml:space="preserve"> also </w:t>
      </w:r>
      <w:r w:rsidRPr="00DD2D90">
        <w:rPr>
          <w:rStyle w:val="StyleUnderline"/>
          <w:highlight w:val="green"/>
        </w:rPr>
        <w:t>being responsible for a public health</w:t>
      </w:r>
      <w:r w:rsidRPr="00DD2D90">
        <w:rPr>
          <w:rStyle w:val="StyleUnderline"/>
        </w:rPr>
        <w:t xml:space="preserve"> </w:t>
      </w:r>
      <w:r w:rsidRPr="00DD2D90">
        <w:rPr>
          <w:rStyle w:val="StyleUnderline"/>
          <w:highlight w:val="green"/>
        </w:rPr>
        <w:t>system</w:t>
      </w:r>
      <w:r w:rsidRPr="009278EB">
        <w:rPr>
          <w:sz w:val="16"/>
        </w:rPr>
        <w:t xml:space="preserve">. Indeed, it explains what may seem a contradiction. Although most developed countries possess a variant on a comprehensive public health system, these jurisdictions are capitalist economies and depend on economic growth (and the accumulation of capital) to generate wealth, provide employment and supply tax income for public spending. This finding refines understanding of what a capitalist state can do in relation to healthcare and suggests that CCPH will continue to grow and be a source of income for both private enterprises and capitalist economies into the future. This analysis of the capitalist state goes some way towards re‐politicising discussions in mainstream economics of markets and welfare service provision (Roffé 2015, 3–4; Swanson 2008, 63–65). More generally, this paper has supplied a refined theoretical understanding of the state by focusing on capacities: what it can do. It recognises that capitalist economies depend upon free flows of capital, commodities and labour and that the fiscal, legal and regulatory capacities of a state will always be required in such economies to assure and enhance both these material flows and the supply and demand affects that enable the capitalist circuits of production and exchange (Fox 2023b). At the same time, these states are staffed by human actors (politicians and administrators) with their own agendas and—in a liberal democracy—subject to the whims of an electorate. In such circumstances, capitalist states might complement or even partially compromise their primary objective of capital accumulation to ameliorate some of the unpopular negative consequences of capitalism, including health and wealth inequalities, wastefulness, environmental degradation and the job insecurity that a market economy generates (Fox 2023b). The breadth of contemporary liberal democratic state activities—ranging from national and cyber security to welfare services (Dunleavy 2014, 12–14)—reflects the extent to which capitalist state capacities diversify in developed nations. The volume of these additional capacities will vary according to the cultural, political and ideological commitments of elected governments (for instance, the high‐tax welfare capitalist economies of Nordic states or the libertarian ideology underpinning free‐market capitalism in the USA). This analysis explains why many liberal democratic states sustain parallel private and public healthcare provision and will do so into the future, with continuing or even growing inequalities contingent upon a divide between those able and those unable to afford access to private health insurance and services. For scholars, these conclusions set a theoretical agenda for research to further explore how private providers of healthcare and governments generate capital and wealth from health and the part capitalist states play in encouraging and facilitating CCPH; how the commercial viability of CCPH is contributing to the privatisation and commodification of healthcare; and how to mitigate the growth of social and health inequities and inequalities consequent upon this trend. For policymakers, healthcare practitioners and patients, it offers an invitation to fully </w:t>
      </w:r>
      <w:r w:rsidRPr="00DD2D90">
        <w:rPr>
          <w:rStyle w:val="StyleUnderline"/>
          <w:highlight w:val="green"/>
        </w:rPr>
        <w:t>acknowledge the profit motive underpinning</w:t>
      </w:r>
      <w:r w:rsidRPr="00DD2D90">
        <w:rPr>
          <w:rStyle w:val="StyleUnderline"/>
        </w:rPr>
        <w:t xml:space="preserve"> private healthcare provision and the ongoing challenges that </w:t>
      </w:r>
      <w:r w:rsidRPr="009278EB">
        <w:rPr>
          <w:sz w:val="16"/>
        </w:rPr>
        <w:t xml:space="preserve">a market economy and </w:t>
      </w:r>
      <w:r w:rsidRPr="00DD2D90">
        <w:rPr>
          <w:rStyle w:val="StyleUnderline"/>
        </w:rPr>
        <w:t xml:space="preserve">a </w:t>
      </w:r>
      <w:r w:rsidRPr="00DD2D90">
        <w:rPr>
          <w:rStyle w:val="StyleUnderline"/>
          <w:highlight w:val="green"/>
        </w:rPr>
        <w:t>capitalist</w:t>
      </w:r>
      <w:r w:rsidRPr="00DD2D90">
        <w:rPr>
          <w:rStyle w:val="StyleUnderline"/>
        </w:rPr>
        <w:t xml:space="preserve"> state pose for the </w:t>
      </w:r>
      <w:r w:rsidRPr="00DD2D90">
        <w:rPr>
          <w:rStyle w:val="StyleUnderline"/>
          <w:highlight w:val="green"/>
        </w:rPr>
        <w:t>development</w:t>
      </w:r>
      <w:r w:rsidRPr="00DD2D90">
        <w:rPr>
          <w:rStyle w:val="StyleUnderline"/>
        </w:rPr>
        <w:t xml:space="preserve"> </w:t>
      </w:r>
      <w:r w:rsidRPr="009278EB">
        <w:rPr>
          <w:sz w:val="16"/>
        </w:rPr>
        <w:t xml:space="preserve">and continuity </w:t>
      </w:r>
      <w:r w:rsidRPr="00DD2D90">
        <w:rPr>
          <w:rStyle w:val="StyleUnderline"/>
        </w:rPr>
        <w:t xml:space="preserve">of </w:t>
      </w:r>
      <w:r w:rsidRPr="009278EB">
        <w:rPr>
          <w:sz w:val="16"/>
        </w:rPr>
        <w:t xml:space="preserve">comprehensive and equitable health services and the </w:t>
      </w:r>
      <w:r w:rsidRPr="00DD2D90">
        <w:rPr>
          <w:rStyle w:val="StyleUnderline"/>
        </w:rPr>
        <w:t xml:space="preserve">public health in </w:t>
      </w:r>
      <w:r w:rsidRPr="009278EB">
        <w:rPr>
          <w:sz w:val="16"/>
        </w:rPr>
        <w:t>both the Global North and</w:t>
      </w:r>
      <w:r w:rsidRPr="00DD2D90">
        <w:rPr>
          <w:rStyle w:val="StyleUnderline"/>
        </w:rPr>
        <w:t xml:space="preserve"> the Global South</w:t>
      </w:r>
      <w:r w:rsidRPr="009278EB">
        <w:rPr>
          <w:sz w:val="16"/>
        </w:rPr>
        <w:t>.</w:t>
      </w:r>
    </w:p>
    <w:p w14:paraId="4A9BF7C2" w14:textId="77777777" w:rsidR="00FA1D49" w:rsidRPr="009278EB" w:rsidRDefault="00FA1D49">
      <w:pPr>
        <w:rPr>
          <w:rFonts w:eastAsiaTheme="majorEastAsia" w:cstheme="majorBidi"/>
          <w:b/>
          <w:iCs/>
          <w:sz w:val="16"/>
        </w:rPr>
      </w:pPr>
      <w:r w:rsidRPr="009278EB">
        <w:rPr>
          <w:sz w:val="16"/>
        </w:rPr>
        <w:br w:type="page"/>
      </w:r>
    </w:p>
    <w:p w14:paraId="572A1F71" w14:textId="73A98D3B" w:rsidR="0041131B" w:rsidRPr="009278EB" w:rsidRDefault="0041131B" w:rsidP="0041131B">
      <w:pPr>
        <w:pStyle w:val="Heading4"/>
        <w:rPr>
          <w:szCs w:val="26"/>
        </w:rPr>
      </w:pPr>
      <w:r w:rsidRPr="009278EB">
        <w:rPr>
          <w:szCs w:val="26"/>
        </w:rPr>
        <w:t>Philanthrocapitalists destroy public good provision by other governments to increase neocolonial extraction of their wealth.</w:t>
      </w:r>
      <w:r w:rsidR="00145FD3" w:rsidRPr="009278EB">
        <w:rPr>
          <w:szCs w:val="26"/>
        </w:rPr>
        <w:t xml:space="preserve"> They force the poison of the IMF and sell the cure of private partnerships</w:t>
      </w:r>
    </w:p>
    <w:p w14:paraId="0605260B" w14:textId="6BDFAC69" w:rsidR="0041131B" w:rsidRPr="00DD2D90" w:rsidRDefault="0041131B" w:rsidP="0041131B">
      <w:r w:rsidRPr="009278EB">
        <w:rPr>
          <w:b/>
          <w:bCs/>
          <w:sz w:val="26"/>
          <w:szCs w:val="26"/>
        </w:rPr>
        <w:t>Garikayi 20</w:t>
      </w:r>
      <w:r w:rsidRPr="00DD2D90">
        <w:t xml:space="preserve"> [Francis Valentine Garikayi, PhD Researcher in Economics at the University of the West of England in Bristol, 6-3-2020, "Global finance and charity killed African healthcare", </w:t>
      </w:r>
      <w:r w:rsidR="00223414">
        <w:t>Africa is a Country</w:t>
      </w:r>
      <w:r w:rsidRPr="00DD2D90">
        <w:t>, https://africasacountry.com/2020/06/how-global-finance-and-philanthropy-killed-african-healthcare]/Kankee</w:t>
      </w:r>
    </w:p>
    <w:p w14:paraId="0E912E5E" w14:textId="77777777" w:rsidR="0041131B" w:rsidRPr="00223414" w:rsidRDefault="0041131B" w:rsidP="0041131B">
      <w:pPr>
        <w:rPr>
          <w:sz w:val="16"/>
        </w:rPr>
      </w:pPr>
      <w:r w:rsidRPr="00223414">
        <w:rPr>
          <w:sz w:val="16"/>
        </w:rPr>
        <w:t xml:space="preserve">In sub-Saharan Africa, healthcare has been shifted from the realm of politics and democratic accountability to that of billionaires and so-called “experts” in a process that has resulted in what Egyptian economist, Samir Amin, has referred to as “low intensity democracy.” Bill </w:t>
      </w:r>
      <w:r w:rsidRPr="00DD2D90">
        <w:rPr>
          <w:rStyle w:val="StyleUnderline"/>
          <w:highlight w:val="green"/>
        </w:rPr>
        <w:t>Gates has a</w:t>
      </w:r>
      <w:r w:rsidRPr="00DD2D90">
        <w:rPr>
          <w:rStyle w:val="StyleUnderline"/>
        </w:rPr>
        <w:t xml:space="preserve"> much </w:t>
      </w:r>
      <w:r w:rsidRPr="00DD2D90">
        <w:rPr>
          <w:rStyle w:val="StyleUnderline"/>
          <w:highlight w:val="green"/>
        </w:rPr>
        <w:t>greater say in public health</w:t>
      </w:r>
      <w:r w:rsidRPr="00DD2D90">
        <w:rPr>
          <w:rStyle w:val="StyleUnderline"/>
        </w:rPr>
        <w:t xml:space="preserve"> issues </w:t>
      </w:r>
      <w:r w:rsidRPr="00DD2D90">
        <w:rPr>
          <w:rStyle w:val="StyleUnderline"/>
          <w:highlight w:val="green"/>
        </w:rPr>
        <w:t>concerning Africans than African citizens</w:t>
      </w:r>
      <w:r w:rsidRPr="00DD2D90">
        <w:rPr>
          <w:rStyle w:val="StyleUnderline"/>
        </w:rPr>
        <w:t xml:space="preserve"> themselves</w:t>
      </w:r>
      <w:r w:rsidRPr="00223414">
        <w:rPr>
          <w:sz w:val="16"/>
        </w:rPr>
        <w:t xml:space="preserve">. Similarly, it is perfectly uncontroversial for South African president Cyril Ramaphosa to publicize </w:t>
      </w:r>
      <w:r w:rsidRPr="00DD2D90">
        <w:rPr>
          <w:rStyle w:val="StyleUnderline"/>
        </w:rPr>
        <w:t>local billionaire pledges</w:t>
      </w:r>
      <w:r w:rsidRPr="00223414">
        <w:rPr>
          <w:sz w:val="16"/>
        </w:rPr>
        <w:t xml:space="preserve"> to the COVID-19 pandemic on national TV, perhaps </w:t>
      </w:r>
      <w:r w:rsidRPr="00DD2D90">
        <w:rPr>
          <w:rStyle w:val="StyleUnderline"/>
        </w:rPr>
        <w:t>reflect</w:t>
      </w:r>
      <w:r w:rsidRPr="00223414">
        <w:rPr>
          <w:sz w:val="16"/>
        </w:rPr>
        <w:t xml:space="preserve">ing that </w:t>
      </w:r>
      <w:r w:rsidRPr="00DD2D90">
        <w:rPr>
          <w:rStyle w:val="StyleUnderline"/>
        </w:rPr>
        <w:t>they form his real constituency</w:t>
      </w:r>
      <w:r w:rsidRPr="00223414">
        <w:rPr>
          <w:sz w:val="16"/>
        </w:rPr>
        <w:t xml:space="preserve">. </w:t>
      </w:r>
      <w:r w:rsidRPr="00DD2D90">
        <w:rPr>
          <w:rStyle w:val="StyleUnderline"/>
        </w:rPr>
        <w:t>Where are the voices of the millions of ordinary citizens who vote in African elections?</w:t>
      </w:r>
      <w:r w:rsidRPr="00223414">
        <w:rPr>
          <w:sz w:val="16"/>
        </w:rPr>
        <w:t xml:space="preserve"> Have they been hollowed out by the rich and powerful? Let’s consider Zimbabwe. The country’s Forbes-listed billionaire Strive Masiyiwa, who has invariably donated to the country’s health-care system through his Higherlife Foundation, has proposed the creation of a Special Purpose Trust to help Zimbabwe and Sudan’s response to the coronavirus pandemic. A few months before the outbreak of the coronavirus, a prolonged doctors’ strike, which had all but paralyzed the Zimbabwe’s healthcare sector, ended with doctors’ accepting a funding offer from Masiyiwa’s Higherlife Foundation. In sidelining the government and democratic accountability, Mr Masiyiwa advocates for the exclusion of the state and the promotion of “third parties” in the management of humanitarian responses. Unsurprisingly, the UK based philanthropist exclaimed, “Don’t just wait for governments” after donating 45 ventilators to be used in Zimbabwe’s public hospitals. To be clear, this is by no means a reproach of good deeds except to point out that these acts illustrate how </w:t>
      </w:r>
      <w:r w:rsidRPr="00DD2D90">
        <w:rPr>
          <w:rStyle w:val="StyleUnderline"/>
          <w:highlight w:val="green"/>
        </w:rPr>
        <w:t>the government’s duty</w:t>
      </w:r>
      <w:r w:rsidRPr="00DD2D90">
        <w:rPr>
          <w:rStyle w:val="StyleUnderline"/>
        </w:rPr>
        <w:t xml:space="preserve"> of service provision </w:t>
      </w:r>
      <w:r w:rsidRPr="00DD2D90">
        <w:rPr>
          <w:rStyle w:val="StyleUnderline"/>
          <w:highlight w:val="green"/>
        </w:rPr>
        <w:t>has been subordinated to private actors</w:t>
      </w:r>
      <w:r w:rsidRPr="00223414">
        <w:rPr>
          <w:sz w:val="16"/>
        </w:rPr>
        <w:t xml:space="preserve">. Besides, a public health system that’s worth its salt cannot rely on the benevolence of </w:t>
      </w:r>
      <w:r w:rsidRPr="00DD2D90">
        <w:rPr>
          <w:rStyle w:val="StyleUnderline"/>
          <w:highlight w:val="green"/>
        </w:rPr>
        <w:t>private</w:t>
      </w:r>
      <w:r w:rsidRPr="00DD2D90">
        <w:rPr>
          <w:rStyle w:val="StyleUnderline"/>
        </w:rPr>
        <w:t xml:space="preserve"> foundations</w:t>
      </w:r>
      <w:r w:rsidRPr="00223414">
        <w:rPr>
          <w:sz w:val="16"/>
        </w:rPr>
        <w:t xml:space="preserve">. A closer look at Mr. Masiyiwa’s </w:t>
      </w:r>
      <w:r w:rsidRPr="00DD2D90">
        <w:rPr>
          <w:rStyle w:val="StyleUnderline"/>
          <w:highlight w:val="green"/>
        </w:rPr>
        <w:t>interventions</w:t>
      </w:r>
      <w:r w:rsidRPr="00223414">
        <w:rPr>
          <w:sz w:val="16"/>
        </w:rPr>
        <w:t xml:space="preserve"> reveals that they probably </w:t>
      </w:r>
      <w:r w:rsidRPr="00DD2D90">
        <w:rPr>
          <w:rStyle w:val="Emphasis"/>
          <w:highlight w:val="green"/>
        </w:rPr>
        <w:t>reinforce</w:t>
      </w:r>
      <w:r w:rsidRPr="00DD2D90">
        <w:rPr>
          <w:rStyle w:val="StyleUnderline"/>
        </w:rPr>
        <w:t xml:space="preserve"> </w:t>
      </w:r>
      <w:r w:rsidRPr="00DD2D90">
        <w:rPr>
          <w:rStyle w:val="StyleUnderline"/>
          <w:highlight w:val="green"/>
        </w:rPr>
        <w:t>existing systemic failures which they intend to solve</w:t>
      </w:r>
      <w:r w:rsidRPr="00223414">
        <w:rPr>
          <w:sz w:val="16"/>
        </w:rPr>
        <w:t xml:space="preserve">. By quelling a doctors strike with a cash payout, Zimbabwe’s healthcare system lost out on the opportunity for broad systemic change through labor struggle—especially given that the doctors were striking for broad issues beyond pay. Likewise, failing to advocate for the lifting of economic sanctions on Zimbabwe under the guise of entrepreneurial activism as opposed to political activism is hypocritical. No one can possibly sustain an argument that sanctions have not negatively affected Zimbabwe’s economy in general and healthcare system in particular. In the case of South Africa, the statement by President Ramaphosa that the Oppenheimer and Ruppert families had pledged 1 billion Rands ($57 million USD) each for small enterprises to tap into during the COVID-19 pandemic was an unprecedented publicity stunt for private individuals by a state president. In addition, the president announced the set-up of a solidarity fund. According to Ramaphosa, the government would provide seed capital of R150 million into the fund to complement public sector efforts to combat corona virus. The Fund’s website states, “… individuals and organizations will be able to support these efforts through secure, tax-deductible donations.” Most significantly, he stressed that: “The Fund will be administered by a reputable team of people, drawn from financial institutions, accounting firms and government.” </w:t>
      </w:r>
      <w:r w:rsidRPr="00DD2D90">
        <w:rPr>
          <w:rStyle w:val="StyleUnderline"/>
        </w:rPr>
        <w:t xml:space="preserve">This provides </w:t>
      </w:r>
      <w:r w:rsidRPr="00DD2D90">
        <w:rPr>
          <w:rStyle w:val="Emphasis"/>
        </w:rPr>
        <w:t>irrefutable evidence</w:t>
      </w:r>
      <w:r w:rsidRPr="00DD2D90">
        <w:rPr>
          <w:rStyle w:val="StyleUnderline"/>
        </w:rPr>
        <w:t xml:space="preserve"> of </w:t>
      </w:r>
      <w:r w:rsidRPr="00223414">
        <w:rPr>
          <w:sz w:val="16"/>
        </w:rPr>
        <w:t xml:space="preserve">the growing role of accountants and managers in healthcare provision. What the aforementioned actions belie is </w:t>
      </w:r>
      <w:r w:rsidRPr="00DD2D90">
        <w:rPr>
          <w:rStyle w:val="StyleUnderline"/>
        </w:rPr>
        <w:t>the transformation of African public health into a core site of accumulation</w:t>
      </w:r>
      <w:r w:rsidRPr="00223414">
        <w:rPr>
          <w:sz w:val="16"/>
        </w:rPr>
        <w:t xml:space="preserve">. Moreover, </w:t>
      </w:r>
      <w:r w:rsidRPr="00DD2D90">
        <w:rPr>
          <w:rStyle w:val="StyleUnderline"/>
        </w:rPr>
        <w:t xml:space="preserve">health </w:t>
      </w:r>
      <w:r w:rsidRPr="00DD2D90">
        <w:rPr>
          <w:rStyle w:val="StyleUnderline"/>
          <w:highlight w:val="green"/>
        </w:rPr>
        <w:t>philanthropy</w:t>
      </w:r>
      <w:r w:rsidRPr="00DD2D90">
        <w:rPr>
          <w:rStyle w:val="StyleUnderline"/>
        </w:rPr>
        <w:t xml:space="preserve"> as an alliance of national governments, charities, NGOs and Western capital </w:t>
      </w:r>
      <w:r w:rsidRPr="00DD2D90">
        <w:rPr>
          <w:rStyle w:val="StyleUnderline"/>
          <w:highlight w:val="green"/>
        </w:rPr>
        <w:t>allows elites to mask their</w:t>
      </w:r>
      <w:r w:rsidRPr="00DD2D90">
        <w:rPr>
          <w:rStyle w:val="StyleUnderline"/>
        </w:rPr>
        <w:t xml:space="preserve"> real </w:t>
      </w:r>
      <w:r w:rsidRPr="00DD2D90">
        <w:rPr>
          <w:rStyle w:val="StyleUnderline"/>
          <w:highlight w:val="green"/>
        </w:rPr>
        <w:t>intentions as humanitarian</w:t>
      </w:r>
      <w:r w:rsidRPr="00DD2D90">
        <w:rPr>
          <w:rStyle w:val="StyleUnderline"/>
        </w:rPr>
        <w:t xml:space="preserve"> </w:t>
      </w:r>
      <w:r w:rsidRPr="00DD2D90">
        <w:rPr>
          <w:rStyle w:val="StyleUnderline"/>
          <w:highlight w:val="green"/>
        </w:rPr>
        <w:t>actions</w:t>
      </w:r>
      <w:r w:rsidRPr="00223414">
        <w:rPr>
          <w:sz w:val="16"/>
        </w:rPr>
        <w:t xml:space="preserve">. And yet, this has significantly undermined the resilience of global south national health systems. </w:t>
      </w:r>
      <w:r w:rsidRPr="00DD2D90">
        <w:rPr>
          <w:rStyle w:val="StyleUnderline"/>
        </w:rPr>
        <w:t xml:space="preserve">African </w:t>
      </w:r>
      <w:r w:rsidRPr="00DD2D90">
        <w:rPr>
          <w:rStyle w:val="StyleUnderline"/>
          <w:highlight w:val="green"/>
        </w:rPr>
        <w:t>ministries of</w:t>
      </w:r>
      <w:r w:rsidRPr="00DD2D90">
        <w:rPr>
          <w:rStyle w:val="StyleUnderline"/>
        </w:rPr>
        <w:t xml:space="preserve"> </w:t>
      </w:r>
      <w:r w:rsidRPr="00DD2D90">
        <w:rPr>
          <w:rStyle w:val="StyleUnderline"/>
          <w:highlight w:val="green"/>
        </w:rPr>
        <w:t>health</w:t>
      </w:r>
      <w:r w:rsidRPr="00DD2D90">
        <w:rPr>
          <w:rStyle w:val="StyleUnderline"/>
        </w:rPr>
        <w:t xml:space="preserve"> have increasingly </w:t>
      </w:r>
      <w:r w:rsidRPr="00DD2D90">
        <w:rPr>
          <w:rStyle w:val="StyleUnderline"/>
          <w:highlight w:val="green"/>
        </w:rPr>
        <w:t>shifted towards serving</w:t>
      </w:r>
      <w:r w:rsidRPr="00DD2D90">
        <w:rPr>
          <w:rStyle w:val="StyleUnderline"/>
        </w:rPr>
        <w:t xml:space="preserve"> the needs of </w:t>
      </w:r>
      <w:r w:rsidRPr="00DD2D90">
        <w:rPr>
          <w:rStyle w:val="StyleUnderline"/>
          <w:highlight w:val="green"/>
        </w:rPr>
        <w:t>financiers</w:t>
      </w:r>
      <w:r w:rsidRPr="00DD2D90">
        <w:rPr>
          <w:rStyle w:val="StyleUnderline"/>
        </w:rPr>
        <w:t xml:space="preserve"> by focusing on disease specific interventions </w:t>
      </w:r>
      <w:r w:rsidRPr="00DD2D90">
        <w:rPr>
          <w:rStyle w:val="StyleUnderline"/>
          <w:highlight w:val="green"/>
        </w:rPr>
        <w:t>instead of</w:t>
      </w:r>
      <w:r w:rsidRPr="00DD2D90">
        <w:rPr>
          <w:rStyle w:val="StyleUnderline"/>
        </w:rPr>
        <w:t xml:space="preserve"> </w:t>
      </w:r>
      <w:r w:rsidRPr="00DD2D90">
        <w:rPr>
          <w:rStyle w:val="StyleUnderline"/>
          <w:highlight w:val="green"/>
        </w:rPr>
        <w:t>broadly strengthening</w:t>
      </w:r>
      <w:r w:rsidRPr="00DD2D90">
        <w:rPr>
          <w:rStyle w:val="StyleUnderline"/>
        </w:rPr>
        <w:t xml:space="preserve"> national health care </w:t>
      </w:r>
      <w:r w:rsidRPr="00DD2D90">
        <w:rPr>
          <w:rStyle w:val="StyleUnderline"/>
          <w:highlight w:val="green"/>
        </w:rPr>
        <w:t>systems</w:t>
      </w:r>
      <w:r w:rsidRPr="00223414">
        <w:rPr>
          <w:sz w:val="16"/>
        </w:rPr>
        <w:t xml:space="preserve">. </w:t>
      </w:r>
      <w:r w:rsidRPr="00DD2D90">
        <w:rPr>
          <w:rStyle w:val="StyleUnderline"/>
        </w:rPr>
        <w:t>NGOs and western capital have promoted this through vertical funding</w:t>
      </w:r>
      <w:r w:rsidRPr="00223414">
        <w:rPr>
          <w:sz w:val="16"/>
        </w:rPr>
        <w:t xml:space="preserve">. Because of this, social justice, egalitarianism and community participation in health care have been displaced. It is thus important to shed more light on this transformation. For decades, until the end of World War II, </w:t>
      </w:r>
      <w:r w:rsidRPr="00DD2D90">
        <w:rPr>
          <w:rStyle w:val="StyleUnderline"/>
        </w:rPr>
        <w:t>public health in the Global South had been under the purview of colonial rulers</w:t>
      </w:r>
      <w:r w:rsidRPr="00223414">
        <w:rPr>
          <w:sz w:val="16"/>
        </w:rPr>
        <w:t xml:space="preserve">. Hence, </w:t>
      </w:r>
      <w:r w:rsidRPr="00DD2D90">
        <w:rPr>
          <w:rStyle w:val="StyleUnderline"/>
        </w:rPr>
        <w:t>health services extended to the “third world” peoples was strongly linked to capital accumulation</w:t>
      </w:r>
      <w:r w:rsidRPr="00223414">
        <w:rPr>
          <w:sz w:val="16"/>
        </w:rPr>
        <w:t xml:space="preserve">. However, by 1978 at the height of the Cold War, third world peoples became conscious of the benefits of healthcare for all. This culminated in the Alma-Ata Declaration whose ethos was “health for all.” It declared that: “The people have the right and duty to participate individually and collectively in the planning and implementation of their health care.” Consequently, 134 members of the World Health Organization (WHO) signed the declaration in Alma-Ata, USSR on September 6, 1978. Indeed, the declaration reflected the popularity of socialist policies at the time. Most importantly, its proponents led by the Chinese delegation to the WHO viewed it as a tool for redressing injustice. This effort, however, was undermined by </w:t>
      </w:r>
      <w:r w:rsidRPr="00DD2D90">
        <w:rPr>
          <w:rStyle w:val="StyleUnderline"/>
        </w:rPr>
        <w:t>the US</w:t>
      </w:r>
      <w:r w:rsidRPr="00223414">
        <w:rPr>
          <w:sz w:val="16"/>
        </w:rPr>
        <w:t xml:space="preserve"> which </w:t>
      </w:r>
      <w:r w:rsidRPr="00DD2D90">
        <w:rPr>
          <w:rStyle w:val="StyleUnderline"/>
        </w:rPr>
        <w:t>hindered the development of self-sustaining healthcare systems in the global south by starving them of funding</w:t>
      </w:r>
      <w:r w:rsidRPr="00223414">
        <w:rPr>
          <w:sz w:val="16"/>
        </w:rPr>
        <w:t xml:space="preserve">. This culminated in the 1993 World Development Report which criticized Alma-Ata’s financing mechanisms. </w:t>
      </w:r>
      <w:r w:rsidRPr="00DD2D90">
        <w:rPr>
          <w:rStyle w:val="StyleUnderline"/>
          <w:highlight w:val="green"/>
        </w:rPr>
        <w:t>The</w:t>
      </w:r>
      <w:r w:rsidRPr="00223414">
        <w:rPr>
          <w:sz w:val="16"/>
        </w:rPr>
        <w:t xml:space="preserve"> final </w:t>
      </w:r>
      <w:r w:rsidRPr="00DD2D90">
        <w:rPr>
          <w:rStyle w:val="Emphasis"/>
          <w:highlight w:val="green"/>
        </w:rPr>
        <w:t>death knell</w:t>
      </w:r>
      <w:r w:rsidRPr="00DD2D90">
        <w:rPr>
          <w:rStyle w:val="StyleUnderline"/>
          <w:highlight w:val="green"/>
        </w:rPr>
        <w:t xml:space="preserve"> was</w:t>
      </w:r>
      <w:r w:rsidRPr="00223414">
        <w:rPr>
          <w:sz w:val="16"/>
        </w:rPr>
        <w:t xml:space="preserve"> struck on socialist health programs by </w:t>
      </w:r>
      <w:r w:rsidRPr="00DD2D90">
        <w:rPr>
          <w:rStyle w:val="StyleUnderline"/>
          <w:highlight w:val="green"/>
        </w:rPr>
        <w:t>s</w:t>
      </w:r>
      <w:r w:rsidRPr="00DD2D90">
        <w:rPr>
          <w:rStyle w:val="StyleUnderline"/>
        </w:rPr>
        <w:t xml:space="preserve">tructural </w:t>
      </w:r>
      <w:r w:rsidRPr="00DD2D90">
        <w:rPr>
          <w:rStyle w:val="StyleUnderline"/>
          <w:highlight w:val="green"/>
        </w:rPr>
        <w:t>a</w:t>
      </w:r>
      <w:r w:rsidRPr="00DD2D90">
        <w:rPr>
          <w:rStyle w:val="StyleUnderline"/>
        </w:rPr>
        <w:t xml:space="preserve">djustment </w:t>
      </w:r>
      <w:r w:rsidRPr="00DD2D90">
        <w:rPr>
          <w:rStyle w:val="StyleUnderline"/>
          <w:highlight w:val="green"/>
        </w:rPr>
        <w:t>p</w:t>
      </w:r>
      <w:r w:rsidRPr="00DD2D90">
        <w:rPr>
          <w:rStyle w:val="StyleUnderline"/>
        </w:rPr>
        <w:t>rograms</w:t>
      </w:r>
      <w:r w:rsidRPr="00223414">
        <w:rPr>
          <w:sz w:val="16"/>
        </w:rPr>
        <w:t xml:space="preserve">, </w:t>
      </w:r>
      <w:r w:rsidRPr="00DD2D90">
        <w:rPr>
          <w:rStyle w:val="StyleUnderline"/>
        </w:rPr>
        <w:t>which</w:t>
      </w:r>
      <w:r w:rsidRPr="00223414">
        <w:rPr>
          <w:sz w:val="16"/>
        </w:rPr>
        <w:t xml:space="preserve"> further </w:t>
      </w:r>
      <w:r w:rsidRPr="00DD2D90">
        <w:rPr>
          <w:rStyle w:val="StyleUnderline"/>
        </w:rPr>
        <w:t>deprived public healthcare programs of funding</w:t>
      </w:r>
      <w:r w:rsidRPr="00223414">
        <w:rPr>
          <w:sz w:val="16"/>
        </w:rPr>
        <w:t xml:space="preserve">. Its place was filled by “global health governance” (GHG) as part of the “new world order.” </w:t>
      </w:r>
      <w:r w:rsidRPr="00DD2D90">
        <w:rPr>
          <w:rStyle w:val="StyleUnderline"/>
          <w:highlight w:val="green"/>
        </w:rPr>
        <w:t>This meant</w:t>
      </w:r>
      <w:r w:rsidRPr="00DD2D90">
        <w:rPr>
          <w:rStyle w:val="StyleUnderline"/>
        </w:rPr>
        <w:t xml:space="preserve"> the supplanting of governments in</w:t>
      </w:r>
      <w:r w:rsidRPr="00223414">
        <w:rPr>
          <w:sz w:val="16"/>
        </w:rPr>
        <w:t xml:space="preserve"> the realm of public health by foundations, NGOs and Public-Private Partnerships (</w:t>
      </w:r>
      <w:r w:rsidRPr="00DD2D90">
        <w:rPr>
          <w:rStyle w:val="StyleUnderline"/>
          <w:highlight w:val="green"/>
        </w:rPr>
        <w:t>PPPs</w:t>
      </w:r>
      <w:r w:rsidRPr="00223414">
        <w:rPr>
          <w:sz w:val="16"/>
        </w:rPr>
        <w:t xml:space="preserve">). Instead of supporting governments in the provision of holistic health-care, </w:t>
      </w:r>
      <w:r w:rsidRPr="00DD2D90">
        <w:rPr>
          <w:rStyle w:val="StyleUnderline"/>
        </w:rPr>
        <w:t>global financiers alienated health ministries through sophisticated financial schemes</w:t>
      </w:r>
      <w:r w:rsidRPr="00223414">
        <w:rPr>
          <w:sz w:val="16"/>
        </w:rPr>
        <w:t xml:space="preserve">. As a result of this, the </w:t>
      </w:r>
      <w:r w:rsidRPr="00DD2D90">
        <w:rPr>
          <w:rStyle w:val="StyleUnderline"/>
        </w:rPr>
        <w:t>WHO was greatly weakened and reduced to servicing private foundations instead of the</w:t>
      </w:r>
      <w:r w:rsidRPr="00223414">
        <w:rPr>
          <w:sz w:val="16"/>
        </w:rPr>
        <w:t xml:space="preserve"> majority of the </w:t>
      </w:r>
      <w:r w:rsidRPr="00DD2D90">
        <w:rPr>
          <w:rStyle w:val="StyleUnderline"/>
        </w:rPr>
        <w:t>world</w:t>
      </w:r>
      <w:r w:rsidRPr="00223414">
        <w:rPr>
          <w:sz w:val="16"/>
        </w:rPr>
        <w:t xml:space="preserve">’s population. By far the most striking effect on the public health of the developing world by the GHG agenda is its focus on “health-care verticals.” This has been promoted by initiatives such as the Global Fund to Fight AIDS, Tuberculosis and Malaria and Gavi, the Vaccine Alliance, both initiatives heavily influenced by the Bill and Melinda Gates Foundation. A key feature of health verticals is their focus on specific diseases, as well as their pliability to hierarchical management by multiple stakeholders. Consequently, </w:t>
      </w:r>
      <w:r w:rsidRPr="00DD2D90">
        <w:rPr>
          <w:rStyle w:val="StyleUnderline"/>
        </w:rPr>
        <w:t xml:space="preserve">health ministries </w:t>
      </w:r>
      <w:r w:rsidRPr="00223414">
        <w:rPr>
          <w:sz w:val="16"/>
        </w:rPr>
        <w:t xml:space="preserve">have been significantly weakened. Their </w:t>
      </w:r>
      <w:r w:rsidRPr="00DD2D90">
        <w:rPr>
          <w:rStyle w:val="StyleUnderline"/>
        </w:rPr>
        <w:t>focus has been diverted towards funded initiatives much to the detriment of other conditions, which are</w:t>
      </w:r>
      <w:r w:rsidRPr="00223414">
        <w:rPr>
          <w:sz w:val="16"/>
        </w:rPr>
        <w:t xml:space="preserve"> equally important but perhaps </w:t>
      </w:r>
      <w:r w:rsidRPr="00DD2D90">
        <w:rPr>
          <w:rStyle w:val="StyleUnderline"/>
        </w:rPr>
        <w:t xml:space="preserve">less </w:t>
      </w:r>
      <w:r w:rsidRPr="00DD2D90">
        <w:rPr>
          <w:rStyle w:val="StyleUnderline"/>
          <w:highlight w:val="green"/>
        </w:rPr>
        <w:t>profit</w:t>
      </w:r>
      <w:r w:rsidRPr="00DD2D90">
        <w:rPr>
          <w:rStyle w:val="StyleUnderline"/>
        </w:rPr>
        <w:t xml:space="preserve">able </w:t>
      </w:r>
      <w:r w:rsidRPr="00DD2D90">
        <w:rPr>
          <w:rStyle w:val="StyleUnderline"/>
          <w:highlight w:val="green"/>
        </w:rPr>
        <w:t>to</w:t>
      </w:r>
      <w:r w:rsidRPr="00DD2D90">
        <w:rPr>
          <w:rStyle w:val="StyleUnderline"/>
        </w:rPr>
        <w:t xml:space="preserve"> the </w:t>
      </w:r>
      <w:r w:rsidRPr="00DD2D90">
        <w:rPr>
          <w:rStyle w:val="StyleUnderline"/>
          <w:highlight w:val="green"/>
        </w:rPr>
        <w:t>foundations</w:t>
      </w:r>
      <w:r w:rsidRPr="00223414">
        <w:rPr>
          <w:sz w:val="16"/>
        </w:rPr>
        <w:t xml:space="preserve">. This is the state of the milieu in which COVID-19 finds a majority of African countries. At present, sub-Saharan Africa is experiencing a low reported numbers of cases and deaths from COVID-19 relative to other parts of the world. Many governments on the continent have implemented social distancing measures and are now easing them. However, because of the virtual absence of both adequate public services and a social safety net, there has been a short shrift consideration of their effectiveness. </w:t>
      </w:r>
      <w:r w:rsidRPr="00DD2D90">
        <w:rPr>
          <w:rStyle w:val="StyleUnderline"/>
        </w:rPr>
        <w:t xml:space="preserve">This </w:t>
      </w:r>
      <w:r w:rsidRPr="00DD2D90">
        <w:rPr>
          <w:rStyle w:val="StyleUnderline"/>
          <w:highlight w:val="green"/>
        </w:rPr>
        <w:t>has been</w:t>
      </w:r>
      <w:r w:rsidRPr="00DD2D90">
        <w:rPr>
          <w:rStyle w:val="StyleUnderline"/>
        </w:rPr>
        <w:t xml:space="preserve"> in part </w:t>
      </w:r>
      <w:r w:rsidRPr="00DD2D90">
        <w:rPr>
          <w:rStyle w:val="StyleUnderline"/>
          <w:highlight w:val="green"/>
        </w:rPr>
        <w:t>caused by</w:t>
      </w:r>
      <w:r w:rsidRPr="00DD2D90">
        <w:rPr>
          <w:rStyle w:val="StyleUnderline"/>
        </w:rPr>
        <w:t xml:space="preserve"> years of </w:t>
      </w:r>
      <w:r w:rsidRPr="00DD2D90">
        <w:rPr>
          <w:rStyle w:val="StyleUnderline"/>
          <w:highlight w:val="green"/>
        </w:rPr>
        <w:t>neoliberal</w:t>
      </w:r>
      <w:r w:rsidRPr="00DD2D90">
        <w:rPr>
          <w:rStyle w:val="StyleUnderline"/>
        </w:rPr>
        <w:t xml:space="preserve"> </w:t>
      </w:r>
      <w:r w:rsidRPr="00DD2D90">
        <w:rPr>
          <w:rStyle w:val="StyleUnderline"/>
          <w:highlight w:val="green"/>
        </w:rPr>
        <w:t>decimation of</w:t>
      </w:r>
      <w:r w:rsidRPr="00DD2D90">
        <w:rPr>
          <w:rStyle w:val="StyleUnderline"/>
        </w:rPr>
        <w:t xml:space="preserve"> the resilience of </w:t>
      </w:r>
      <w:r w:rsidRPr="00DD2D90">
        <w:rPr>
          <w:rStyle w:val="StyleUnderline"/>
          <w:highlight w:val="green"/>
        </w:rPr>
        <w:t>Global South governments</w:t>
      </w:r>
      <w:r w:rsidRPr="00223414">
        <w:rPr>
          <w:sz w:val="16"/>
        </w:rPr>
        <w:t xml:space="preserve"> in the past four decades. Take for instance South Africa—after almost three decades of “democracy,” informal settlements and rural areas still lack basic services like running water and adequate sanitation. Social distancing in the townships which are home to the majority of South Africans is almost impossible. Similarly, South Africa’s former colony, the Republic of Namibia, which grappled with Hepatitis E last year, instituted a lock-down. However, it faces immense sanitation challenges and has had to rely on tippy taps for hand washing water. In Zimbabwe, the death of a prominent journalist in the country’s main COVID-19 facility prompted elites to establish a private state of the art facility in a PPP with the government—once again reinforcing the divide between the haves and the have-nots. To sum up, COVID-19 provides Africans with a prism for reflecting on what GHG might mean to them. Following the freeze on funding by the US president to the WHO, its apologists have come out guns blazing. As argued in this article, the WHO has long been unfit for purpose, after years of onslaught by private financiers—this might be an opportunity to restore the sovereignty of nations at the WHO and revert back to the principles of the Alma Ata Declaration. Surely a few billionaires cannot continue to speak on behalf of millions of Africans.</w:t>
      </w:r>
    </w:p>
    <w:p w14:paraId="37F48007" w14:textId="77777777" w:rsidR="00FA1D49" w:rsidRPr="00223414" w:rsidRDefault="00FA1D49">
      <w:pPr>
        <w:rPr>
          <w:rFonts w:eastAsiaTheme="majorEastAsia" w:cstheme="majorBidi"/>
          <w:b/>
          <w:iCs/>
          <w:sz w:val="16"/>
        </w:rPr>
      </w:pPr>
      <w:r w:rsidRPr="00223414">
        <w:rPr>
          <w:sz w:val="16"/>
        </w:rPr>
        <w:br w:type="page"/>
      </w:r>
    </w:p>
    <w:p w14:paraId="1D1D10DF" w14:textId="5C7CB9E5" w:rsidR="00893021" w:rsidRPr="00223414" w:rsidRDefault="00893021" w:rsidP="00893021">
      <w:pPr>
        <w:pStyle w:val="Heading4"/>
        <w:rPr>
          <w:szCs w:val="26"/>
        </w:rPr>
      </w:pPr>
      <w:r w:rsidRPr="00223414">
        <w:rPr>
          <w:szCs w:val="26"/>
        </w:rPr>
        <w:t>Philanthrocap</w:t>
      </w:r>
      <w:r w:rsidR="00DC605C" w:rsidRPr="00223414">
        <w:rPr>
          <w:szCs w:val="26"/>
        </w:rPr>
        <w:t>italism is c</w:t>
      </w:r>
      <w:r w:rsidRPr="00223414">
        <w:rPr>
          <w:szCs w:val="26"/>
        </w:rPr>
        <w:t>oloniz</w:t>
      </w:r>
      <w:r w:rsidR="00DC605C" w:rsidRPr="00223414">
        <w:rPr>
          <w:szCs w:val="26"/>
        </w:rPr>
        <w:t>ing</w:t>
      </w:r>
      <w:r w:rsidRPr="00223414">
        <w:rPr>
          <w:szCs w:val="26"/>
        </w:rPr>
        <w:t xml:space="preserve"> global health</w:t>
      </w:r>
      <w:r w:rsidR="00DC605C" w:rsidRPr="00223414">
        <w:rPr>
          <w:szCs w:val="26"/>
        </w:rPr>
        <w:t xml:space="preserve">, underdeveloping domestic health institutions to force </w:t>
      </w:r>
      <w:r w:rsidR="002A6738" w:rsidRPr="00223414">
        <w:rPr>
          <w:szCs w:val="26"/>
        </w:rPr>
        <w:t>countries</w:t>
      </w:r>
      <w:r w:rsidR="00DC605C" w:rsidRPr="00223414">
        <w:rPr>
          <w:szCs w:val="26"/>
        </w:rPr>
        <w:t xml:space="preserve"> to rely on </w:t>
      </w:r>
      <w:proofErr w:type="gramStart"/>
      <w:r w:rsidR="0097160E" w:rsidRPr="00223414">
        <w:rPr>
          <w:szCs w:val="26"/>
        </w:rPr>
        <w:t>philanthropists’</w:t>
      </w:r>
      <w:proofErr w:type="gramEnd"/>
      <w:r w:rsidR="002A6738" w:rsidRPr="00223414">
        <w:rPr>
          <w:szCs w:val="26"/>
        </w:rPr>
        <w:t xml:space="preserve"> </w:t>
      </w:r>
      <w:r w:rsidR="00DC605C" w:rsidRPr="00223414">
        <w:rPr>
          <w:szCs w:val="26"/>
        </w:rPr>
        <w:t>band-aid solutions</w:t>
      </w:r>
    </w:p>
    <w:p w14:paraId="7F1CEAAA" w14:textId="77777777" w:rsidR="00893021" w:rsidRPr="00DD2D90" w:rsidRDefault="00893021" w:rsidP="00893021">
      <w:r w:rsidRPr="00223414">
        <w:rPr>
          <w:b/>
          <w:bCs/>
          <w:sz w:val="26"/>
          <w:szCs w:val="26"/>
        </w:rPr>
        <w:t>Butler 19</w:t>
      </w:r>
      <w:r w:rsidRPr="00DD2D90">
        <w:t xml:space="preserve"> [Colin D Butler, researcher at the National Centre for Epidemiology and Population Health at Australian National University, 3-22-2019, "Philanthrocapitalism: Promoting Global Health but Failing Planetary Health", MDPI, https://www.mdpi.com/2078-1547/10/1/24]/Kankee</w:t>
      </w:r>
    </w:p>
    <w:p w14:paraId="136369AE" w14:textId="77777777" w:rsidR="00893021" w:rsidRPr="00223414" w:rsidRDefault="00893021" w:rsidP="00893021">
      <w:pPr>
        <w:rPr>
          <w:sz w:val="16"/>
        </w:rPr>
      </w:pPr>
      <w:r w:rsidRPr="00223414">
        <w:rPr>
          <w:sz w:val="16"/>
        </w:rPr>
        <w:t xml:space="preserve">One aim of WHO (founded in 1948) was to prevent such pandemics. Another was to improve health in developing countries, places today mostly called the Global South [34]. In 1955, for example, WHO launched a highly ambitious, ultimately unsuccessful campaign to eradicate malaria [41]. Twelve years later, WHO launched another eradication campaign, against smallpox [42]. Within only 11 years, that campaign proved successful. In 1988, in a third major vertical health project, WHO proposed to eradicate polio by the year 2000 [43]. However, eradication of smallpox was an easier target than either malaria or polio, though the achievement was still phenomenal; an unprecedented achievement that remains unique. In its early decades, most WHO funding was discretionary (i.e., from the perspective of WHO), provided by member states as assessed dues in proportion to their income. The peak percentage of such discretionary funding was about two thirds in the 1960s [44]. The drive for WHO to promote health culminated in what Halfdan Mahler, the third WHO director general (1973–1988), called the “warm decade” of the 1970s [45]. In this decade, WHO launched its campaign of “Health for All by the Year 2000” [45,46]. Such a proposal would be unthinkable today, including because only about 20% of WHO’s current spending is discretionary [44]. The 1978 Alma Ata conference proved to be the height of WHO’s aspiration [47]. However, a more limited appeal for universality has re-emerged in WHO’s call for universal coverage or access in a wide range of health-related areas including HIV/AIDS, reproductive health, health insurance, and free health services, particularly for women and children [48]. From the early 1980s, a shift occurred in the funding of WHO, in parallel to the rising influence of neoliberalism, or the doctrine that that market exchange is the supreme guide to economic prosperity and thus to human well-being [9,49,50]. It is probably not coincidental that around this time the number of influential people with vivid memories and deep understanding of the catastrophes that gave birth to the UN was declining, due to the ageing of the generation for which these experiences were formative. British sociologist Simon Szretzer likened the public acceptance of the alleged benefits of “trickle down” economics in western economies in this period, to a naïve prospector tricked by fool’s gold [17]. </w:t>
      </w:r>
      <w:r w:rsidRPr="00DD2D90">
        <w:rPr>
          <w:rStyle w:val="StyleUnderline"/>
          <w:highlight w:val="green"/>
        </w:rPr>
        <w:t>Neoliberal</w:t>
      </w:r>
      <w:r w:rsidRPr="00223414">
        <w:rPr>
          <w:sz w:val="16"/>
          <w:highlight w:val="green"/>
        </w:rPr>
        <w:t xml:space="preserve"> </w:t>
      </w:r>
      <w:r w:rsidRPr="00DD2D90">
        <w:rPr>
          <w:rStyle w:val="StyleUnderline"/>
          <w:highlight w:val="green"/>
        </w:rPr>
        <w:t>policies</w:t>
      </w:r>
      <w:r w:rsidRPr="00223414">
        <w:rPr>
          <w:sz w:val="16"/>
        </w:rPr>
        <w:t xml:space="preserve">, in conjunction with tightening Limits to Growth [4], have, at first gradually but now more </w:t>
      </w:r>
      <w:r w:rsidRPr="00DD2D90">
        <w:rPr>
          <w:rStyle w:val="StyleUnderline"/>
        </w:rPr>
        <w:t xml:space="preserve">rapidly, led to the </w:t>
      </w:r>
      <w:r w:rsidRPr="00DD2D90">
        <w:rPr>
          <w:rStyle w:val="Emphasis"/>
          <w:highlight w:val="green"/>
        </w:rPr>
        <w:t>undermining</w:t>
      </w:r>
      <w:r w:rsidRPr="00223414">
        <w:rPr>
          <w:sz w:val="16"/>
        </w:rPr>
        <w:t xml:space="preserve"> </w:t>
      </w:r>
      <w:r w:rsidRPr="00DD2D90">
        <w:rPr>
          <w:rStyle w:val="StyleUnderline"/>
        </w:rPr>
        <w:t>of</w:t>
      </w:r>
      <w:r w:rsidRPr="00223414">
        <w:rPr>
          <w:sz w:val="16"/>
        </w:rPr>
        <w:t xml:space="preserve"> many forms of support for many </w:t>
      </w:r>
      <w:r w:rsidRPr="00DD2D90">
        <w:rPr>
          <w:rStyle w:val="StyleUnderline"/>
          <w:highlight w:val="green"/>
        </w:rPr>
        <w:t>global public goods</w:t>
      </w:r>
      <w:r w:rsidRPr="00223414">
        <w:rPr>
          <w:sz w:val="16"/>
        </w:rPr>
        <w:t xml:space="preserve"> [51]. This slow cascade of consequences is still evolving, and has many manifestations. It is revealed, for example, by three recent unilateral U.S. decisions: announcing its withdrawal from the 2015 Paris climate change agreement (effective November 2020), its reneging on the Western alliance to quell Iranian nuclear aspirations, and its exit from the UN Human Rights Council [52]. </w:t>
      </w:r>
      <w:r w:rsidRPr="00DD2D90">
        <w:rPr>
          <w:rStyle w:val="StyleUnderline"/>
        </w:rPr>
        <w:t xml:space="preserve">The increasingly recognized </w:t>
      </w:r>
      <w:r w:rsidRPr="00DD2D90">
        <w:rPr>
          <w:rStyle w:val="StyleUnderline"/>
          <w:highlight w:val="green"/>
        </w:rPr>
        <w:t>failure</w:t>
      </w:r>
      <w:r w:rsidRPr="00DD2D90">
        <w:rPr>
          <w:rStyle w:val="StyleUnderline"/>
        </w:rPr>
        <w:t xml:space="preserve"> of neoliberalism</w:t>
      </w:r>
      <w:r w:rsidRPr="00223414">
        <w:rPr>
          <w:sz w:val="16"/>
        </w:rPr>
        <w:t xml:space="preserve"> and associated doctrines </w:t>
      </w:r>
      <w:r w:rsidRPr="00DD2D90">
        <w:rPr>
          <w:rStyle w:val="StyleUnderline"/>
          <w:highlight w:val="green"/>
        </w:rPr>
        <w:t>to generate</w:t>
      </w:r>
      <w:r w:rsidRPr="00DD2D90">
        <w:rPr>
          <w:rStyle w:val="StyleUnderline"/>
        </w:rPr>
        <w:t xml:space="preserve"> a </w:t>
      </w:r>
      <w:r w:rsidRPr="00DD2D90">
        <w:rPr>
          <w:rStyle w:val="StyleUnderline"/>
          <w:highlight w:val="green"/>
        </w:rPr>
        <w:t>fair</w:t>
      </w:r>
      <w:r w:rsidRPr="00223414">
        <w:rPr>
          <w:sz w:val="16"/>
        </w:rPr>
        <w:t xml:space="preserve"> </w:t>
      </w:r>
      <w:r w:rsidRPr="00DD2D90">
        <w:rPr>
          <w:rStyle w:val="StyleUnderline"/>
        </w:rPr>
        <w:t xml:space="preserve">distribution of </w:t>
      </w:r>
      <w:r w:rsidRPr="00DD2D90">
        <w:rPr>
          <w:rStyle w:val="StyleUnderline"/>
          <w:highlight w:val="green"/>
        </w:rPr>
        <w:t>health</w:t>
      </w:r>
      <w:r w:rsidRPr="00223414">
        <w:rPr>
          <w:sz w:val="16"/>
        </w:rPr>
        <w:t xml:space="preserve">, income, and opportunity has </w:t>
      </w:r>
      <w:r w:rsidRPr="00DD2D90">
        <w:rPr>
          <w:rStyle w:val="StyleUnderline"/>
          <w:highlight w:val="green"/>
        </w:rPr>
        <w:t>generated rising nationalism</w:t>
      </w:r>
      <w:r w:rsidRPr="00223414">
        <w:rPr>
          <w:sz w:val="16"/>
        </w:rPr>
        <w:t xml:space="preserve">, almost </w:t>
      </w:r>
      <w:r w:rsidRPr="00DD2D90">
        <w:rPr>
          <w:rStyle w:val="Emphasis"/>
        </w:rPr>
        <w:t>everywhere</w:t>
      </w:r>
      <w:r w:rsidRPr="00223414">
        <w:rPr>
          <w:sz w:val="16"/>
        </w:rPr>
        <w:t xml:space="preserve">, </w:t>
      </w:r>
      <w:r w:rsidRPr="00DD2D90">
        <w:rPr>
          <w:rStyle w:val="StyleUnderline"/>
          <w:highlight w:val="green"/>
        </w:rPr>
        <w:t>and increased intolerance</w:t>
      </w:r>
      <w:r w:rsidRPr="00223414">
        <w:rPr>
          <w:sz w:val="16"/>
        </w:rPr>
        <w:t xml:space="preserve">, </w:t>
      </w:r>
      <w:r w:rsidRPr="00DD2D90">
        <w:rPr>
          <w:rStyle w:val="StyleUnderline"/>
        </w:rPr>
        <w:t>in almost all high-income settings</w:t>
      </w:r>
      <w:r w:rsidRPr="00223414">
        <w:rPr>
          <w:sz w:val="16"/>
        </w:rPr>
        <w:t xml:space="preserve">, for the record number of migrants, refugees, and displaced people. An early casualty of the rise of post-WWII neoliberalism was the erosion of support for comprehensive primary health care, which was grounded in philosophies such as the importance of social and political determinants of health, knowledge-transfer and partnership [53,54]. Compounding this erosion was the gradual abandonment of horizontal health care approaches, and the suppression of knowledge that rapid population growth in poor settings helps to lock in poverty [55]. The pursuit of comprehensive primary health care was narrowed to “GOBI”—a strategy based on the four pillars of growth charts (G), oral rehydration (O), breast feeding (B), and immunization (I) [56]. Then, support even for this ghost of comprehensive primary health care faltered. Funds for mass immunization in the global South dwindled [57] leading to a vaccine-funding shortfall that eventually helped to stimulate the Global Alliance for Vaccines and Immunization (GAVI), initially funded by the BMGF (see Box 2). In 2002, as a result of the increasing use of market forces (and before the largely BMGF-driven revival of interest for global health had flowered), the annual budget of WHO was reported to be less than that spent on advertising by Coca Cola and PepsiCo combined [58]. In response to its widely perceived loss of status and influence [59] WHO sought and accepted a growing fraction of its support from private sources. Since 2000, funding for WHO has more than doubled, and this increase has come significantly from the private sector, led by the BMGF [44]. For the period 2015–2017, voluntary contributions to WHO accounted for 80% of its total income. Of the voluntary contributions, those of the BMGF (13.7%) approached that of the U.S. (18%) [44]. However, the fourth largest contributor to WHO in this period, at $112 million per annum, was GAVI, which remains partly, perhaps substantially, dependent on the BMGF. Therefore, the contribution of the BMGF, directly and indirectly, to WHO may have exceeded the voluntary contribution of the U.S. </w:t>
      </w:r>
      <w:r w:rsidRPr="00DD2D90">
        <w:rPr>
          <w:rStyle w:val="StyleUnderline"/>
        </w:rPr>
        <w:t>WHO’s direction and policies are</w:t>
      </w:r>
      <w:r w:rsidRPr="00223414">
        <w:rPr>
          <w:sz w:val="16"/>
        </w:rPr>
        <w:t xml:space="preserve"> thus </w:t>
      </w:r>
      <w:r w:rsidRPr="00DD2D90">
        <w:rPr>
          <w:rStyle w:val="StyleUnderline"/>
        </w:rPr>
        <w:t>influenced by philanthrocapitalists, and by neoliberal governments, in ways that are unlikely to be widely understood by the public</w:t>
      </w:r>
      <w:r w:rsidRPr="00223414">
        <w:rPr>
          <w:sz w:val="16"/>
        </w:rPr>
        <w:t xml:space="preserve">. Big </w:t>
      </w:r>
      <w:r w:rsidRPr="00DD2D90">
        <w:rPr>
          <w:rStyle w:val="StyleUnderline"/>
        </w:rPr>
        <w:t>pharmaceuticals</w:t>
      </w:r>
      <w:r w:rsidRPr="00223414">
        <w:rPr>
          <w:sz w:val="16"/>
        </w:rPr>
        <w:t xml:space="preserve"> and even beer barons have also been </w:t>
      </w:r>
      <w:r w:rsidRPr="00DD2D90">
        <w:rPr>
          <w:rStyle w:val="StyleUnderline"/>
        </w:rPr>
        <w:t>claimed to exert growing power over global health actors</w:t>
      </w:r>
      <w:r w:rsidRPr="00223414">
        <w:rPr>
          <w:sz w:val="16"/>
        </w:rPr>
        <w:t xml:space="preserve"> and policy [60]. While direct donations to WHO from drug companies are banned [61], Richard Horton recently asserted in 2018, that “the </w:t>
      </w:r>
      <w:r w:rsidRPr="00DD2D90">
        <w:rPr>
          <w:rStyle w:val="StyleUnderline"/>
          <w:highlight w:val="green"/>
        </w:rPr>
        <w:t>pharma</w:t>
      </w:r>
      <w:r w:rsidRPr="00DD2D90">
        <w:rPr>
          <w:rStyle w:val="StyleUnderline"/>
        </w:rPr>
        <w:t xml:space="preserve">ceutical industry </w:t>
      </w:r>
      <w:r w:rsidRPr="00DD2D90">
        <w:rPr>
          <w:rStyle w:val="StyleUnderline"/>
          <w:highlight w:val="green"/>
        </w:rPr>
        <w:t>is</w:t>
      </w:r>
      <w:r w:rsidRPr="00DD2D90">
        <w:rPr>
          <w:rStyle w:val="StyleUnderline"/>
        </w:rPr>
        <w:t xml:space="preserve"> slowly </w:t>
      </w:r>
      <w:r w:rsidRPr="00DD2D90">
        <w:rPr>
          <w:rStyle w:val="Emphasis"/>
          <w:highlight w:val="green"/>
        </w:rPr>
        <w:t>colonizing global health</w:t>
      </w:r>
      <w:r w:rsidRPr="00223414">
        <w:rPr>
          <w:sz w:val="16"/>
        </w:rPr>
        <w:t xml:space="preserve"> </w:t>
      </w:r>
      <w:r w:rsidRPr="00DD2D90">
        <w:rPr>
          <w:rStyle w:val="StyleUnderline"/>
        </w:rPr>
        <w:t>in the same way that it has colonized clinical medicine</w:t>
      </w:r>
      <w:r w:rsidRPr="00223414">
        <w:rPr>
          <w:sz w:val="16"/>
        </w:rPr>
        <w:t xml:space="preserve">” [60]. </w:t>
      </w:r>
      <w:r w:rsidRPr="00DD2D90">
        <w:rPr>
          <w:rStyle w:val="StyleUnderline"/>
          <w:highlight w:val="green"/>
        </w:rPr>
        <w:t xml:space="preserve">The </w:t>
      </w:r>
      <w:r w:rsidRPr="00DD2D90">
        <w:rPr>
          <w:rStyle w:val="Emphasis"/>
          <w:highlight w:val="green"/>
        </w:rPr>
        <w:t>loss of independence</w:t>
      </w:r>
      <w:r w:rsidRPr="00DD2D90">
        <w:rPr>
          <w:rStyle w:val="StyleUnderline"/>
          <w:highlight w:val="green"/>
        </w:rPr>
        <w:t xml:space="preserve"> by WHO has been lamented</w:t>
      </w:r>
      <w:r w:rsidRPr="00223414">
        <w:rPr>
          <w:sz w:val="16"/>
        </w:rPr>
        <w:t xml:space="preserve"> by both the current WHO director general (Tedros Adhanom) and his predecessor, Margaret Chan, but so far, with little positive result [44,49]. In fact, Horton hints that, under Tedros (who prefers to be known by his first name), the problem is deepening [60]. 3. BMGF Characteristics Relevant to Global and Planetary Health 3.1. The Allegedly Hierarchical Structure of the BMGF The BMGF factsheet, as of November 14, 2018, proclaimed that “all lives have equal value” [62]. Yet, in 2011, it was reported that while the foundation has no mission statement, it has fifteen guiding principles, the first of which is that it is ‘‘driven by the interests and passions of the Gates family’’ [63]. A recent book describes the BMGF as “notoriously sealed” [64]. Open criticism of the BMGF by individuals, at risk of possibly resultant career damage, is hard to find, but some is documented. For example, in 2007 Margaret Chan, then WHO director general, endorsed a malaria eradication strategy seen at the time as a major reversal of global thought on this topic. She was reported to have done this without consulting her own senior malaria staff [65]. In the following year, Arata Kochi, a senior WHO malariologist, warned “</w:t>
      </w:r>
      <w:r w:rsidRPr="00DD2D90">
        <w:rPr>
          <w:rStyle w:val="StyleUnderline"/>
        </w:rPr>
        <w:t xml:space="preserve">many of the world’s </w:t>
      </w:r>
      <w:r w:rsidRPr="00DD2D90">
        <w:rPr>
          <w:rStyle w:val="StyleUnderline"/>
          <w:highlight w:val="green"/>
        </w:rPr>
        <w:t>leading malaria scientists are</w:t>
      </w:r>
      <w:r w:rsidRPr="00DD2D90">
        <w:rPr>
          <w:rStyle w:val="StyleUnderline"/>
        </w:rPr>
        <w:t xml:space="preserve"> now “</w:t>
      </w:r>
      <w:r w:rsidRPr="00DD2D90">
        <w:rPr>
          <w:rStyle w:val="StyleUnderline"/>
          <w:highlight w:val="green"/>
        </w:rPr>
        <w:t>locked up in a ‘</w:t>
      </w:r>
      <w:r w:rsidRPr="00DD2D90">
        <w:rPr>
          <w:rStyle w:val="Emphasis"/>
          <w:highlight w:val="green"/>
        </w:rPr>
        <w:t>cartel’</w:t>
      </w:r>
      <w:r w:rsidRPr="00223414">
        <w:rPr>
          <w:sz w:val="16"/>
        </w:rPr>
        <w:t xml:space="preserve">” </w:t>
      </w:r>
      <w:r w:rsidRPr="00DD2D90">
        <w:rPr>
          <w:rStyle w:val="StyleUnderline"/>
          <w:highlight w:val="green"/>
        </w:rPr>
        <w:t>with</w:t>
      </w:r>
      <w:r w:rsidRPr="00223414">
        <w:rPr>
          <w:sz w:val="16"/>
        </w:rPr>
        <w:t xml:space="preserve"> their own </w:t>
      </w:r>
      <w:r w:rsidRPr="00DD2D90">
        <w:rPr>
          <w:rStyle w:val="StyleUnderline"/>
        </w:rPr>
        <w:t>research funding being linked to</w:t>
      </w:r>
      <w:r w:rsidRPr="00223414">
        <w:rPr>
          <w:sz w:val="16"/>
        </w:rPr>
        <w:t xml:space="preserve"> those of others within the group”. He complained to Chan that the </w:t>
      </w:r>
      <w:r w:rsidRPr="00DD2D90">
        <w:rPr>
          <w:rStyle w:val="StyleUnderline"/>
          <w:highlight w:val="green"/>
        </w:rPr>
        <w:t>BMGF</w:t>
      </w:r>
      <w:r w:rsidRPr="00223414">
        <w:rPr>
          <w:sz w:val="16"/>
        </w:rPr>
        <w:t xml:space="preserve"> money, while crucial, could have “far-reaching, largely unintended consequences” [66]. Storeng reports, of Bill Gates, that “while public health experts often privately criticised him for being incredibly strong-minded’ and derided his techno-oriented approach as naive, Bill Gates is clearly venerated by many: ‘When Bill speaks, people listen’, she (Storeng) was frequently told. With Bill Gates at its helm, the </w:t>
      </w:r>
      <w:r w:rsidRPr="00DD2D90">
        <w:rPr>
          <w:rStyle w:val="StyleUnderline"/>
          <w:highlight w:val="green"/>
        </w:rPr>
        <w:t>Gates</w:t>
      </w:r>
      <w:r w:rsidRPr="00223414">
        <w:rPr>
          <w:sz w:val="16"/>
        </w:rPr>
        <w:t xml:space="preserve"> Foundation has </w:t>
      </w:r>
      <w:r w:rsidRPr="00DD2D90">
        <w:rPr>
          <w:rStyle w:val="StyleUnderline"/>
          <w:highlight w:val="green"/>
        </w:rPr>
        <w:t>surrounded itself with</w:t>
      </w:r>
      <w:r w:rsidRPr="00223414">
        <w:rPr>
          <w:sz w:val="16"/>
        </w:rPr>
        <w:t xml:space="preserve"> what one informant referred to as </w:t>
      </w:r>
      <w:r w:rsidRPr="00DD2D90">
        <w:rPr>
          <w:rStyle w:val="StyleUnderline"/>
          <w:highlight w:val="green"/>
        </w:rPr>
        <w:t xml:space="preserve">an ‘aura of </w:t>
      </w:r>
      <w:r w:rsidRPr="00DD2D90">
        <w:rPr>
          <w:rStyle w:val="Emphasis"/>
          <w:highlight w:val="green"/>
        </w:rPr>
        <w:t>uncriticisability’</w:t>
      </w:r>
      <w:r w:rsidRPr="00223414">
        <w:rPr>
          <w:sz w:val="16"/>
        </w:rPr>
        <w:t xml:space="preserve">” [67]. </w:t>
      </w:r>
      <w:r w:rsidRPr="00DD2D90">
        <w:rPr>
          <w:rStyle w:val="StyleUnderline"/>
          <w:highlight w:val="green"/>
        </w:rPr>
        <w:t>The</w:t>
      </w:r>
      <w:r w:rsidRPr="00223414">
        <w:rPr>
          <w:sz w:val="16"/>
        </w:rPr>
        <w:t xml:space="preserve"> extent of the </w:t>
      </w:r>
      <w:r w:rsidRPr="00DD2D90">
        <w:rPr>
          <w:rStyle w:val="StyleUnderline"/>
        </w:rPr>
        <w:t xml:space="preserve">allegedly </w:t>
      </w:r>
      <w:r w:rsidRPr="00DD2D90">
        <w:rPr>
          <w:rStyle w:val="StyleUnderline"/>
          <w:highlight w:val="green"/>
        </w:rPr>
        <w:t>hierarchical nature</w:t>
      </w:r>
      <w:r w:rsidRPr="00DD2D90">
        <w:rPr>
          <w:rStyle w:val="StyleUnderline"/>
        </w:rPr>
        <w:t xml:space="preserve"> of the BMGF </w:t>
      </w:r>
      <w:r w:rsidRPr="00DD2D90">
        <w:rPr>
          <w:rStyle w:val="StyleUnderline"/>
          <w:highlight w:val="green"/>
        </w:rPr>
        <w:t>may hinder</w:t>
      </w:r>
      <w:r w:rsidRPr="00DD2D90">
        <w:rPr>
          <w:rStyle w:val="StyleUnderline"/>
        </w:rPr>
        <w:t xml:space="preserve"> the pursuit of </w:t>
      </w:r>
      <w:r w:rsidRPr="00DD2D90">
        <w:rPr>
          <w:rStyle w:val="StyleUnderline"/>
          <w:highlight w:val="green"/>
        </w:rPr>
        <w:t>global</w:t>
      </w:r>
      <w:r w:rsidRPr="00DD2D90">
        <w:rPr>
          <w:rStyle w:val="StyleUnderline"/>
        </w:rPr>
        <w:t xml:space="preserve"> and planetary </w:t>
      </w:r>
      <w:r w:rsidRPr="00DD2D90">
        <w:rPr>
          <w:rStyle w:val="StyleUnderline"/>
          <w:highlight w:val="green"/>
        </w:rPr>
        <w:t>health</w:t>
      </w:r>
      <w:r w:rsidRPr="00223414">
        <w:rPr>
          <w:sz w:val="16"/>
        </w:rPr>
        <w:t xml:space="preserve">, </w:t>
      </w:r>
      <w:r w:rsidRPr="00DD2D90">
        <w:rPr>
          <w:rStyle w:val="StyleUnderline"/>
        </w:rPr>
        <w:t>which depend on</w:t>
      </w:r>
      <w:r w:rsidRPr="00223414">
        <w:rPr>
          <w:sz w:val="16"/>
        </w:rPr>
        <w:t xml:space="preserve"> collaboration and </w:t>
      </w:r>
      <w:r w:rsidRPr="00DD2D90">
        <w:rPr>
          <w:rStyle w:val="StyleUnderline"/>
        </w:rPr>
        <w:t>the reduction of inequality if</w:t>
      </w:r>
      <w:r w:rsidRPr="00223414">
        <w:rPr>
          <w:sz w:val="16"/>
        </w:rPr>
        <w:t xml:space="preserve"> great and enduring </w:t>
      </w:r>
      <w:r w:rsidRPr="00DD2D90">
        <w:rPr>
          <w:rStyle w:val="StyleUnderline"/>
        </w:rPr>
        <w:t>progress is to be made</w:t>
      </w:r>
      <w:r w:rsidRPr="00223414">
        <w:rPr>
          <w:sz w:val="16"/>
        </w:rPr>
        <w:t xml:space="preserve">, a point clearly understood by the framers of the Ottawa Charter [47]. Reduced inequality is explicitly recognized in the tenth Sustainable Development Goal. </w:t>
      </w:r>
      <w:r w:rsidRPr="00DD2D90">
        <w:rPr>
          <w:rStyle w:val="StyleUnderline"/>
          <w:highlight w:val="green"/>
        </w:rPr>
        <w:t xml:space="preserve">It is naïve to imagine that one person </w:t>
      </w:r>
      <w:r w:rsidRPr="00DD2D90">
        <w:rPr>
          <w:rStyle w:val="StyleUnderline"/>
        </w:rPr>
        <w:t xml:space="preserve">(or one couple) </w:t>
      </w:r>
      <w:r w:rsidRPr="00DD2D90">
        <w:rPr>
          <w:rStyle w:val="StyleUnderline"/>
          <w:highlight w:val="green"/>
        </w:rPr>
        <w:t>can govern world health</w:t>
      </w:r>
      <w:r w:rsidRPr="00223414">
        <w:rPr>
          <w:sz w:val="16"/>
        </w:rPr>
        <w:t xml:space="preserve">. Even if one person did have such solutions, conduits would be needed to disseminate that leader’s influence in ways that motivate and inspire others. While authoritarian leaders indeed enforce their will over millions, or even a billion people, such influence is rarely benign. Gates may or may not have dictatorial tendencies, but the possibility that </w:t>
      </w:r>
      <w:r w:rsidRPr="00DD2D90">
        <w:rPr>
          <w:rStyle w:val="StyleUnderline"/>
          <w:highlight w:val="green"/>
        </w:rPr>
        <w:t>excessive inequality in the power structure of the BMGF is counterproductive</w:t>
      </w:r>
      <w:r w:rsidRPr="00223414">
        <w:rPr>
          <w:sz w:val="16"/>
        </w:rPr>
        <w:t xml:space="preserve"> to its stated aims remains true, particularly as Gates was not elected to his leadership position and faces no mandatory review. A recent book about the BMGF, which is sympathetic overall, comments that “one of the political issues in the Sustainable Development Goals on which the Gates Foundation and Bill Gates himself have been relatively silent is inequality” [64]. 3.2. The BMGF’s Preference for Vertical Health Programs There is a long debate concerning “vertical” versus “horizontal” health care, dating at least to the 19th century. In reality, both approaches are useful [68,69]. The successful anti-smallpox campaign, led by WHO, was a vertical program, largely conducted before the most recent phase of the global ascendancy of market-based economic approaches. The unsuccessful attempts to eradicate malaria, also led by WHO (1955–1969) [41], and polio, were also vertical. The </w:t>
      </w:r>
      <w:r w:rsidRPr="00DD2D90">
        <w:rPr>
          <w:rStyle w:val="StyleUnderline"/>
          <w:highlight w:val="green"/>
        </w:rPr>
        <w:t xml:space="preserve">BMGF is disproportionately </w:t>
      </w:r>
      <w:r w:rsidRPr="00DD2D90">
        <w:rPr>
          <w:rStyle w:val="StyleUnderline"/>
        </w:rPr>
        <w:t xml:space="preserve">supportive of vertical health programs, </w:t>
      </w:r>
      <w:r w:rsidRPr="00DD2D90">
        <w:rPr>
          <w:rStyle w:val="StyleUnderline"/>
          <w:highlight w:val="green"/>
        </w:rPr>
        <w:t>focusing</w:t>
      </w:r>
      <w:r w:rsidRPr="00DD2D90">
        <w:rPr>
          <w:rStyle w:val="StyleUnderline"/>
        </w:rPr>
        <w:t xml:space="preserve"> </w:t>
      </w:r>
      <w:r w:rsidRPr="00DD2D90">
        <w:rPr>
          <w:rStyle w:val="StyleUnderline"/>
          <w:highlight w:val="green"/>
        </w:rPr>
        <w:t>on</w:t>
      </w:r>
      <w:r w:rsidRPr="00223414">
        <w:rPr>
          <w:sz w:val="16"/>
        </w:rPr>
        <w:t xml:space="preserve"> a range of </w:t>
      </w:r>
      <w:r w:rsidRPr="00DD2D90">
        <w:rPr>
          <w:rStyle w:val="StyleUnderline"/>
          <w:highlight w:val="green"/>
        </w:rPr>
        <w:t>individual diseases</w:t>
      </w:r>
      <w:r w:rsidRPr="00223414">
        <w:rPr>
          <w:sz w:val="16"/>
        </w:rPr>
        <w:t xml:space="preserve">, and a few syndromes, </w:t>
      </w:r>
      <w:r w:rsidRPr="00DD2D90">
        <w:rPr>
          <w:rStyle w:val="StyleUnderline"/>
          <w:highlight w:val="green"/>
        </w:rPr>
        <w:t>rather than</w:t>
      </w:r>
      <w:r w:rsidRPr="00223414">
        <w:rPr>
          <w:sz w:val="16"/>
        </w:rPr>
        <w:t xml:space="preserve"> seeking to improve </w:t>
      </w:r>
      <w:r w:rsidRPr="00DD2D90">
        <w:rPr>
          <w:rStyle w:val="StyleUnderline"/>
          <w:highlight w:val="green"/>
        </w:rPr>
        <w:t>health systems</w:t>
      </w:r>
      <w:r w:rsidRPr="00223414">
        <w:rPr>
          <w:sz w:val="16"/>
        </w:rPr>
        <w:t xml:space="preserve">. The 2016 BMGF report details (of a total annual budget of US$4.6 billion) expenditure of $3.9 billion for global health, global development and global policy and advocacy. Of this, $398 million is for agricultural development and $111 million is for financial services for the poor. A further $513 million is for “global advocacy”. Of the balance ($2.9 billion), 38% ($1.08 billion) is used for four conditions: polio, HIV/AIDS, malaria and tuberculosis. A further $458 million (16% of $2.9 billion) is for vaccine delivery and development. Of the remainder, it is hard to find anything clearly targeted at strengthening health systems, although $114 million is for “integrated” development and delivery. No funds seem directed at improving tertiary education of general (undifferentiated) health professionals in low income settings, nor for their continuing education. Debate over the primacy of health care system approach is another example of the ideological divide within public health, echoing that about primary health care. The Norwegian government, which donates 1.1% of its gross national income to development assistance, is a strong supporter of a social (more horizontal) approach to public health. An analysis by Storeng of health systems and GAVI, funded by the Norwegian Research Council, concluded that “despite GAVI’s self-proclaimed ‘single-minded’ focus on vaccines” health service strengthening (HSS) is now presented as a key GAVI principle. Storeng argues, however, that the meaning of HSS within GAVI is far from conceptualizations that emphasize social and political dimensions. She contends that GAVI’s support for HSS “has become emblematic of the so-called ‘Gates approach’ to global health, focused on targeted technical solutions with clear, measurable outcomes. In spite of adopting rhetoric supportive of ‘holistic’ health systems, global health initiatives like GAVI have come to capture the global debate about HSS in favor of their disease-specific approach and ethos” [67]. A recent analysis reports increased engagement of GAVI (and the Global Fund) with health systems in countries afflicted by conflict, but finds mixed results, including burdensome reporting [70]. More positive evaluations of GAVI and health system strengthening exist. An article generally critical of the risks to health systems from global health actors (for example by the introduction of salary differentials that create staffing gaps and that undermine the morale of less differentiated health providers) argues that GAVI-associated health system strengthening can not only improve vaccine coverage but also improve other health aspects [68]. However, the authors of this paper make no attempt to argue that health systems strengthening should have any overt political dimension or transformational aspiration. Storeng quotes a colleague of Bill Gates as saying that he (i.e., </w:t>
      </w:r>
      <w:r w:rsidRPr="00DD2D90">
        <w:rPr>
          <w:rStyle w:val="StyleUnderline"/>
        </w:rPr>
        <w:t>Gates</w:t>
      </w:r>
      <w:r w:rsidRPr="00223414">
        <w:rPr>
          <w:sz w:val="16"/>
        </w:rPr>
        <w:t>) “often” told him privately that he ‘</w:t>
      </w:r>
      <w:r w:rsidRPr="00DD2D90">
        <w:rPr>
          <w:rStyle w:val="StyleUnderline"/>
        </w:rPr>
        <w:t>is vehemently against health systems</w:t>
      </w:r>
      <w:r w:rsidRPr="00223414">
        <w:rPr>
          <w:sz w:val="16"/>
        </w:rPr>
        <w:t xml:space="preserve"> … he basically said it is a complete waste of money, that there is no evidence that it works, so I will not see a dollar or cent of my money (sic) go to the strengthening of health systems’. Storeng also claims that “the Gates Foundation has encouraged the international maternal health community to focus on ‘magic bullets’ like antibiotics to prevent maternal deaths, despite maternal health specialists’ insistence that general health system strengthening is required to reduce maternal mortality” [67]. The BMGF claim to be evidence-driven, and Gates is reported as claiming that evidence for investing in health systems is lacking. However, this would be difficult to test. McPake et al. point out that world’s third largest Ebola outbreak to date, in Uganda in 2001, was substantially contained due to the faith-based efforts of the St Mary Lacor hospital in Gulu, a hospital that had operated for decades, including as a haven in a zone of conflict. This contributed to high levels of trust that strengthened its role during the outbreak [71]. Practitioners working in the North but trained in the South are an important source of remittances to the South. However, most remittances go to family members rather than to more collective means to elevate development, and some argue that remittances can worsen inequality [72]. Other factors, many systemic (such as corruption and ethnic and other forms of rivalry) in most supplying countries help to maintain the differential of attraction, which is not only financial. Many skilled health practitioners trained in the South have nonmonetary reasons to seek employment in the North, such as better working conditions (e.g., reliable medical supplies and steady electricity) or to escape discrimination or violence. A lower workload (or at least more rewards for hard work) and a healthier population may also be attractors. If the BMGF invested a small fraction of its budget to reward, retain, and equip dedicated, locally trained staff, not only of doctors and nurses, but also outreach workers and laboratory staff, and as part of a health system, rather than a disease-focused vertical program, would it have a long-lasting and beneficial effect? 3.3. The BMGF’s Focus on Technology, Especially Vaccines Another related criticism of the </w:t>
      </w:r>
      <w:r w:rsidRPr="00DD2D90">
        <w:rPr>
          <w:rStyle w:val="StyleUnderline"/>
        </w:rPr>
        <w:t>BMGF</w:t>
      </w:r>
      <w:r w:rsidRPr="00223414">
        <w:rPr>
          <w:sz w:val="16"/>
        </w:rPr>
        <w:t xml:space="preserve"> is its </w:t>
      </w:r>
      <w:r w:rsidRPr="00DD2D90">
        <w:rPr>
          <w:rStyle w:val="StyleUnderline"/>
        </w:rPr>
        <w:t>preference for technological, rather than social solutions</w:t>
      </w:r>
      <w:r w:rsidRPr="00223414">
        <w:rPr>
          <w:sz w:val="16"/>
        </w:rPr>
        <w:t xml:space="preserve"> [73,74]. Storeng quotes a vaccine expert she interviewed as stating “I think it is Mr </w:t>
      </w:r>
      <w:r w:rsidRPr="00DD2D90">
        <w:rPr>
          <w:rStyle w:val="StyleUnderline"/>
        </w:rPr>
        <w:t>Gates</w:t>
      </w:r>
      <w:r w:rsidRPr="00223414">
        <w:rPr>
          <w:sz w:val="16"/>
        </w:rPr>
        <w:t xml:space="preserve"> himself who sort of </w:t>
      </w:r>
      <w:r w:rsidRPr="00DD2D90">
        <w:rPr>
          <w:rStyle w:val="StyleUnderline"/>
        </w:rPr>
        <w:t>believes</w:t>
      </w:r>
      <w:r w:rsidRPr="00223414">
        <w:rPr>
          <w:sz w:val="16"/>
        </w:rPr>
        <w:t xml:space="preserve"> that the </w:t>
      </w:r>
      <w:r w:rsidRPr="00DD2D90">
        <w:rPr>
          <w:rStyle w:val="StyleUnderline"/>
        </w:rPr>
        <w:t>world can be cured by technology</w:t>
      </w:r>
      <w:r w:rsidRPr="00223414">
        <w:rPr>
          <w:sz w:val="16"/>
        </w:rPr>
        <w:t xml:space="preserve">” [67]. Technology supported by the BMGF include vaccines, drugs, and diagnostic technologies for tuberculosis [75], to identify spoiled milk and “infected” maize [75] (perhaps maize contaminated with aflatoxins, a growing problem exacerbated by climate change) [76]. In addition to establishing GAVI, the BMGF provided the impetus for the organizations PATH (Program for Appropriate Technology in Health), PATH Drug Solutions, and PATH Vaccine Solutions, which by 2014 were reported to have received over US$1.6 billion in grants [28]. The 2016 BMGF report shows that of its $2.4 billion for direct global health programs (as defined above), $458M (19.1%) was spent on vaccine development and vaccine delivery. There are many strong supporters for new vaccines, which, to advocates, promise to reduce poverty [77]. Many vaccines have long been hoped for, such as for malaria, HIV and dengue. But although good progress has been made with some, including against rotavirus, meningitis A [77], and—possibly—Ebola [78], their delivery is slowed by the high cost of trials in settings that are not commercially viable [77]. In some cases, there may be cheaper ways to address the health problem. For example, trials of a pneumonia vaccine in the Gambia concluded that 1,000 children have to be vaccinated to prevent 3.6 cases of radiologically confirmed pneumonia [79]. Dabade and Puliyel pointed out that, at $250 per child, this would cost $250,000; whereas treatment of four children with pneumonia using oral cotrimoxazole, in accordance with the WHO protocol at that time, would cost $1 in India [80]. When considering the trial introduction of a malaria vaccine (developed by GlaxoSmithKline, and called Mosquirix) the WHO’s Strategic Advisory Group of Experts on Immunization and the Malaria Policy Advisory Committee called for caution, for reasons including its low efficacy, its need for four doses, and its expense [81]. Caution was also supported by the medical charity Medecins Sans Frontieres [81]. Unfortunately, in addition to fake drugs [82], a number of fake vaccines are in circulation, including against meningococcal disease [82]. Technology, including vaccines, is essential to promote world health, but the issue is one of balance. </w:t>
      </w:r>
      <w:r w:rsidRPr="00DD2D90">
        <w:rPr>
          <w:rStyle w:val="StyleUnderline"/>
        </w:rPr>
        <w:t>Human development</w:t>
      </w:r>
      <w:r w:rsidRPr="00223414">
        <w:rPr>
          <w:sz w:val="16"/>
        </w:rPr>
        <w:t xml:space="preserve">, the rule of law </w:t>
      </w:r>
      <w:r w:rsidRPr="00DD2D90">
        <w:rPr>
          <w:rStyle w:val="StyleUnderline"/>
        </w:rPr>
        <w:t>and</w:t>
      </w:r>
      <w:r w:rsidRPr="00223414">
        <w:rPr>
          <w:sz w:val="16"/>
        </w:rPr>
        <w:t xml:space="preserve"> the establishment and </w:t>
      </w:r>
      <w:r w:rsidRPr="00DD2D90">
        <w:rPr>
          <w:rStyle w:val="StyleUnderline"/>
          <w:highlight w:val="green"/>
        </w:rPr>
        <w:t>strengthening</w:t>
      </w:r>
      <w:r w:rsidRPr="00223414">
        <w:rPr>
          <w:sz w:val="16"/>
        </w:rPr>
        <w:t xml:space="preserve"> of </w:t>
      </w:r>
      <w:r w:rsidRPr="00DD2D90">
        <w:rPr>
          <w:rStyle w:val="StyleUnderline"/>
          <w:highlight w:val="green"/>
        </w:rPr>
        <w:t>institutions</w:t>
      </w:r>
      <w:r w:rsidRPr="00223414">
        <w:rPr>
          <w:sz w:val="16"/>
          <w:highlight w:val="green"/>
        </w:rPr>
        <w:t xml:space="preserve"> </w:t>
      </w:r>
      <w:r w:rsidRPr="00DD2D90">
        <w:rPr>
          <w:rStyle w:val="StyleUnderline"/>
          <w:highlight w:val="green"/>
        </w:rPr>
        <w:t>may</w:t>
      </w:r>
      <w:r w:rsidRPr="00223414">
        <w:rPr>
          <w:sz w:val="16"/>
        </w:rPr>
        <w:t xml:space="preserve"> rival or </w:t>
      </w:r>
      <w:r w:rsidRPr="00DD2D90">
        <w:rPr>
          <w:rStyle w:val="StyleUnderline"/>
          <w:highlight w:val="green"/>
        </w:rPr>
        <w:t>be of greater importance than</w:t>
      </w:r>
      <w:r w:rsidRPr="00DD2D90">
        <w:rPr>
          <w:rStyle w:val="StyleUnderline"/>
        </w:rPr>
        <w:t xml:space="preserve"> </w:t>
      </w:r>
      <w:r w:rsidRPr="00DD2D90">
        <w:rPr>
          <w:rStyle w:val="StyleUnderline"/>
          <w:highlight w:val="green"/>
        </w:rPr>
        <w:t>tech</w:t>
      </w:r>
      <w:r w:rsidRPr="00DD2D90">
        <w:rPr>
          <w:rStyle w:val="StyleUnderline"/>
        </w:rPr>
        <w:t>nology</w:t>
      </w:r>
      <w:r w:rsidRPr="00223414">
        <w:rPr>
          <w:sz w:val="16"/>
        </w:rPr>
        <w:t xml:space="preserve">. If “soft”, social mechanisms can be nurtured, then </w:t>
      </w:r>
      <w:r w:rsidRPr="00DD2D90">
        <w:rPr>
          <w:rStyle w:val="StyleUnderline"/>
          <w:highlight w:val="green"/>
        </w:rPr>
        <w:t>poor societies may</w:t>
      </w:r>
      <w:r w:rsidRPr="00223414">
        <w:rPr>
          <w:sz w:val="16"/>
        </w:rPr>
        <w:t xml:space="preserve"> themselves </w:t>
      </w:r>
      <w:r w:rsidRPr="00DD2D90">
        <w:rPr>
          <w:rStyle w:val="StyleUnderline"/>
        </w:rPr>
        <w:t xml:space="preserve">more effectively </w:t>
      </w:r>
      <w:r w:rsidRPr="00DD2D90">
        <w:rPr>
          <w:rStyle w:val="StyleUnderline"/>
          <w:highlight w:val="green"/>
        </w:rPr>
        <w:t>organize</w:t>
      </w:r>
      <w:r w:rsidRPr="00DD2D90">
        <w:rPr>
          <w:rStyle w:val="StyleUnderline"/>
        </w:rPr>
        <w:t xml:space="preserve"> and engineer </w:t>
      </w:r>
      <w:r w:rsidRPr="00DD2D90">
        <w:rPr>
          <w:rStyle w:val="StyleUnderline"/>
          <w:highlight w:val="green"/>
        </w:rPr>
        <w:t>their escape from</w:t>
      </w:r>
      <w:r w:rsidRPr="00DD2D90">
        <w:rPr>
          <w:rStyle w:val="StyleUnderline"/>
        </w:rPr>
        <w:t xml:space="preserve"> extreme </w:t>
      </w:r>
      <w:r w:rsidRPr="00DD2D90">
        <w:rPr>
          <w:rStyle w:val="StyleUnderline"/>
          <w:highlight w:val="green"/>
        </w:rPr>
        <w:t>poverty</w:t>
      </w:r>
      <w:r w:rsidRPr="00223414">
        <w:rPr>
          <w:sz w:val="16"/>
        </w:rPr>
        <w:t xml:space="preserve">. Such a society may, for example, then be in an improved situation to identify and prohibit the circulation of fake drugs and vaccines. They may also be better able to improve nutrition in children, such as by reducing the consumption of “empty calories”, and postpone the onset of noncommunicable diseases which, in many parts of the global South, also reduces health. The BMGF regularly funds “grand challenges” in public health. This, too, has been criticized. Birn argues that the winners who perform “bold” and “unorthodox” research projects are rewarded “only if they view health in circumscribed, technological terms, not through integrated technical and socio-political understandings” [28]. </w:t>
      </w:r>
      <w:r w:rsidRPr="00DD2D90">
        <w:rPr>
          <w:rStyle w:val="StyleUnderline"/>
        </w:rPr>
        <w:t>The skills needed to promote</w:t>
      </w:r>
      <w:r w:rsidRPr="00223414">
        <w:rPr>
          <w:sz w:val="16"/>
        </w:rPr>
        <w:t xml:space="preserve"> and even to perceive the importance of </w:t>
      </w:r>
      <w:r w:rsidRPr="00DD2D90">
        <w:rPr>
          <w:rStyle w:val="StyleUnderline"/>
          <w:highlight w:val="green"/>
        </w:rPr>
        <w:t>social contributions to health are</w:t>
      </w:r>
      <w:r w:rsidRPr="00DD2D90">
        <w:rPr>
          <w:rStyle w:val="StyleUnderline"/>
        </w:rPr>
        <w:t xml:space="preserve"> likely to be significantly </w:t>
      </w:r>
      <w:r w:rsidRPr="00DD2D90">
        <w:rPr>
          <w:rStyle w:val="StyleUnderline"/>
          <w:highlight w:val="green"/>
        </w:rPr>
        <w:t>different</w:t>
      </w:r>
      <w:r w:rsidRPr="00DD2D90">
        <w:rPr>
          <w:rStyle w:val="StyleUnderline"/>
        </w:rPr>
        <w:t xml:space="preserve"> </w:t>
      </w:r>
      <w:r w:rsidRPr="00DD2D90">
        <w:rPr>
          <w:rStyle w:val="StyleUnderline"/>
          <w:highlight w:val="green"/>
        </w:rPr>
        <w:t>to</w:t>
      </w:r>
      <w:r w:rsidRPr="00DD2D90">
        <w:rPr>
          <w:rStyle w:val="StyleUnderline"/>
        </w:rPr>
        <w:t xml:space="preserve"> that</w:t>
      </w:r>
      <w:r w:rsidRPr="00223414">
        <w:rPr>
          <w:sz w:val="16"/>
        </w:rPr>
        <w:t xml:space="preserve"> </w:t>
      </w:r>
      <w:r w:rsidRPr="00DD2D90">
        <w:rPr>
          <w:rStyle w:val="StyleUnderline"/>
        </w:rPr>
        <w:t>required</w:t>
      </w:r>
      <w:r w:rsidRPr="00223414">
        <w:rPr>
          <w:sz w:val="16"/>
        </w:rPr>
        <w:t xml:space="preserve"> </w:t>
      </w:r>
      <w:r w:rsidRPr="00DD2D90">
        <w:rPr>
          <w:rStyle w:val="StyleUnderline"/>
        </w:rPr>
        <w:t>for</w:t>
      </w:r>
      <w:r w:rsidRPr="00223414">
        <w:rPr>
          <w:sz w:val="16"/>
        </w:rPr>
        <w:t xml:space="preserve"> vaccine development and other </w:t>
      </w:r>
      <w:r w:rsidRPr="00DD2D90">
        <w:rPr>
          <w:rStyle w:val="StyleUnderline"/>
          <w:highlight w:val="green"/>
        </w:rPr>
        <w:t>tech</w:t>
      </w:r>
      <w:r w:rsidRPr="00DD2D90">
        <w:rPr>
          <w:rStyle w:val="StyleUnderline"/>
        </w:rPr>
        <w:t>nological approaches</w:t>
      </w:r>
      <w:r w:rsidRPr="00223414">
        <w:rPr>
          <w:sz w:val="16"/>
        </w:rPr>
        <w:t xml:space="preserve">. The debate may not be fully resolvable, in the same way as adherents of neoliberalism appear to see the world so differently to redistributionists. But, in fact, both approaches may be necessary, to promote poverty-reducing synergisms. 3.4. The BMGF’s Use of Self-Funded Metrics as a Way to Measure But Perhaps Not Solve the Problem The BMGF is a strong supporter for health metrics, as is another neoliberal-friendly strategy to promote global health, called “effective altruism” [29,83]. The BMGF provided the seed funding, in 2007, for the Institute for Health Metrics and Evaluation, at the University of Washington, U.S., providing US$105 million over five years [84]. One of the BMGF’s grand challenges refers to health metrics. However, like technology, the issue is of dose. Evidence based priorities, while useful, may become fetishized, perpetuating their own existence, at the cost of intervention and solution. Furthermore, description and numbers are rarely, if ever, value free [85,86]. The methods used to calculate the global burden of disease studies have been described as “increasingly complex and incomprehensible even to global health experts” [87]. An additional problem is that the main source of the metrics the BMGF relies on is itself funded by the BMGF. 3.5. The Co-Option of Independence by the BMGF It is not just WHO which has lost much of its independence. </w:t>
      </w:r>
      <w:r w:rsidRPr="00DD2D90">
        <w:rPr>
          <w:rStyle w:val="StyleUnderline"/>
          <w:highlight w:val="green"/>
        </w:rPr>
        <w:t>The power of the BMGF</w:t>
      </w:r>
      <w:r w:rsidRPr="00223414">
        <w:rPr>
          <w:sz w:val="16"/>
        </w:rPr>
        <w:t xml:space="preserve"> (and Wellcome and perhaps other funders) </w:t>
      </w:r>
      <w:r w:rsidRPr="00DD2D90">
        <w:rPr>
          <w:rStyle w:val="StyleUnderline"/>
          <w:highlight w:val="green"/>
        </w:rPr>
        <w:t>is so great</w:t>
      </w:r>
      <w:r w:rsidRPr="00DD2D90">
        <w:rPr>
          <w:rStyle w:val="StyleUnderline"/>
        </w:rPr>
        <w:t xml:space="preserve"> that some </w:t>
      </w:r>
      <w:r w:rsidRPr="00DD2D90">
        <w:rPr>
          <w:rStyle w:val="StyleUnderline"/>
          <w:highlight w:val="green"/>
        </w:rPr>
        <w:t>researchers feel inhibited to offend them</w:t>
      </w:r>
      <w:r w:rsidRPr="00223414">
        <w:rPr>
          <w:sz w:val="16"/>
        </w:rPr>
        <w:t xml:space="preserve">. The BGMF provides millions of dollars to researchers based in elite academic institutions in the U.K. and U.S. including in London, Liverpool (U.K.), and (in the U.S.) to Columbia, Harvard, Johns Hopkins, and the University of Washington [84]. It supports the agricultural program called Gender-responsive Researchers Equipped for Agricultural Transformation (GREAT), at another leading (also handsomely endowed) U.S. university, Cornell, as well as the Cornell Alliance for Science, an aim of which is to “depolarize” the discussion about genetically modified organisms [88]. The BMGF even helps support the World Bank [84], long criticized for its dominant role in promoting neoliberalism [89]. The primary constitutional mission of WHO is said to be leadership [90]. But is this possible when so much of WHO is controlled by outside forces? </w:t>
      </w:r>
    </w:p>
    <w:p w14:paraId="6D047A77" w14:textId="77777777" w:rsidR="00FA1D49" w:rsidRPr="00223414" w:rsidRDefault="00FA1D49">
      <w:pPr>
        <w:rPr>
          <w:rFonts w:eastAsiaTheme="majorEastAsia" w:cstheme="majorBidi"/>
          <w:b/>
          <w:iCs/>
          <w:sz w:val="16"/>
        </w:rPr>
      </w:pPr>
      <w:r w:rsidRPr="00223414">
        <w:rPr>
          <w:sz w:val="16"/>
        </w:rPr>
        <w:br w:type="page"/>
      </w:r>
    </w:p>
    <w:p w14:paraId="07AE1650" w14:textId="39E04D5B" w:rsidR="0041131B" w:rsidRPr="00223414" w:rsidRDefault="0041131B" w:rsidP="0041131B">
      <w:pPr>
        <w:pStyle w:val="Heading4"/>
        <w:rPr>
          <w:szCs w:val="26"/>
        </w:rPr>
      </w:pPr>
      <w:r w:rsidRPr="00223414">
        <w:rPr>
          <w:szCs w:val="26"/>
        </w:rPr>
        <w:t>Philanthrocapitalism uses international financial institutions to forcefully create new markets for Western pharmaceutical commodities – they encourage public-private partnerships for the Global South to pay the West for the right to cure their population</w:t>
      </w:r>
    </w:p>
    <w:p w14:paraId="3C9A9EF4" w14:textId="77777777" w:rsidR="0041131B" w:rsidRPr="00DD2D90" w:rsidRDefault="0041131B" w:rsidP="0041131B">
      <w:r w:rsidRPr="00223414">
        <w:rPr>
          <w:b/>
          <w:bCs/>
          <w:sz w:val="26"/>
          <w:szCs w:val="26"/>
        </w:rPr>
        <w:t>Waitzkin and Jasso-Aguilar 15</w:t>
      </w:r>
      <w:r w:rsidRPr="00223414">
        <w:rPr>
          <w:sz w:val="26"/>
          <w:szCs w:val="26"/>
        </w:rPr>
        <w:t xml:space="preserve"> </w:t>
      </w:r>
      <w:r w:rsidRPr="00DD2D90">
        <w:t>[Howard Waitzkin, Distinguished Professor Emeritus in the Department of Sociology and Health Sciences Center at the University of New Mexico and director of the Civilian Medical Resources Network, and Rebeca Jasso-Aguilar, Part-Time Instructor at the University of New Mexico with a PhD, 2015, "Imperialism's Health Component", Monthly Review, https://monthlyreview.org/articles/imperialisms-health-component/]/Kankee</w:t>
      </w:r>
    </w:p>
    <w:p w14:paraId="12D0D0B5" w14:textId="77777777" w:rsidR="0041131B" w:rsidRPr="00223414" w:rsidRDefault="0041131B" w:rsidP="0041131B">
      <w:pPr>
        <w:rPr>
          <w:sz w:val="16"/>
        </w:rPr>
      </w:pPr>
      <w:r w:rsidRPr="00223414">
        <w:rPr>
          <w:sz w:val="16"/>
        </w:rPr>
        <w:t xml:space="preserve">Medicine and public health have played important roles in imperialism. With the emergence of the United States as an imperial power in the early twentieth century, interlinkages between imperialism, public health, and health institutions were forged through several key mediating institutions. Philanthropic organizations sought to use public health initiatives to address several challenges faced by expanding capitalist enterprises: labor productivity, safety for investors and managers, and the costs of care. From modest origins, international financial institutions and trade agreements eventually morphed into a massive structure of trade rules that have exerted profound effects on public health and health services worldwide. </w:t>
      </w:r>
      <w:r w:rsidRPr="00DD2D90">
        <w:rPr>
          <w:rStyle w:val="StyleUnderline"/>
        </w:rPr>
        <w:t>International health</w:t>
      </w:r>
      <w:r w:rsidRPr="00223414">
        <w:rPr>
          <w:sz w:val="16"/>
        </w:rPr>
        <w:t xml:space="preserve"> </w:t>
      </w:r>
      <w:r w:rsidRPr="00DD2D90">
        <w:rPr>
          <w:rStyle w:val="StyleUnderline"/>
        </w:rPr>
        <w:t>organizations</w:t>
      </w:r>
      <w:r w:rsidRPr="00223414">
        <w:rPr>
          <w:sz w:val="16"/>
        </w:rPr>
        <w:t xml:space="preserve"> have </w:t>
      </w:r>
      <w:r w:rsidRPr="00DD2D90">
        <w:rPr>
          <w:rStyle w:val="StyleUnderline"/>
        </w:rPr>
        <w:t>collaborated with corporate interests to protect</w:t>
      </w:r>
      <w:r w:rsidRPr="00223414">
        <w:rPr>
          <w:sz w:val="16"/>
        </w:rPr>
        <w:t xml:space="preserve"> commerce and </w:t>
      </w:r>
      <w:r w:rsidRPr="00DD2D90">
        <w:rPr>
          <w:rStyle w:val="StyleUnderline"/>
        </w:rPr>
        <w:t>trade</w:t>
      </w:r>
      <w:r w:rsidRPr="00223414">
        <w:rPr>
          <w:sz w:val="16"/>
        </w:rPr>
        <w:t xml:space="preserve">. In this article we clarify the connections among these mediating institutions and imperialism. Imperialism and Health Although it is a complex, multifaceted phenomenon, imperialism in simple terms refers to an expansion of economic activities—especially investment, sales, extraction of raw materials, and use of labor to produce commodities and services—beyond national boundaries, as well as the social, political, and economic effects of this expansion. Empire yields many advantages for economically dominant nations. For centuries, imperialism included military conquest and the maintenance of colonies under direct political control. The decline of colonialism in the twentieth century, however, led to the emergence of political and economic “neocolonialism,” by which poor countries provided similar advantages to richer countries as they had done under the earlier, more formal versions of colonialism. One fundamental characteristic of capitalist imperialism involves the extraction of raw materials and human capital, which move from the global South to economically dominant countries in the North. </w:t>
      </w:r>
      <w:r w:rsidRPr="00DD2D90">
        <w:rPr>
          <w:rStyle w:val="StyleUnderline"/>
        </w:rPr>
        <w:t>In the global South, “</w:t>
      </w:r>
      <w:r w:rsidRPr="00DD2D90">
        <w:rPr>
          <w:rStyle w:val="Emphasis"/>
          <w:highlight w:val="green"/>
        </w:rPr>
        <w:t>underdevelopment</w:t>
      </w:r>
      <w:r w:rsidRPr="00DD2D90">
        <w:rPr>
          <w:rStyle w:val="StyleUnderline"/>
          <w:highlight w:val="green"/>
        </w:rPr>
        <w:t xml:space="preserve"> of health</w:t>
      </w:r>
      <w:r w:rsidRPr="00DD2D90">
        <w:rPr>
          <w:rStyle w:val="StyleUnderline"/>
        </w:rPr>
        <w:t xml:space="preserve">” </w:t>
      </w:r>
      <w:r w:rsidRPr="00DD2D90">
        <w:rPr>
          <w:rStyle w:val="StyleUnderline"/>
          <w:highlight w:val="green"/>
        </w:rPr>
        <w:t>follows</w:t>
      </w:r>
      <w:r w:rsidRPr="00DD2D90">
        <w:rPr>
          <w:rStyle w:val="StyleUnderline"/>
        </w:rPr>
        <w:t xml:space="preserve"> inevitably </w:t>
      </w:r>
      <w:r w:rsidRPr="00DD2D90">
        <w:rPr>
          <w:rStyle w:val="StyleUnderline"/>
          <w:highlight w:val="green"/>
        </w:rPr>
        <w:t>from this depletion</w:t>
      </w:r>
      <w:r w:rsidRPr="00DD2D90">
        <w:rPr>
          <w:rStyle w:val="StyleUnderline"/>
        </w:rPr>
        <w:t xml:space="preserve"> of natural and human resources</w:t>
      </w:r>
      <w:r w:rsidRPr="00223414">
        <w:rPr>
          <w:sz w:val="16"/>
        </w:rPr>
        <w:t xml:space="preserve">.1 </w:t>
      </w:r>
      <w:r w:rsidRPr="00DD2D90">
        <w:rPr>
          <w:rStyle w:val="StyleUnderline"/>
          <w:highlight w:val="green"/>
        </w:rPr>
        <w:t>Under imperialist</w:t>
      </w:r>
      <w:r w:rsidRPr="00223414">
        <w:rPr>
          <w:sz w:val="16"/>
        </w:rPr>
        <w:t xml:space="preserve"> </w:t>
      </w:r>
      <w:r w:rsidRPr="00DD2D90">
        <w:rPr>
          <w:rStyle w:val="StyleUnderline"/>
          <w:highlight w:val="green"/>
        </w:rPr>
        <w:t>relationships</w:t>
      </w:r>
      <w:r w:rsidRPr="00223414">
        <w:rPr>
          <w:sz w:val="16"/>
        </w:rPr>
        <w:t xml:space="preserve">, such extraction of wealth limits poorer countries’ abilities to construct effective health systems. These countries also face a net loss of health workers who migrate to economically dominant nations after expensive training at home. A cheap labor force also becomes an advantage for multinational corporations. The efficiency of labor became an important goal of public health programs sponsored abroad by philanthropies closely tied to expanding industries in the United States. The Rockefeller Foundation’s activities in public health, for instance, sought improved health conditions, especially control of infectious diseases, as a way to enhance the productivity of labor.2 Population-control programs initiated by the United States and other dominant countries also fostered more reliable participation by women in the labor force. Through public health initiatives, a healthier, more predictable, and more productive labor force could enhance the fortunes of corporations seeking to expand in the global South. Another thrust of imperialism has involved the creation of new markets for products, including medical products, manufactured in dominant nations and sold throughout the rest of the world. This process, enhancing the accumulation of capital by multinational corporations, has appeared nowhere more clearly than in pharmaceutical and medical equipment industries.3 The monopolistic character of these industries, as well as the stultifying impact that imported technology has exerted on local research and development, has led to advocacy for nationalized drug and equipment formularies in the global South, with varying success. Such advocacy also has provided a framework for resistance to trade rules that protect patents and therefore enhance the financial interests of pharmaceutical and equipment corporations that operate in such countries. Imperialism has reinforced international class relations, and medicine has contributed to this phenomenon. As in the United States, medical professionals in the global South most often come from higher-income families; even when they do not, they frequently view medicine as a route of upward mobility. As a result, medical professionals tend to ally themselves with the capitalist class—the “national bourgeoisie”—within these countries. They also frequently support cooperative links between the local capitalist class and business interests in economically dominant countries.4 The class position of health professionals has led them to resist social change that would threaten the current class structure, either nationally or internationally.5 Even after the decline of formal colonialism, imperialism frequently has involved military conquest in addition to economic domination. Despite its benign profile, medicine has contributed to the military efforts of European countries and the United States. For instance, health workers have assumed armed or paramilitary roles in Indochina, North Africa, Iraq, and Afghanistan. Health institutions also have taken part as bases for counterinsurgency and intelligence operations in Latin America and Asia.6 The connections among imperialism, public health, and health services have operated particularly through several institutions that have mediated these connections: philanthropic foundations, international financial institutions, organizations that enforce trade agreements, and international health organizations. Philanthropic Foundations Notions about charitable contributions by wealthy people to the needy date back at least to the Greek practice of “philanthropy,” but modern practices involving foundations with their own legal status began in the early twentieth century. Andrew Carnegie, who accumulated his fortune mainly through the steel industry, took a leadership role in the creation of philanthropic foundations. His philanthropic ventures began with the establishment of Carnegie libraries in small U.S. towns and cities. In writings such as The Gospel of Wealth, published in 1901, Carnegie presented his opinions about the social responsibilities of wealth.7 In this book, speeches, and other efforts to influence his fellow barons of capitalism, Carnegie argued that contributing to the needs of society was consistent with good business practices. According to Carnegie, </w:t>
      </w:r>
      <w:r w:rsidRPr="00DD2D90">
        <w:rPr>
          <w:rStyle w:val="StyleUnderline"/>
        </w:rPr>
        <w:t>philanthropy provided several advantages for capitalists, including</w:t>
      </w:r>
      <w:r w:rsidRPr="00223414">
        <w:rPr>
          <w:sz w:val="16"/>
        </w:rPr>
        <w:t xml:space="preserve"> the achievement of </w:t>
      </w:r>
      <w:r w:rsidRPr="00DD2D90">
        <w:rPr>
          <w:rStyle w:val="StyleUnderline"/>
        </w:rPr>
        <w:t>favorable popular opinion</w:t>
      </w:r>
      <w:r w:rsidRPr="00223414">
        <w:rPr>
          <w:sz w:val="16"/>
        </w:rPr>
        <w:t xml:space="preserve"> about capitalist enterprises and individual entrepreneurs. More importantly in Carnegie’s view, by contributing intelligently to address social needs rather than squandering one’s wealth, the business person also could assure personal entry into the heavenly realm—thus, the “gospel” of wealth. Among the book’s many notable features, Carnegie distinguished between “imperialism” and the more virtuous “Americanism”: “Imperialism implies naval and military force behind. Moral force, education, civilization are not the backbone of Imperialism. These are the moral forces which make for the higher civilization, for Americanism.”8 Through the Carnegie Endowment for International Peace and other interconnected foundations, Carnegie acted to achieve the fruits he preferred in the disposal of his earthly wealth and in his own heavenly future. An important early extension of philanthropic foundations to health involved John D. Rockefeller and the Rockefeller Foundation. With a fortune based in oil, Rockefeller emulated Carnegie’s philanthropic activities, despite their conflicts in the realm of monopolistic business practices. Rockefeller and associates moved to support public health activities and health services that would benefit the economic interests of Rockefeller-controlled corporations throughout the world. To foster this goal, the Rockefeller Foundation initiated international campaigns against infectious diseases such as hookworm, malaria, and yellow fever. Between 1913, the year of its founding, and 1920, the Foundation supported the development of research institutes and disease-eradication programs on every continent except Antarctica. </w:t>
      </w:r>
      <w:r w:rsidRPr="00DD2D90">
        <w:rPr>
          <w:rStyle w:val="StyleUnderline"/>
          <w:highlight w:val="green"/>
        </w:rPr>
        <w:t>For</w:t>
      </w:r>
      <w:r w:rsidRPr="00223414">
        <w:rPr>
          <w:sz w:val="16"/>
        </w:rPr>
        <w:t xml:space="preserve"> capitalist </w:t>
      </w:r>
      <w:r w:rsidRPr="00DD2D90">
        <w:rPr>
          <w:rStyle w:val="StyleUnderline"/>
          <w:highlight w:val="green"/>
        </w:rPr>
        <w:t>enterprises</w:t>
      </w:r>
      <w:r w:rsidRPr="00223414">
        <w:rPr>
          <w:sz w:val="16"/>
        </w:rPr>
        <w:t xml:space="preserve"> expanding internationally, </w:t>
      </w:r>
      <w:r w:rsidRPr="00DD2D90">
        <w:rPr>
          <w:rStyle w:val="StyleUnderline"/>
        </w:rPr>
        <w:t xml:space="preserve">infectious </w:t>
      </w:r>
      <w:r w:rsidRPr="00DD2D90">
        <w:rPr>
          <w:rStyle w:val="StyleUnderline"/>
          <w:highlight w:val="green"/>
        </w:rPr>
        <w:t>diseases proved</w:t>
      </w:r>
      <w:r w:rsidRPr="00DD2D90">
        <w:rPr>
          <w:rStyle w:val="StyleUnderline"/>
        </w:rPr>
        <w:t xml:space="preserve"> </w:t>
      </w:r>
      <w:r w:rsidRPr="00DD2D90">
        <w:rPr>
          <w:rStyle w:val="StyleUnderline"/>
          <w:highlight w:val="green"/>
        </w:rPr>
        <w:t>troublesome</w:t>
      </w:r>
      <w:r w:rsidRPr="00223414">
        <w:rPr>
          <w:sz w:val="16"/>
        </w:rPr>
        <w:t xml:space="preserve"> for several reasons, which became clear from the writings of Rockefeller and the managers of the Rockefeller Foundation.9 First, these </w:t>
      </w:r>
      <w:r w:rsidRPr="00DD2D90">
        <w:rPr>
          <w:rStyle w:val="StyleUnderline"/>
        </w:rPr>
        <w:t>infections reduced workers’ energy</w:t>
      </w:r>
      <w:r w:rsidRPr="00223414">
        <w:rPr>
          <w:sz w:val="16"/>
        </w:rPr>
        <w:t xml:space="preserve"> and therefore their productivity; based on this perspective, hookworm became known as the “lazy man’s disease.” Second, </w:t>
      </w:r>
      <w:r w:rsidRPr="00DD2D90">
        <w:rPr>
          <w:rStyle w:val="StyleUnderline"/>
        </w:rPr>
        <w:t>endemic</w:t>
      </w:r>
      <w:r w:rsidRPr="00223414">
        <w:rPr>
          <w:sz w:val="16"/>
        </w:rPr>
        <w:t xml:space="preserve"> </w:t>
      </w:r>
      <w:r w:rsidRPr="00DD2D90">
        <w:rPr>
          <w:rStyle w:val="StyleUnderline"/>
        </w:rPr>
        <w:t>infections</w:t>
      </w:r>
      <w:r w:rsidRPr="00223414">
        <w:rPr>
          <w:sz w:val="16"/>
        </w:rPr>
        <w:t xml:space="preserve"> </w:t>
      </w:r>
      <w:r w:rsidRPr="00DD2D90">
        <w:rPr>
          <w:rStyle w:val="StyleUnderline"/>
        </w:rPr>
        <w:t>in areas of</w:t>
      </w:r>
      <w:r w:rsidRPr="00223414">
        <w:rPr>
          <w:sz w:val="16"/>
        </w:rPr>
        <w:t xml:space="preserve"> the world </w:t>
      </w:r>
      <w:r w:rsidRPr="00DD2D90">
        <w:rPr>
          <w:rStyle w:val="StyleUnderline"/>
        </w:rPr>
        <w:t>designated for</w:t>
      </w:r>
      <w:r w:rsidRPr="00223414">
        <w:rPr>
          <w:sz w:val="16"/>
        </w:rPr>
        <w:t xml:space="preserve"> such efforts as mining, oil </w:t>
      </w:r>
      <w:r w:rsidRPr="00DD2D90">
        <w:rPr>
          <w:rStyle w:val="StyleUnderline"/>
        </w:rPr>
        <w:t>extraction</w:t>
      </w:r>
      <w:r w:rsidRPr="00223414">
        <w:rPr>
          <w:sz w:val="16"/>
        </w:rPr>
        <w:t xml:space="preserve">, agriculture, </w:t>
      </w:r>
      <w:r w:rsidRPr="00DD2D90">
        <w:rPr>
          <w:rStyle w:val="StyleUnderline"/>
        </w:rPr>
        <w:t xml:space="preserve">and the opening of new markets for the sale of commodities made those areas unattractive for investors </w:t>
      </w:r>
      <w:r w:rsidRPr="00223414">
        <w:rPr>
          <w:sz w:val="16"/>
        </w:rPr>
        <w:t xml:space="preserve">and for managerial personnel. Third, when </w:t>
      </w:r>
      <w:r w:rsidRPr="00DD2D90">
        <w:rPr>
          <w:rStyle w:val="StyleUnderline"/>
        </w:rPr>
        <w:t>corporations</w:t>
      </w:r>
      <w:r w:rsidRPr="00223414">
        <w:rPr>
          <w:sz w:val="16"/>
        </w:rPr>
        <w:t xml:space="preserve"> assumed responsibility for the care of workers, these </w:t>
      </w:r>
      <w:r w:rsidRPr="00DD2D90">
        <w:rPr>
          <w:rStyle w:val="StyleUnderline"/>
        </w:rPr>
        <w:t>costs escalated when infectious diseases could not be prevented</w:t>
      </w:r>
      <w:r w:rsidRPr="00223414">
        <w:rPr>
          <w:sz w:val="16"/>
        </w:rPr>
        <w:t xml:space="preserve"> or easily treated. Addressing these three problems, the Rockefeller Foundation’s massive campaigns took on certain characteristics that persist to this day, not only for Rockefeller but also for other foundations, international public health organizations, and nongovernmental organizations. The </w:t>
      </w:r>
      <w:r w:rsidRPr="00DD2D90">
        <w:rPr>
          <w:rStyle w:val="StyleUnderline"/>
        </w:rPr>
        <w:t>Rockefeller</w:t>
      </w:r>
      <w:r w:rsidRPr="00223414">
        <w:rPr>
          <w:sz w:val="16"/>
        </w:rPr>
        <w:t xml:space="preserve"> Foundation </w:t>
      </w:r>
      <w:r w:rsidRPr="00DD2D90">
        <w:rPr>
          <w:rStyle w:val="StyleUnderline"/>
        </w:rPr>
        <w:t>emphasized “</w:t>
      </w:r>
      <w:r w:rsidRPr="00DD2D90">
        <w:rPr>
          <w:rStyle w:val="Emphasis"/>
        </w:rPr>
        <w:t>vertical</w:t>
      </w:r>
      <w:r w:rsidRPr="00DD2D90">
        <w:rPr>
          <w:rStyle w:val="StyleUnderline"/>
        </w:rPr>
        <w:t>” programs</w:t>
      </w:r>
      <w:r w:rsidRPr="00223414">
        <w:rPr>
          <w:sz w:val="16"/>
        </w:rPr>
        <w:t xml:space="preserve">, initiated by the donor and </w:t>
      </w:r>
      <w:r w:rsidRPr="00DD2D90">
        <w:rPr>
          <w:rStyle w:val="StyleUnderline"/>
        </w:rPr>
        <w:t>focusing on specific diseases</w:t>
      </w:r>
      <w:r w:rsidRPr="00223414">
        <w:rPr>
          <w:sz w:val="16"/>
        </w:rPr>
        <w:t xml:space="preserve"> such as hookworm or malaria. </w:t>
      </w:r>
      <w:r w:rsidRPr="00DD2D90">
        <w:rPr>
          <w:rStyle w:val="StyleUnderline"/>
        </w:rPr>
        <w:t>An alternative approach could encourage</w:t>
      </w:r>
      <w:r w:rsidRPr="00223414">
        <w:rPr>
          <w:sz w:val="16"/>
        </w:rPr>
        <w:t xml:space="preserve"> “</w:t>
      </w:r>
      <w:r w:rsidRPr="00DD2D90">
        <w:rPr>
          <w:rStyle w:val="Emphasis"/>
          <w:highlight w:val="green"/>
        </w:rPr>
        <w:t>horizontal</w:t>
      </w:r>
      <w:r w:rsidRPr="00DD2D90">
        <w:rPr>
          <w:rStyle w:val="StyleUnderline"/>
        </w:rPr>
        <w:t xml:space="preserve">” programs, to </w:t>
      </w:r>
      <w:r w:rsidRPr="00DD2D90">
        <w:rPr>
          <w:rStyle w:val="StyleUnderline"/>
          <w:highlight w:val="green"/>
        </w:rPr>
        <w:t>provide</w:t>
      </w:r>
      <w:r w:rsidRPr="00DD2D90">
        <w:rPr>
          <w:rStyle w:val="StyleUnderline"/>
        </w:rPr>
        <w:t xml:space="preserve"> </w:t>
      </w:r>
      <w:r w:rsidRPr="00DD2D90">
        <w:rPr>
          <w:rStyle w:val="StyleUnderline"/>
          <w:highlight w:val="green"/>
        </w:rPr>
        <w:t>a</w:t>
      </w:r>
      <w:r w:rsidRPr="00DD2D90">
        <w:rPr>
          <w:rStyle w:val="StyleUnderline"/>
        </w:rPr>
        <w:t xml:space="preserve"> broader </w:t>
      </w:r>
      <w:r w:rsidRPr="00DD2D90">
        <w:rPr>
          <w:rStyle w:val="StyleUnderline"/>
          <w:highlight w:val="green"/>
        </w:rPr>
        <w:t>spectrum of preventive and curative services</w:t>
      </w:r>
      <w:r w:rsidRPr="00DD2D90">
        <w:rPr>
          <w:rStyle w:val="StyleUnderline"/>
        </w:rPr>
        <w:t xml:space="preserve"> </w:t>
      </w:r>
      <w:r w:rsidRPr="00DD2D90">
        <w:rPr>
          <w:rStyle w:val="StyleUnderline"/>
          <w:highlight w:val="green"/>
        </w:rPr>
        <w:t>through</w:t>
      </w:r>
      <w:r w:rsidRPr="00DD2D90">
        <w:rPr>
          <w:rStyle w:val="StyleUnderline"/>
        </w:rPr>
        <w:t xml:space="preserve"> a well-organized public health </w:t>
      </w:r>
      <w:r w:rsidRPr="00DD2D90">
        <w:rPr>
          <w:rStyle w:val="StyleUnderline"/>
          <w:highlight w:val="green"/>
        </w:rPr>
        <w:t>infrastructure</w:t>
      </w:r>
      <w:r w:rsidRPr="00DD2D90">
        <w:rPr>
          <w:rStyle w:val="StyleUnderline"/>
        </w:rPr>
        <w:t xml:space="preserve"> of clinics and hospitals</w:t>
      </w:r>
      <w:r w:rsidRPr="00223414">
        <w:rPr>
          <w:sz w:val="16"/>
        </w:rPr>
        <w:t xml:space="preserve">. Rather than such broad public health initiatives targeting disadvantaged populations, the </w:t>
      </w:r>
      <w:r w:rsidRPr="00DD2D90">
        <w:rPr>
          <w:rStyle w:val="StyleUnderline"/>
          <w:highlight w:val="green"/>
        </w:rPr>
        <w:t>Rockefeller</w:t>
      </w:r>
      <w:r w:rsidRPr="00DD2D90">
        <w:rPr>
          <w:rStyle w:val="StyleUnderline"/>
        </w:rPr>
        <w:t xml:space="preserve"> Foundation’s </w:t>
      </w:r>
      <w:r w:rsidRPr="00DD2D90">
        <w:rPr>
          <w:rStyle w:val="StyleUnderline"/>
          <w:highlight w:val="green"/>
        </w:rPr>
        <w:t>vertical</w:t>
      </w:r>
      <w:r w:rsidRPr="00DD2D90">
        <w:rPr>
          <w:rStyle w:val="StyleUnderline"/>
        </w:rPr>
        <w:t xml:space="preserve"> orientation </w:t>
      </w:r>
      <w:r w:rsidRPr="00DD2D90">
        <w:rPr>
          <w:rStyle w:val="StyleUnderline"/>
          <w:highlight w:val="green"/>
        </w:rPr>
        <w:t>favored a</w:t>
      </w:r>
      <w:r w:rsidRPr="00DD2D90">
        <w:rPr>
          <w:rStyle w:val="StyleUnderline"/>
        </w:rPr>
        <w:t xml:space="preserve"> so-called “</w:t>
      </w:r>
      <w:r w:rsidRPr="00DD2D90">
        <w:rPr>
          <w:rStyle w:val="Emphasis"/>
          <w:highlight w:val="green"/>
        </w:rPr>
        <w:t>magic bullet</w:t>
      </w:r>
      <w:r w:rsidRPr="00223414">
        <w:rPr>
          <w:sz w:val="16"/>
        </w:rPr>
        <w:t xml:space="preserve">” approach </w:t>
      </w:r>
      <w:r w:rsidRPr="00DD2D90">
        <w:rPr>
          <w:rStyle w:val="StyleUnderline"/>
        </w:rPr>
        <w:t>targeting new vaccines and medications</w:t>
      </w:r>
      <w:r w:rsidRPr="00223414">
        <w:rPr>
          <w:sz w:val="16"/>
        </w:rPr>
        <w:t xml:space="preserve"> that could prevent and treat infectious diseases. A vertical orientation has continued in recent, large-scale efforts by the Rockefeller Foundation, </w:t>
      </w:r>
      <w:r w:rsidRPr="00DD2D90">
        <w:rPr>
          <w:rStyle w:val="StyleUnderline"/>
          <w:highlight w:val="green"/>
        </w:rPr>
        <w:t>Gates</w:t>
      </w:r>
      <w:r w:rsidRPr="00223414">
        <w:rPr>
          <w:sz w:val="16"/>
        </w:rPr>
        <w:t xml:space="preserve"> Foundation, and other philanthropies to address public health problems like AIDS, tuberculosis, malaria, and most recently Ebola. The foundations often frame their participation as attempts to improve economic development by “investing in health,” a term first promoted by the World Bank.10 These </w:t>
      </w:r>
      <w:r w:rsidRPr="00DD2D90">
        <w:rPr>
          <w:rStyle w:val="StyleUnderline"/>
          <w:highlight w:val="green"/>
        </w:rPr>
        <w:t>initiatives</w:t>
      </w:r>
      <w:r w:rsidRPr="00223414">
        <w:rPr>
          <w:sz w:val="16"/>
        </w:rPr>
        <w:t xml:space="preserve"> usually </w:t>
      </w:r>
      <w:r w:rsidRPr="00DD2D90">
        <w:rPr>
          <w:rStyle w:val="StyleUnderline"/>
          <w:highlight w:val="green"/>
        </w:rPr>
        <w:t>encourage</w:t>
      </w:r>
      <w:r w:rsidRPr="00DD2D90">
        <w:rPr>
          <w:rStyle w:val="StyleUnderline"/>
        </w:rPr>
        <w:t xml:space="preserve"> the participation of multinational </w:t>
      </w:r>
      <w:r w:rsidRPr="00DD2D90">
        <w:rPr>
          <w:rStyle w:val="StyleUnderline"/>
          <w:highlight w:val="green"/>
        </w:rPr>
        <w:t>pharma</w:t>
      </w:r>
      <w:r w:rsidRPr="00DD2D90">
        <w:rPr>
          <w:rStyle w:val="StyleUnderline"/>
        </w:rPr>
        <w:t>ceutical companies</w:t>
      </w:r>
      <w:r w:rsidRPr="00223414">
        <w:rPr>
          <w:sz w:val="16"/>
        </w:rPr>
        <w:t xml:space="preserve"> (</w:t>
      </w:r>
      <w:r w:rsidRPr="00DD2D90">
        <w:rPr>
          <w:rStyle w:val="StyleUnderline"/>
        </w:rPr>
        <w:t xml:space="preserve">which hold the patents for key medications and vaccines used in infectious-disease campaigns) </w:t>
      </w:r>
      <w:r w:rsidRPr="00DD2D90">
        <w:rPr>
          <w:rStyle w:val="StyleUnderline"/>
          <w:highlight w:val="green"/>
        </w:rPr>
        <w:t>and</w:t>
      </w:r>
      <w:r w:rsidRPr="00DD2D90">
        <w:rPr>
          <w:rStyle w:val="StyleUnderline"/>
        </w:rPr>
        <w:t xml:space="preserve"> private </w:t>
      </w:r>
      <w:r w:rsidRPr="00DD2D90">
        <w:rPr>
          <w:rStyle w:val="StyleUnderline"/>
          <w:highlight w:val="green"/>
        </w:rPr>
        <w:t>insurance companies</w:t>
      </w:r>
      <w:r w:rsidRPr="00DD2D90">
        <w:rPr>
          <w:rStyle w:val="StyleUnderline"/>
        </w:rPr>
        <w:t xml:space="preserve"> or managed care organizations (which assume responsibility and receive payment for delivering services </w:t>
      </w:r>
      <w:r w:rsidRPr="00DD2D90">
        <w:rPr>
          <w:rStyle w:val="StyleUnderline"/>
          <w:highlight w:val="green"/>
        </w:rPr>
        <w:t>in</w:t>
      </w:r>
      <w:r w:rsidRPr="00DD2D90">
        <w:rPr>
          <w:rStyle w:val="StyleUnderline"/>
        </w:rPr>
        <w:t xml:space="preserve"> “</w:t>
      </w:r>
      <w:r w:rsidRPr="00DD2D90">
        <w:rPr>
          <w:rStyle w:val="StyleUnderline"/>
          <w:highlight w:val="green"/>
        </w:rPr>
        <w:t>public-private partnerships</w:t>
      </w:r>
      <w:r w:rsidRPr="00223414">
        <w:rPr>
          <w:sz w:val="16"/>
        </w:rPr>
        <w:t xml:space="preserve">”). Currently the Gates Foundation has emerged as the largest philanthropy worldwide focusing on public health. Its efforts continue to target specific infectious diseases, especially AIDS in Africa. Together with the World Health Organization (WHO), whose limited budget the Gates Foundation helps fund, and various nongovernmental organizations also supported by Gates and Rockefeller, philanthropies have invested heavily in the control of infectious diseases through vaccines and other pharmaceutical products. In general, </w:t>
      </w:r>
      <w:r w:rsidRPr="00DD2D90">
        <w:rPr>
          <w:rStyle w:val="StyleUnderline"/>
          <w:highlight w:val="green"/>
        </w:rPr>
        <w:t>these</w:t>
      </w:r>
      <w:r w:rsidRPr="00DD2D90">
        <w:rPr>
          <w:rStyle w:val="StyleUnderline"/>
        </w:rPr>
        <w:t xml:space="preserve"> strategies</w:t>
      </w:r>
      <w:r w:rsidRPr="00223414">
        <w:rPr>
          <w:sz w:val="16"/>
        </w:rPr>
        <w:t xml:space="preserve"> have </w:t>
      </w:r>
      <w:r w:rsidRPr="00DD2D90">
        <w:rPr>
          <w:rStyle w:val="StyleUnderline"/>
          <w:highlight w:val="green"/>
        </w:rPr>
        <w:t>left the</w:t>
      </w:r>
      <w:r w:rsidRPr="00DD2D90">
        <w:rPr>
          <w:rStyle w:val="StyleUnderline"/>
        </w:rPr>
        <w:t xml:space="preserve"> </w:t>
      </w:r>
      <w:r w:rsidRPr="00DD2D90">
        <w:rPr>
          <w:rStyle w:val="StyleUnderline"/>
          <w:highlight w:val="green"/>
        </w:rPr>
        <w:t>insufficient</w:t>
      </w:r>
      <w:r w:rsidRPr="00DD2D90">
        <w:rPr>
          <w:rStyle w:val="StyleUnderline"/>
        </w:rPr>
        <w:t xml:space="preserve"> public health </w:t>
      </w:r>
      <w:r w:rsidRPr="00DD2D90">
        <w:rPr>
          <w:rStyle w:val="StyleUnderline"/>
          <w:highlight w:val="green"/>
        </w:rPr>
        <w:t>infrastructures</w:t>
      </w:r>
      <w:r w:rsidRPr="00DD2D90">
        <w:rPr>
          <w:rStyle w:val="StyleUnderline"/>
        </w:rPr>
        <w:t xml:space="preserve"> in many countries of the global South relatively </w:t>
      </w:r>
      <w:r w:rsidRPr="00DD2D90">
        <w:rPr>
          <w:rStyle w:val="StyleUnderline"/>
          <w:highlight w:val="green"/>
        </w:rPr>
        <w:t>untouched</w:t>
      </w:r>
      <w:r w:rsidRPr="00DD2D90">
        <w:rPr>
          <w:rStyle w:val="StyleUnderline"/>
        </w:rPr>
        <w:t xml:space="preserve">, </w:t>
      </w:r>
      <w:r w:rsidRPr="00DD2D90">
        <w:rPr>
          <w:rStyle w:val="StyleUnderline"/>
          <w:highlight w:val="green"/>
        </w:rPr>
        <w:t xml:space="preserve">while </w:t>
      </w:r>
      <w:r w:rsidRPr="00DD2D90">
        <w:rPr>
          <w:rStyle w:val="Emphasis"/>
          <w:highlight w:val="green"/>
        </w:rPr>
        <w:t>lavish</w:t>
      </w:r>
      <w:r w:rsidRPr="00DD2D90">
        <w:rPr>
          <w:rStyle w:val="StyleUnderline"/>
          <w:highlight w:val="green"/>
        </w:rPr>
        <w:t xml:space="preserve"> spending</w:t>
      </w:r>
      <w:r w:rsidRPr="00DD2D90">
        <w:rPr>
          <w:rStyle w:val="StyleUnderline"/>
        </w:rPr>
        <w:t xml:space="preserve"> has </w:t>
      </w:r>
      <w:r w:rsidRPr="00DD2D90">
        <w:rPr>
          <w:rStyle w:val="StyleUnderline"/>
          <w:highlight w:val="green"/>
        </w:rPr>
        <w:t>occurred</w:t>
      </w:r>
      <w:r w:rsidRPr="00DD2D90">
        <w:rPr>
          <w:rStyle w:val="StyleUnderline"/>
        </w:rPr>
        <w:t xml:space="preserve"> </w:t>
      </w:r>
      <w:r w:rsidRPr="00DD2D90">
        <w:rPr>
          <w:rStyle w:val="StyleUnderline"/>
          <w:highlight w:val="green"/>
        </w:rPr>
        <w:t>to</w:t>
      </w:r>
      <w:r w:rsidRPr="00DD2D90">
        <w:rPr>
          <w:rStyle w:val="StyleUnderline"/>
        </w:rPr>
        <w:t xml:space="preserve"> </w:t>
      </w:r>
      <w:r w:rsidRPr="00DD2D90">
        <w:rPr>
          <w:rStyle w:val="StyleUnderline"/>
          <w:highlight w:val="green"/>
        </w:rPr>
        <w:t xml:space="preserve">support </w:t>
      </w:r>
      <w:r w:rsidRPr="00DD2D90">
        <w:rPr>
          <w:rStyle w:val="StyleUnderline"/>
        </w:rPr>
        <w:t xml:space="preserve">programs on </w:t>
      </w:r>
      <w:r w:rsidRPr="00DD2D90">
        <w:rPr>
          <w:rStyle w:val="StyleUnderline"/>
          <w:highlight w:val="green"/>
        </w:rPr>
        <w:t>AIDS</w:t>
      </w:r>
      <w:r w:rsidRPr="00DD2D90">
        <w:rPr>
          <w:rStyle w:val="StyleUnderline"/>
        </w:rPr>
        <w:t>, malaria, and tuberculosi</w:t>
      </w:r>
      <w:r w:rsidRPr="00223414">
        <w:rPr>
          <w:sz w:val="16"/>
        </w:rPr>
        <w:t xml:space="preserve">s. As a result, access to medical and public health facilities remains inadequate for people who often face desperate circumstances. The contradictions of vertical programs, which persist as the legacy of the Rockefeller orientation in philanthropic support, lead to bizarre and tragic situations that become well known to public health workers in the global South. In countries devastated by AIDS, for instance, patients sick with other serious disorders like cancer feign or even intentionally get infected by HIV so they can receive medical care in well-funded AIDS programs. And </w:t>
      </w:r>
      <w:r w:rsidRPr="00DD2D90">
        <w:rPr>
          <w:rStyle w:val="StyleUnderline"/>
        </w:rPr>
        <w:t>when</w:t>
      </w:r>
      <w:r w:rsidRPr="00223414">
        <w:rPr>
          <w:sz w:val="16"/>
        </w:rPr>
        <w:t xml:space="preserve"> severe </w:t>
      </w:r>
      <w:r w:rsidRPr="00DD2D90">
        <w:rPr>
          <w:rStyle w:val="StyleUnderline"/>
        </w:rPr>
        <w:t>epidemics like Ebola</w:t>
      </w:r>
      <w:r w:rsidRPr="00223414">
        <w:rPr>
          <w:sz w:val="16"/>
        </w:rPr>
        <w:t xml:space="preserve"> </w:t>
      </w:r>
      <w:r w:rsidRPr="00DD2D90">
        <w:rPr>
          <w:rStyle w:val="StyleUnderline"/>
        </w:rPr>
        <w:t>strike, the vertically oriented investment policies of foundations leave countries in Africa without an urgently needed infrastructure of primary-care clinics and hospitals to care for critically ill patients</w:t>
      </w:r>
      <w:r w:rsidRPr="00223414">
        <w:rPr>
          <w:sz w:val="16"/>
        </w:rPr>
        <w:t xml:space="preserve">. International Financial Institutions and Trade Agreements The framework for modern international financial institutions and trade agreements began after the Second World War with the Bretton Woods accords. These accords grew from meetings in Bretton Woods, New Hampshire, involving representatives of countries victorious in the war. The agreements initially focused on the economic reconstruction of Europe. Between 1944 and 1947, the Bretton Woods negotiations led to the creation of the International Monetary Fund (IMF) and the World Bank, as well as the establishment of the General Agreement on Tariffs and Trade (GATT).11 After Europe’s recovery, these institutions and agreements gradually expanded their focus to the rest of the world. For instance, the World Bank adopted as its vision statement, “Our dream—a world without poverty.”12 However, because the IMF and World Bank provided most of their assistance through loans rather than grants—and, in the case of the IMF, mainly established conditionalities that would open the door to private lending—the debt burden of the poorer countries increased rapidly. By 1980, many countries in the global South, including the poorest in the world, were spending on average about half their economic productivity, as measured by gross domestic product, on payment of their debts to international financial institutions—even though these institutions’ goals usually emphasized the reduction of poverty. During the early 1980s, the international financial institutions embraced a set of economic policies known as the Washington Consensus. These policies, mainly advocated by the United States and the United Kingdom, involved deregulation and privatization of public services, which added to the debt crisis by reducing even further the public health efforts and health services that poorer countries could afford. Initially GATT aimed to reduce trade barriers among its twenty-three member countries by eliminating or cutting tariffs and other fees on exports and imports. The fairly simple principles of GATT included “most favored nation treatment” (according to which the same trade rules applied to all participating nations) and “national treatment” (which required no discrimination in taxes and regulations between domestic and foreign goods).13 GATT also established ongoing rounds of negotiations concerning trade agreements. From their modest origins in GATT, international trade agreements eventually changed into a massive structure of rules that would exert profound effects on public health and health services worldwide. As the pace of international economic transactions intensified, facilitated by technological advances in communications and transportation, the World Trade Organization (WTO) in 1994 replaced the loose collection of agreements subsumed under GATT. The burgeoning array of international trade agreements encompassed under WTO—seen also in the current round of regional agreements such as the Trans-Pacific Partnership and the Trans-Atlantic Free Trade Agreement—expanded the purview of trade rules far beyond tariff barriers. Instead, the new trade agreements interpreted a variety of public health measures such as environmental protection, occupational safety and health regulations, quality assurance for foods and drugs, intellectual-property restrictions pertaining to patented medications and equipment, and even public-sector health services themselves as potential barriers to trade. This perspective in trade agreements transformed the sovereignty of governments to regulate public health and to provide health services. Together with regional trade agreements initiated by the United States, WTO has sought to remove both tariff and non-tariff barriers to trade. The removal of non-tariff barriers to trade has affected the ability of national, state, and local governments to protect public health and medical services. While tariff barriers to trade involve financial methods of protecting national industries from competition by foreign corporations, including import taxes, “non-tariff barriers” refer to non-financial laws and regulations affecting trade, particularly those that governments use to assure accountability and quality. In over 900 pages of rules, the WTO set criteria for permissible or impermissible non-tariff barriers, such as domestic policies governing environmental protection, food safety, and health services. While aiming to achieve “free” trade across borders, the rules in trade agreements limit governments’ regulatory authority over trade while enhancing the authority of international financial institutions and trade organizations.14 WTO rules (under general exceptions of GATT, Article XX) permit national and subnational “measures necessary to protect human, animal or plant life or health,” but other provisions make this exception difficult to sustain in practice.15 For example, a country could be required to prove that its laws and regulations comprise the alternatives least restrictive to trade, and that they are not in fact disguised barriers to trade.16 These rules also restrict public subsidies, particularly those designated for domestic health programs and institutions, as potentially “trade distortive.” Requiring that such subsidies apply equally to domestic or foreign companies that provide services under public contracts preempts public policies that direct subsidies to domestic companies and to public programs. With relevance to public health, a key WTO provision requires “harmonization,” which seeks to reduce variation in nations’ regulatory standards for goods and services.17 Proponents argue that harmonization can motivate some countries in the global South to initiate labor and environmental standards where none previously existed.18 However, harmonization also can lead to erosion of existing standards, since it requires uniform global standards at the level least restrictive to trade.19 WTO encourages national governments to harmonize standards on issues as diverse as truck safety, pesticides, worker safety, community right-to-know laws about toxic hazards, consumer rights regarding essential services, banking and accounting standards, informational labeling of products, and pharmaceutical testing standards. WTO and regional agreements such as the North American Free Trade Agreement (NAFTA) supersede member countries’ internal laws and regulations, including those governing health. Under these agreements, governments at all levels faced a loss of sovereignty in policy making pertinent to public health and health services. Traditionally, government agencies at the federal, state, county, and municipal levels maintain responsibility for protecting public health by assuring safe water supplies, controlling environmental threats, and monitoring industries for occupational health conditions. Trade agreements can reduce or eliminate such governmental activities, because the agreements treat these activities as potential barriers to trade. For disputes, an appointed tribunal, rather than a local or national government, determines whether a challenged policy conforms to the rules of WTO or a regional trade agreement. The tribunal includes experts in trade but not necessarily in the subject matter of the cases, such as health or safety, or in the laws of the contesting countries.20 Documents and hearings remain closed to the public, press, and state and local elected officials. Because trade agreements treat federal governments as the only pertinent level of participation, only representatives of contesting countries can participate in the hearings, in addition to “experts” whose participation the tribunal requests. If a tribunal finds that a domestic law or regulation does not conform to the rules of WTO or a regional trade agreement, the tribunal orders that the disputed transaction proceed despite the wishes of government officials or public health experts. If a country fails to comply, WTO or the commission with authority over a regional agreement like NAFTA can impose financial penalties and can authorize the “winning” country to apply trade sanctions against the “losing” country in whatever sector the winner chooses until the other country complies. In challenges decided by WTO or NAFTA tribunals, for instance, corporations and even individual investors have caused governments to suffer financial consequences and trade sanctions because of their efforts to pursue traditional public health functions. As they grapple with imposed sanctions, losing countries usually succumb to pressures for eliminating or changing the laws or regulations in question and not enacting similar laws in the future. Table 1 gives examples of decisions under trade agreements that have affected public health and health services. The table shows the immense scope of trade agreements’ health-related impacts. Trade agreements like the Trans-Pacific Partnership and the Trans-Atlantic Free Trade Agreement, still under negotiation as the Obama Administration’s two major trade initiatives, contain provisions that similarly remove or constrain governments’ ability to protect public health. International Health Organizations The first approach to international public health organization arose in Europe during the Middle Ages. To block people from leaving or entering geographical areas affected by epidemics of infectious diseases, some governments established local, national, and international cordons sanitaires—guarded boundaries. Governments also imposed maritime quarantines that prevented ships from entering ports after visiting regions where epidemics were occurring. “Sanitary” authorities arose mostly on an ad hoc basis and remained active mainly when epidemics were present or anticipated.21 With the rise of export economies and the expansion of international trade during the late nineteenth and early twentieth centuries, conventional maritime public health went into decline. Instead, concerns about infectious diseases as detrimental to trade in the expanding reach of capitalist enterprise became a motivation for international cooperation in public health. An incentive for redesigning international public health emerged from a need to protect ports, investments, and land holdings such as plantations from infectious diseases. The first formal international health organization arose in the Americas. Founded in 1902 in Washington, D.C., explicitly as a mechanism to protect trade and investments from the burden of disease, the International Sanitary Bureau focused on the prevention and control of epidemics.22 Mosquito-eradication campaigns and the implementation of a vaccine against yellow fever occupied public health professionals in this organization throughout the early twentieth century. During that period, plans proceeded for the construction of the Panama Canal, the development of agricultural enterprises in the “banana republics” of Central and northern South America, and the extraction of mineral resources as raw materials for industrial production from such areas as southern Mexico, Venezuela, Colombia, and Brazil. Work in the tropics demanded public health initiatives against mosquito-borne diseases like yellow fever and malaria, parasitic illnesses like hookworm, and the more common viral and bacterial illnesses like endemic diarrhea. As the first modern international health organization, the International Sanitary Bureau devoted much of its early activities to infectious disease surveillance, prevention, and treatment, largely to protect trade and economic activities throughout the Americas. Later, during the 1950s, the International Sanitary Bureau became the Regional Office for the Americas of the WHO and in 1958 changed its name to the Pan American Health Organization (PAHO). Subsequently, PAHO’s public health mission broadened.23 However, PAHO has retained a focus on the protection of trade until the present day, and in general it supports the provisions of international trade agreements. WHO emerged in 1948, as one of the component sub-organizations of the United Nations. Prevention and control of infectious disease epidemics remained a key objective throughout its history, but WHO did not frame its purpose in controlling infectious diseases as a way to protect trade and international economic transactions—as PAHO had done during its early history. Instead, during the 1970s, WHO prioritized the improved distribution of health services, especially primary health care. This orientation culminated in the famous WHO declaration on primary health care, issued at an international conference at Alma-Ata, USSR, in 1978.24 As the principle of universal entitlement to primary care services became one of WHO’s priorities, the organization advocated programs for improving access to care, especially in the poorest countries. This “horizontal” vision of public health policy gained substantial support worldwide, at least for a brief time. However, during the 1980s, WHO entered a chronic financial crisis produced largely because of the fragile financing provided for by its parent organization, the United Nations. Because of ideological opposition to several programs operated by component organizations of the United Nations, especially those of the United Nations Educational, Scientific, and Cultural Organization (UNESCO), the Reagan administration withheld large portions of annual dues to the United Nations. As a result, the </w:t>
      </w:r>
      <w:r w:rsidRPr="00DD2D90">
        <w:rPr>
          <w:rStyle w:val="StyleUnderline"/>
        </w:rPr>
        <w:t>United Nations</w:t>
      </w:r>
      <w:r w:rsidRPr="00223414">
        <w:rPr>
          <w:sz w:val="16"/>
        </w:rPr>
        <w:t xml:space="preserve"> began to experience increasing </w:t>
      </w:r>
      <w:r w:rsidRPr="00DD2D90">
        <w:rPr>
          <w:rStyle w:val="StyleUnderline"/>
        </w:rPr>
        <w:t>budgetary shortfalls</w:t>
      </w:r>
      <w:r w:rsidRPr="00223414">
        <w:rPr>
          <w:sz w:val="16"/>
        </w:rPr>
        <w:t xml:space="preserve">, which it needed to pass on to its component organizations, </w:t>
      </w:r>
      <w:r w:rsidRPr="00DD2D90">
        <w:rPr>
          <w:rStyle w:val="StyleUnderline"/>
        </w:rPr>
        <w:t>including WHO</w:t>
      </w:r>
      <w:r w:rsidRPr="00223414">
        <w:rPr>
          <w:sz w:val="16"/>
        </w:rPr>
        <w:t xml:space="preserve">. Into this financial vacuum </w:t>
      </w:r>
      <w:r w:rsidRPr="00DD2D90">
        <w:rPr>
          <w:rStyle w:val="StyleUnderline"/>
        </w:rPr>
        <w:t xml:space="preserve">entered </w:t>
      </w:r>
      <w:r w:rsidRPr="00DD2D90">
        <w:rPr>
          <w:rStyle w:val="StyleUnderline"/>
          <w:highlight w:val="green"/>
        </w:rPr>
        <w:t>the World</w:t>
      </w:r>
      <w:r w:rsidRPr="00DD2D90">
        <w:rPr>
          <w:rStyle w:val="StyleUnderline"/>
        </w:rPr>
        <w:t xml:space="preserve"> </w:t>
      </w:r>
      <w:r w:rsidRPr="00DD2D90">
        <w:rPr>
          <w:rStyle w:val="StyleUnderline"/>
          <w:highlight w:val="green"/>
        </w:rPr>
        <w:t>Bank</w:t>
      </w:r>
      <w:r w:rsidRPr="00223414">
        <w:rPr>
          <w:sz w:val="16"/>
        </w:rPr>
        <w:t xml:space="preserve">, </w:t>
      </w:r>
      <w:r w:rsidRPr="00DD2D90">
        <w:rPr>
          <w:rStyle w:val="StyleUnderline"/>
        </w:rPr>
        <w:t>which</w:t>
      </w:r>
      <w:r w:rsidRPr="00223414">
        <w:rPr>
          <w:sz w:val="16"/>
        </w:rPr>
        <w:t xml:space="preserve"> began to </w:t>
      </w:r>
      <w:r w:rsidRPr="00DD2D90">
        <w:rPr>
          <w:rStyle w:val="StyleUnderline"/>
        </w:rPr>
        <w:t>provide</w:t>
      </w:r>
      <w:r w:rsidRPr="00223414">
        <w:rPr>
          <w:sz w:val="16"/>
        </w:rPr>
        <w:t xml:space="preserve"> a large part of </w:t>
      </w:r>
      <w:r w:rsidRPr="00DD2D90">
        <w:rPr>
          <w:rStyle w:val="StyleUnderline"/>
        </w:rPr>
        <w:t>WHO’s budget</w:t>
      </w:r>
      <w:r w:rsidRPr="00223414">
        <w:rPr>
          <w:sz w:val="16"/>
        </w:rPr>
        <w:t xml:space="preserve">. (Because WHO does not release its budget publicly, the precise degree of its dependency on the World Bank remains difficult to determine.) As WHO’s financial base shifted more toward the World Bank and away from the United Nations, its policies also transformed to an orientation that more closely resembled those of international financial institutions and trade agreements. The financial crisis that originated in the non-payment of dues by the United States eventually led within </w:t>
      </w:r>
      <w:r w:rsidRPr="00DD2D90">
        <w:rPr>
          <w:rStyle w:val="StyleUnderline"/>
        </w:rPr>
        <w:t>WHO</w:t>
      </w:r>
      <w:r w:rsidRPr="00223414">
        <w:rPr>
          <w:sz w:val="16"/>
        </w:rPr>
        <w:t xml:space="preserve"> to a policy perspective regarding international trade that proved similar to PAHO’s earlier orientation. During the 1990s, the pendulum </w:t>
      </w:r>
      <w:r w:rsidRPr="00DD2D90">
        <w:rPr>
          <w:rStyle w:val="StyleUnderline"/>
          <w:highlight w:val="green"/>
        </w:rPr>
        <w:t>swung</w:t>
      </w:r>
      <w:r w:rsidRPr="00DD2D90">
        <w:rPr>
          <w:rStyle w:val="StyleUnderline"/>
        </w:rPr>
        <w:t xml:space="preserve"> back from the </w:t>
      </w:r>
      <w:r w:rsidRPr="00DD2D90">
        <w:rPr>
          <w:rStyle w:val="StyleUnderline"/>
          <w:highlight w:val="green"/>
        </w:rPr>
        <w:t>horizontal</w:t>
      </w:r>
      <w:r w:rsidRPr="00DD2D90">
        <w:rPr>
          <w:rStyle w:val="StyleUnderline"/>
        </w:rPr>
        <w:t xml:space="preserve"> orientation </w:t>
      </w:r>
      <w:r w:rsidRPr="00DD2D90">
        <w:rPr>
          <w:rStyle w:val="StyleUnderline"/>
          <w:highlight w:val="green"/>
        </w:rPr>
        <w:t xml:space="preserve">toward </w:t>
      </w:r>
      <w:r w:rsidRPr="00DD2D90">
        <w:rPr>
          <w:rStyle w:val="StyleUnderline"/>
        </w:rPr>
        <w:t xml:space="preserve">the preference for </w:t>
      </w:r>
      <w:r w:rsidRPr="00DD2D90">
        <w:rPr>
          <w:rStyle w:val="StyleUnderline"/>
          <w:highlight w:val="green"/>
        </w:rPr>
        <w:t>vertical</w:t>
      </w:r>
      <w:r w:rsidRPr="00DD2D90">
        <w:rPr>
          <w:rStyle w:val="StyleUnderline"/>
        </w:rPr>
        <w:t xml:space="preserve"> interventions</w:t>
      </w:r>
      <w:r w:rsidRPr="00223414">
        <w:rPr>
          <w:sz w:val="16"/>
        </w:rPr>
        <w:t xml:space="preserve">. This renewed stance emphasized “macroeconomic” policies that involved national and international economic relationships (rather than the “microeconomic” policies pertinent to markets for specific goods and services), as well as the roles of public health and health services in these broad economic relationships. The orientation emerged largely from the efforts of the World Bank and affiliated international financial institutions, as well as key private foundations. Again </w:t>
      </w:r>
      <w:r w:rsidRPr="00DD2D90">
        <w:rPr>
          <w:rStyle w:val="StyleUnderline"/>
        </w:rPr>
        <w:t xml:space="preserve">attention turned to vaccines and medications as </w:t>
      </w:r>
      <w:r w:rsidRPr="00DD2D90">
        <w:rPr>
          <w:rStyle w:val="StyleUnderline"/>
          <w:highlight w:val="green"/>
        </w:rPr>
        <w:t>tech</w:t>
      </w:r>
      <w:r w:rsidRPr="00DD2D90">
        <w:rPr>
          <w:rStyle w:val="StyleUnderline"/>
        </w:rPr>
        <w:t xml:space="preserve">nological </w:t>
      </w:r>
      <w:r w:rsidRPr="00DD2D90">
        <w:rPr>
          <w:rStyle w:val="StyleUnderline"/>
          <w:highlight w:val="green"/>
        </w:rPr>
        <w:t>solutions</w:t>
      </w:r>
      <w:r w:rsidRPr="00DD2D90">
        <w:rPr>
          <w:rStyle w:val="StyleUnderline"/>
        </w:rPr>
        <w:t xml:space="preserve"> to the health problems of the global South</w:t>
      </w:r>
      <w:r w:rsidRPr="00223414">
        <w:rPr>
          <w:sz w:val="16"/>
        </w:rPr>
        <w:t xml:space="preserve">. This orientation further facilitated the financial operations of multinational corporations in these countries. The Report of the Commission on Macroeconomics and Health: Investing in Health for Economic Development (hereafter, Report), published by WHO in 2001, defined the relationships between health and the economy in the context of imperialism.23 This Report led to a series of WHO projects on economic issues in health policy, health services, and public health. Many of the Report‘s conceptual and methodological approaches mirrored the World Bank’s orientation to health and economic development. Partly for that reason, </w:t>
      </w:r>
      <w:r w:rsidRPr="00DD2D90">
        <w:rPr>
          <w:rStyle w:val="StyleUnderline"/>
        </w:rPr>
        <w:t xml:space="preserve">the Report gave a revealing picture of the </w:t>
      </w:r>
      <w:r w:rsidRPr="00DD2D90">
        <w:rPr>
          <w:rStyle w:val="Emphasis"/>
        </w:rPr>
        <w:t>dominant</w:t>
      </w:r>
      <w:r w:rsidRPr="00DD2D90">
        <w:rPr>
          <w:rStyle w:val="StyleUnderline"/>
        </w:rPr>
        <w:t xml:space="preserve"> </w:t>
      </w:r>
      <w:r w:rsidRPr="00DD2D90">
        <w:rPr>
          <w:rStyle w:val="Emphasis"/>
        </w:rPr>
        <w:t>ideology</w:t>
      </w:r>
      <w:r w:rsidRPr="00DD2D90">
        <w:rPr>
          <w:rStyle w:val="StyleUnderline"/>
        </w:rPr>
        <w:t xml:space="preserve"> that shaped </w:t>
      </w:r>
      <w:r w:rsidRPr="00DD2D90">
        <w:rPr>
          <w:rStyle w:val="Emphasis"/>
        </w:rPr>
        <w:t>imperial</w:t>
      </w:r>
      <w:r w:rsidRPr="00DD2D90">
        <w:rPr>
          <w:rStyle w:val="StyleUnderline"/>
        </w:rPr>
        <w:t xml:space="preserve"> health policies</w:t>
      </w:r>
      <w:r w:rsidRPr="00223414">
        <w:rPr>
          <w:sz w:val="16"/>
        </w:rPr>
        <w:t xml:space="preserve">. Most of the commissioners responsible for the Report had extensive experience with the World Bank, IMF, or other international financial institutions. The commissioners showed little background in collaborating with other types of social organizations. Notably absent among the commissioners were representatives of political parties, unions, professional organizations in medicine and public health, organizations of indigenous or ethnic/racial minorities, activists in occupational and environmental health, or members of the worldwide movement targeting economic globalization. The Report emphasized its central theme at the beginning: “Improving the health and longevity of the poor is, in one sense, an end in itself, a fundamental goal of economic development. But it is also a means to achieving the other development goals relating to poverty reduction.”26 Therefore the goal of improving health conditions of the poor became a key element of economic development strategies. From this viewpoint, </w:t>
      </w:r>
      <w:r w:rsidRPr="00DD2D90">
        <w:rPr>
          <w:rStyle w:val="StyleUnderline"/>
        </w:rPr>
        <w:t>reducing the burden of the endemic infections that plagued the poorest countries</w:t>
      </w:r>
      <w:r w:rsidRPr="00223414">
        <w:rPr>
          <w:sz w:val="16"/>
        </w:rPr>
        <w:t>—AIDS, tuberculosis, and malaria—</w:t>
      </w:r>
      <w:r w:rsidRPr="00DD2D90">
        <w:rPr>
          <w:rStyle w:val="StyleUnderline"/>
        </w:rPr>
        <w:t>would increase</w:t>
      </w:r>
      <w:r w:rsidRPr="00223414">
        <w:rPr>
          <w:sz w:val="16"/>
        </w:rPr>
        <w:t xml:space="preserve"> </w:t>
      </w:r>
      <w:r w:rsidRPr="00DD2D90">
        <w:rPr>
          <w:rStyle w:val="StyleUnderline"/>
        </w:rPr>
        <w:t>workforce productivity and facilitate investment</w:t>
      </w:r>
      <w:r w:rsidRPr="00223414">
        <w:rPr>
          <w:sz w:val="16"/>
        </w:rPr>
        <w:t xml:space="preserve">. A policy emphasis on “investing in health” (the Report‘s subtitle) echoed the influential and controversial World Development Report, Investing in Health, published in 1993 by the World Bank.27 The terminology of the title conveyed a double meaning—investing in health to improve health and productivity; and investing capital as a route to private profit in the health sector. These two meanings of investment, complementary but distinct, pervaded the macroeconomic Report. As Jeffrey Sachs, the Commission’s chair (an economist previously known for “shock therapy” in the implementation of neoliberal policies of public-sector cutbacks in Bolivia and Poland), stated in an address about the Report‘s public health implications at the American Public Health Association’s annual meeting in 2001, “What investor would invest his capital in a malarial country?”28 In asserting that disease was a major determinant of poverty, </w:t>
      </w:r>
      <w:r w:rsidRPr="00DD2D90">
        <w:rPr>
          <w:rStyle w:val="StyleUnderline"/>
        </w:rPr>
        <w:t>the Report</w:t>
      </w:r>
      <w:r w:rsidRPr="00223414">
        <w:rPr>
          <w:sz w:val="16"/>
        </w:rPr>
        <w:t xml:space="preserve"> argued that investments to improve health comprised a key strategy toward economic development, </w:t>
      </w:r>
      <w:r w:rsidRPr="00DD2D90">
        <w:rPr>
          <w:rStyle w:val="StyleUnderline"/>
        </w:rPr>
        <w:t>distancing itself from prior interpretations of poverty as a cause of disease</w:t>
      </w:r>
      <w:r w:rsidRPr="00223414">
        <w:rPr>
          <w:sz w:val="16"/>
        </w:rPr>
        <w:t xml:space="preserve">. Instead, the Report emphasized various data on the “channels of influence from disease to economic development.”29 The Report deemphasized social determinants of disease, such as class hierarchies, inequalities of income and wealth, and racial discrimination. Although the Report referred to health as “an end in itself,” the focus on economic productivity diminished the importance of health itself as a fundamental human right. More recently, </w:t>
      </w:r>
      <w:r w:rsidRPr="00DD2D90">
        <w:rPr>
          <w:rStyle w:val="StyleUnderline"/>
        </w:rPr>
        <w:t>WHO</w:t>
      </w:r>
      <w:r w:rsidRPr="00223414">
        <w:rPr>
          <w:sz w:val="16"/>
        </w:rPr>
        <w:t xml:space="preserve"> has vacillated between two markedly different visions of global health. On the one hand, it has </w:t>
      </w:r>
      <w:r w:rsidRPr="00DD2D90">
        <w:rPr>
          <w:rStyle w:val="StyleUnderline"/>
        </w:rPr>
        <w:t>continued to pursue the vertically oriented emphasis on vaccines and medications rather than the horizontally oriented advocacy of comprehensive public health systems and access to services</w:t>
      </w:r>
      <w:r w:rsidRPr="00223414">
        <w:rPr>
          <w:sz w:val="16"/>
        </w:rPr>
        <w:t xml:space="preserve">. With this orientation, </w:t>
      </w:r>
      <w:r w:rsidRPr="00DD2D90">
        <w:rPr>
          <w:rStyle w:val="StyleUnderline"/>
          <w:highlight w:val="green"/>
        </w:rPr>
        <w:t>WHO</w:t>
      </w:r>
      <w:r w:rsidRPr="00223414">
        <w:rPr>
          <w:sz w:val="16"/>
        </w:rPr>
        <w:t xml:space="preserve"> has </w:t>
      </w:r>
      <w:r w:rsidRPr="00DD2D90">
        <w:rPr>
          <w:rStyle w:val="StyleUnderline"/>
          <w:highlight w:val="green"/>
        </w:rPr>
        <w:t>collaborated with WTO</w:t>
      </w:r>
      <w:r w:rsidRPr="00223414">
        <w:rPr>
          <w:sz w:val="16"/>
        </w:rPr>
        <w:t xml:space="preserve"> (with headquarters close to WHO’s in Geneva), </w:t>
      </w:r>
      <w:r w:rsidRPr="00DD2D90">
        <w:rPr>
          <w:rStyle w:val="StyleUnderline"/>
        </w:rPr>
        <w:t xml:space="preserve">in trade agreements </w:t>
      </w:r>
      <w:r w:rsidRPr="00DD2D90">
        <w:rPr>
          <w:rStyle w:val="StyleUnderline"/>
          <w:highlight w:val="green"/>
        </w:rPr>
        <w:t>that limit</w:t>
      </w:r>
      <w:r w:rsidRPr="00DD2D90">
        <w:rPr>
          <w:rStyle w:val="StyleUnderline"/>
        </w:rPr>
        <w:t xml:space="preserve"> </w:t>
      </w:r>
      <w:r w:rsidRPr="00DD2D90">
        <w:rPr>
          <w:rStyle w:val="StyleUnderline"/>
          <w:highlight w:val="green"/>
        </w:rPr>
        <w:t>governments’ ability to protect public health</w:t>
      </w:r>
      <w:r w:rsidRPr="00223414">
        <w:rPr>
          <w:sz w:val="16"/>
        </w:rPr>
        <w:t xml:space="preserve"> and medical services.30 On the other hand, WHO has responded intermittently to a worldwide constituency calling for greater attention to the social determinants of health. The latter orientation led to an influential report on social determinants and some suggestions about policy changes that would improve social conditions leading to ill health and early death.31 In research and policy analysis, economic inequality consistently has emerged as the most important social determinant crying out for dramatic changes in policy. Meanwhile, existing policies continue to worsen inequality in the United States and many other countries. The Ebola epidemic epitomizes the failures of WHO’s leadership and the vertically oriented policies of the past. </w:t>
      </w:r>
      <w:r w:rsidRPr="00DD2D90">
        <w:rPr>
          <w:rStyle w:val="StyleUnderline"/>
          <w:highlight w:val="green"/>
        </w:rPr>
        <w:t>From its</w:t>
      </w:r>
      <w:r w:rsidRPr="00DD2D90">
        <w:rPr>
          <w:rStyle w:val="StyleUnderline"/>
        </w:rPr>
        <w:t xml:space="preserve"> underfunded circumstances and </w:t>
      </w:r>
      <w:r w:rsidRPr="00DD2D90">
        <w:rPr>
          <w:rStyle w:val="StyleUnderline"/>
          <w:highlight w:val="green"/>
        </w:rPr>
        <w:t>dependency on the World Bank and</w:t>
      </w:r>
      <w:r w:rsidRPr="00DD2D90">
        <w:rPr>
          <w:rStyle w:val="StyleUnderline"/>
        </w:rPr>
        <w:t xml:space="preserve"> </w:t>
      </w:r>
      <w:r w:rsidRPr="00DD2D90">
        <w:rPr>
          <w:rStyle w:val="StyleUnderline"/>
          <w:highlight w:val="green"/>
        </w:rPr>
        <w:t>Gates</w:t>
      </w:r>
      <w:r w:rsidRPr="00DD2D90">
        <w:rPr>
          <w:rStyle w:val="StyleUnderline"/>
        </w:rPr>
        <w:t xml:space="preserve"> Foundation, </w:t>
      </w:r>
      <w:r w:rsidRPr="00DD2D90">
        <w:rPr>
          <w:rStyle w:val="StyleUnderline"/>
          <w:highlight w:val="green"/>
        </w:rPr>
        <w:t xml:space="preserve">WHO mounted a </w:t>
      </w:r>
      <w:r w:rsidRPr="00DD2D90">
        <w:rPr>
          <w:rStyle w:val="Emphasis"/>
          <w:highlight w:val="green"/>
        </w:rPr>
        <w:t>delayed</w:t>
      </w:r>
      <w:r w:rsidRPr="00DD2D90">
        <w:rPr>
          <w:rStyle w:val="StyleUnderline"/>
          <w:highlight w:val="green"/>
        </w:rPr>
        <w:t xml:space="preserve"> and </w:t>
      </w:r>
      <w:r w:rsidRPr="00DD2D90">
        <w:rPr>
          <w:rStyle w:val="Emphasis"/>
          <w:highlight w:val="green"/>
        </w:rPr>
        <w:t>hopelessly</w:t>
      </w:r>
      <w:r w:rsidRPr="00DD2D90">
        <w:rPr>
          <w:rStyle w:val="StyleUnderline"/>
          <w:highlight w:val="green"/>
        </w:rPr>
        <w:t xml:space="preserve"> inadequate response to the epidemic</w:t>
      </w:r>
      <w:r w:rsidRPr="00223414">
        <w:rPr>
          <w:sz w:val="16"/>
        </w:rPr>
        <w:t xml:space="preserve">. As usual, a race for the magic bullet emerged, with predictable financial bonanzas for the pharmaceutical industry. But </w:t>
      </w:r>
      <w:r w:rsidRPr="00DD2D90">
        <w:rPr>
          <w:rStyle w:val="StyleUnderline"/>
        </w:rPr>
        <w:t>because no effective vaccine or treatment of Ebola</w:t>
      </w:r>
      <w:r w:rsidRPr="00223414">
        <w:rPr>
          <w:sz w:val="16"/>
        </w:rPr>
        <w:t xml:space="preserve"> yet </w:t>
      </w:r>
      <w:r w:rsidRPr="00DD2D90">
        <w:rPr>
          <w:rStyle w:val="StyleUnderline"/>
        </w:rPr>
        <w:t>exists</w:t>
      </w:r>
      <w:r w:rsidRPr="00223414">
        <w:rPr>
          <w:sz w:val="16"/>
        </w:rPr>
        <w:t xml:space="preserve">, an </w:t>
      </w:r>
      <w:r w:rsidRPr="00DD2D90">
        <w:rPr>
          <w:rStyle w:val="StyleUnderline"/>
        </w:rPr>
        <w:t>infrastructure</w:t>
      </w:r>
      <w:r w:rsidRPr="00223414">
        <w:rPr>
          <w:sz w:val="16"/>
        </w:rPr>
        <w:t xml:space="preserve"> of clinics and hospitals </w:t>
      </w:r>
      <w:r w:rsidRPr="00DD2D90">
        <w:rPr>
          <w:rStyle w:val="StyleUnderline"/>
        </w:rPr>
        <w:t>must provide</w:t>
      </w:r>
      <w:r w:rsidRPr="00223414">
        <w:rPr>
          <w:sz w:val="16"/>
        </w:rPr>
        <w:t xml:space="preserve"> </w:t>
      </w:r>
      <w:r w:rsidRPr="00DD2D90">
        <w:rPr>
          <w:rStyle w:val="StyleUnderline"/>
        </w:rPr>
        <w:t>supportive services</w:t>
      </w:r>
      <w:r w:rsidRPr="00223414">
        <w:rPr>
          <w:sz w:val="16"/>
        </w:rPr>
        <w:t xml:space="preserve"> like hydration and blood products, </w:t>
      </w:r>
      <w:r w:rsidRPr="00DD2D90">
        <w:rPr>
          <w:rStyle w:val="StyleUnderline"/>
        </w:rPr>
        <w:t>as well as educational efforts and</w:t>
      </w:r>
      <w:r w:rsidRPr="00223414">
        <w:rPr>
          <w:sz w:val="16"/>
        </w:rPr>
        <w:t xml:space="preserve"> simple </w:t>
      </w:r>
      <w:r w:rsidRPr="00DD2D90">
        <w:rPr>
          <w:rStyle w:val="StyleUnderline"/>
        </w:rPr>
        <w:t>supplies</w:t>
      </w:r>
      <w:r w:rsidRPr="00223414">
        <w:rPr>
          <w:sz w:val="16"/>
        </w:rPr>
        <w:t xml:space="preserve"> such as adequate gloves and materials </w:t>
      </w:r>
      <w:r w:rsidRPr="00DD2D90">
        <w:rPr>
          <w:rStyle w:val="StyleUnderline"/>
        </w:rPr>
        <w:t>to block transmission</w:t>
      </w:r>
      <w:r w:rsidRPr="00223414">
        <w:rPr>
          <w:sz w:val="16"/>
        </w:rPr>
        <w:t xml:space="preserve"> of the virus. Such an </w:t>
      </w:r>
      <w:r w:rsidRPr="00DD2D90">
        <w:rPr>
          <w:rStyle w:val="StyleUnderline"/>
        </w:rPr>
        <w:t>infrastructure</w:t>
      </w:r>
      <w:r w:rsidRPr="00223414">
        <w:rPr>
          <w:sz w:val="16"/>
        </w:rPr>
        <w:t xml:space="preserve">, </w:t>
      </w:r>
      <w:r w:rsidRPr="00DD2D90">
        <w:rPr>
          <w:rStyle w:val="Emphasis"/>
        </w:rPr>
        <w:t>nonexistent</w:t>
      </w:r>
      <w:r w:rsidRPr="00223414">
        <w:rPr>
          <w:sz w:val="16"/>
        </w:rPr>
        <w:t xml:space="preserve"> </w:t>
      </w:r>
      <w:r w:rsidRPr="00DD2D90">
        <w:rPr>
          <w:rStyle w:val="StyleUnderline"/>
        </w:rPr>
        <w:t>in</w:t>
      </w:r>
      <w:r w:rsidRPr="00223414">
        <w:rPr>
          <w:sz w:val="16"/>
        </w:rPr>
        <w:t xml:space="preserve"> West </w:t>
      </w:r>
      <w:r w:rsidRPr="00DD2D90">
        <w:rPr>
          <w:rStyle w:val="StyleUnderline"/>
        </w:rPr>
        <w:t>Africa</w:t>
      </w:r>
      <w:r w:rsidRPr="00223414">
        <w:rPr>
          <w:sz w:val="16"/>
        </w:rPr>
        <w:t xml:space="preserve"> largely due to failure of past public health policies, </w:t>
      </w:r>
      <w:r w:rsidRPr="00DD2D90">
        <w:rPr>
          <w:rStyle w:val="StyleUnderline"/>
        </w:rPr>
        <w:t>would prove feasible if the powers that be would recognize the practical benefits of a horizontal approach to the development of public health infrastructure</w:t>
      </w:r>
      <w:r w:rsidRPr="00223414">
        <w:rPr>
          <w:sz w:val="16"/>
        </w:rPr>
        <w:t xml:space="preserve">. But </w:t>
      </w:r>
      <w:r w:rsidRPr="00DD2D90">
        <w:rPr>
          <w:rStyle w:val="StyleUnderline"/>
        </w:rPr>
        <w:t xml:space="preserve">that approach </w:t>
      </w:r>
      <w:r w:rsidRPr="00DD2D90">
        <w:rPr>
          <w:rStyle w:val="Emphasis"/>
        </w:rPr>
        <w:t>contradicts</w:t>
      </w:r>
      <w:r w:rsidRPr="00223414">
        <w:rPr>
          <w:sz w:val="16"/>
        </w:rPr>
        <w:t xml:space="preserve"> a long tradition of top-down </w:t>
      </w:r>
      <w:r w:rsidRPr="00DD2D90">
        <w:rPr>
          <w:rStyle w:val="StyleUnderline"/>
          <w:highlight w:val="green"/>
        </w:rPr>
        <w:t>vertical policies</w:t>
      </w:r>
      <w:r w:rsidRPr="00DD2D90">
        <w:rPr>
          <w:rStyle w:val="StyleUnderline"/>
        </w:rPr>
        <w:t xml:space="preserve"> that have </w:t>
      </w:r>
      <w:r w:rsidRPr="00DD2D90">
        <w:rPr>
          <w:rStyle w:val="StyleUnderline"/>
          <w:highlight w:val="green"/>
        </w:rPr>
        <w:t>nurtured the</w:t>
      </w:r>
      <w:r w:rsidRPr="00223414">
        <w:rPr>
          <w:sz w:val="16"/>
        </w:rPr>
        <w:t xml:space="preserve"> political and </w:t>
      </w:r>
      <w:r w:rsidRPr="00DD2D90">
        <w:rPr>
          <w:rStyle w:val="Emphasis"/>
          <w:highlight w:val="green"/>
        </w:rPr>
        <w:t>economic</w:t>
      </w:r>
      <w:r w:rsidRPr="00DD2D90">
        <w:rPr>
          <w:rStyle w:val="StyleUnderline"/>
          <w:highlight w:val="green"/>
        </w:rPr>
        <w:t xml:space="preserve"> </w:t>
      </w:r>
      <w:r w:rsidRPr="00DD2D90">
        <w:rPr>
          <w:rStyle w:val="Emphasis"/>
          <w:highlight w:val="green"/>
        </w:rPr>
        <w:t>foundations</w:t>
      </w:r>
      <w:r w:rsidRPr="00DD2D90">
        <w:rPr>
          <w:rStyle w:val="StyleUnderline"/>
          <w:highlight w:val="green"/>
        </w:rPr>
        <w:t xml:space="preserve"> of</w:t>
      </w:r>
      <w:r w:rsidRPr="00223414">
        <w:rPr>
          <w:sz w:val="16"/>
          <w:highlight w:val="green"/>
        </w:rPr>
        <w:t xml:space="preserve"> </w:t>
      </w:r>
      <w:r w:rsidRPr="00DD2D90">
        <w:rPr>
          <w:rStyle w:val="StyleUnderline"/>
          <w:highlight w:val="green"/>
        </w:rPr>
        <w:t>empire</w:t>
      </w:r>
      <w:r w:rsidRPr="00223414">
        <w:rPr>
          <w:sz w:val="16"/>
        </w:rPr>
        <w:t xml:space="preserve">. Conclusion: Recycling Public Health Interventions and an Emerging Challenge </w:t>
      </w:r>
    </w:p>
    <w:p w14:paraId="74C127DD" w14:textId="77777777" w:rsidR="00FA1D49" w:rsidRPr="00223414" w:rsidRDefault="00FA1D49">
      <w:pPr>
        <w:rPr>
          <w:rFonts w:eastAsiaTheme="majorEastAsia" w:cstheme="majorBidi"/>
          <w:b/>
          <w:iCs/>
          <w:sz w:val="16"/>
        </w:rPr>
      </w:pPr>
      <w:r w:rsidRPr="00223414">
        <w:rPr>
          <w:sz w:val="16"/>
        </w:rPr>
        <w:br w:type="page"/>
      </w:r>
    </w:p>
    <w:p w14:paraId="5B6A35C7" w14:textId="5FDB2256" w:rsidR="00371C92" w:rsidRPr="00223414" w:rsidRDefault="00CF0D49" w:rsidP="00371C92">
      <w:pPr>
        <w:pStyle w:val="Heading4"/>
        <w:rPr>
          <w:szCs w:val="26"/>
        </w:rPr>
      </w:pPr>
      <w:r w:rsidRPr="00223414">
        <w:rPr>
          <w:szCs w:val="26"/>
        </w:rPr>
        <w:t>International finance forces s</w:t>
      </w:r>
      <w:r w:rsidR="00371C92" w:rsidRPr="00223414">
        <w:rPr>
          <w:szCs w:val="26"/>
        </w:rPr>
        <w:t xml:space="preserve">tructural adjustment </w:t>
      </w:r>
      <w:r w:rsidRPr="00223414">
        <w:rPr>
          <w:szCs w:val="26"/>
        </w:rPr>
        <w:t>to create</w:t>
      </w:r>
      <w:r w:rsidR="00371C92" w:rsidRPr="00223414">
        <w:rPr>
          <w:szCs w:val="26"/>
        </w:rPr>
        <w:t xml:space="preserve"> new commodity markets</w:t>
      </w:r>
      <w:r w:rsidR="00B926C1" w:rsidRPr="00223414">
        <w:rPr>
          <w:szCs w:val="26"/>
        </w:rPr>
        <w:t xml:space="preserve"> for healthcare</w:t>
      </w:r>
    </w:p>
    <w:p w14:paraId="33B0DD4A" w14:textId="77777777" w:rsidR="00371C92" w:rsidRPr="00DD2D90" w:rsidRDefault="00371C92" w:rsidP="00371C92">
      <w:r w:rsidRPr="00223414">
        <w:rPr>
          <w:b/>
          <w:bCs/>
          <w:sz w:val="26"/>
          <w:szCs w:val="26"/>
        </w:rPr>
        <w:t>Pushkar 18</w:t>
      </w:r>
      <w:r w:rsidRPr="00DD2D90">
        <w:t xml:space="preserve"> [Piyush Pushkar, NHS psychiatrist and PhD candidate at the University of Manchester, 2018, "NHS Activism: The Limits and Potentialities of a New Solidarity", PubMed Central (PMC), https://pmc.ncbi.nlm.nih.gov/articles/PMC6457273/]/Kankee</w:t>
      </w:r>
    </w:p>
    <w:p w14:paraId="4C37474A" w14:textId="5E3BCF88" w:rsidR="00371C92" w:rsidRPr="00223414" w:rsidRDefault="00371C92" w:rsidP="00371C92">
      <w:pPr>
        <w:rPr>
          <w:sz w:val="16"/>
        </w:rPr>
      </w:pPr>
      <w:r w:rsidRPr="00223414">
        <w:rPr>
          <w:sz w:val="16"/>
        </w:rPr>
        <w:t xml:space="preserve">The ethnographic literature documents the consequences of health care privatization for local populations, and their responses to it. Anthropologists have often described these consequences in morally weighted terms – in relation to oppression, immiseration, and inequality (Basilico et al. 2013; Pfeiffer and Chapman 2010). Drawing on Farmer’s work (1997, 2005), I suggest that the morality evinced by such terms is a judgement of the anthropologist rather than a focus of ethnographic investigation. Where morality is examined, it is often individual rather than group morality. This focus belies a relative paucity of literature on collective action against health care privatization. I situate the present study in this gap in the literature. In poorer countries, especially in Latin America and Africa, </w:t>
      </w:r>
      <w:r w:rsidRPr="00DD2D90">
        <w:rPr>
          <w:rStyle w:val="StyleUnderline"/>
        </w:rPr>
        <w:t>anthropologists</w:t>
      </w:r>
      <w:r w:rsidRPr="00223414">
        <w:rPr>
          <w:sz w:val="16"/>
        </w:rPr>
        <w:t xml:space="preserve"> have </w:t>
      </w:r>
      <w:r w:rsidRPr="00DD2D90">
        <w:rPr>
          <w:rStyle w:val="StyleUnderline"/>
        </w:rPr>
        <w:t>examined</w:t>
      </w:r>
      <w:r w:rsidRPr="00223414">
        <w:rPr>
          <w:sz w:val="16"/>
        </w:rPr>
        <w:t xml:space="preserve"> the effects of </w:t>
      </w:r>
      <w:r w:rsidRPr="00DD2D90">
        <w:rPr>
          <w:rStyle w:val="StyleUnderline"/>
          <w:highlight w:val="green"/>
        </w:rPr>
        <w:t>s</w:t>
      </w:r>
      <w:r w:rsidRPr="00DD2D90">
        <w:rPr>
          <w:rStyle w:val="StyleUnderline"/>
        </w:rPr>
        <w:t xml:space="preserve">tructural </w:t>
      </w:r>
      <w:r w:rsidRPr="00DD2D90">
        <w:rPr>
          <w:rStyle w:val="StyleUnderline"/>
          <w:highlight w:val="green"/>
        </w:rPr>
        <w:t>a</w:t>
      </w:r>
      <w:r w:rsidRPr="00DD2D90">
        <w:rPr>
          <w:rStyle w:val="StyleUnderline"/>
        </w:rPr>
        <w:t>djustment</w:t>
      </w:r>
      <w:r w:rsidRPr="00223414">
        <w:rPr>
          <w:sz w:val="16"/>
        </w:rPr>
        <w:t xml:space="preserve"> </w:t>
      </w:r>
      <w:r w:rsidRPr="00DD2D90">
        <w:rPr>
          <w:rStyle w:val="StyleUnderline"/>
          <w:highlight w:val="green"/>
        </w:rPr>
        <w:t>p</w:t>
      </w:r>
      <w:r w:rsidRPr="00DD2D90">
        <w:rPr>
          <w:rStyle w:val="StyleUnderline"/>
        </w:rPr>
        <w:t>rograms</w:t>
      </w:r>
      <w:r w:rsidRPr="00223414">
        <w:rPr>
          <w:sz w:val="16"/>
        </w:rPr>
        <w:t xml:space="preserve"> (Basilico et al. 2013:87). Transnational organizations such as the World Bank and the International Monetary Fund encouraged many of these countries to reduce the provision of state services and to replace these by privatization. </w:t>
      </w:r>
      <w:r w:rsidRPr="00DD2D90">
        <w:rPr>
          <w:rStyle w:val="StyleUnderline"/>
          <w:highlight w:val="green"/>
        </w:rPr>
        <w:t xml:space="preserve">Health care became a </w:t>
      </w:r>
      <w:r w:rsidRPr="00DD2D90">
        <w:rPr>
          <w:rStyle w:val="Emphasis"/>
          <w:highlight w:val="green"/>
        </w:rPr>
        <w:t>commodity</w:t>
      </w:r>
      <w:r w:rsidRPr="00DD2D90">
        <w:rPr>
          <w:rStyle w:val="StyleUnderline"/>
          <w:highlight w:val="green"/>
        </w:rPr>
        <w:t xml:space="preserve"> to be provided by the market rather than a </w:t>
      </w:r>
      <w:r w:rsidRPr="00DD2D90">
        <w:rPr>
          <w:rStyle w:val="Emphasis"/>
          <w:highlight w:val="green"/>
        </w:rPr>
        <w:t>right</w:t>
      </w:r>
      <w:r w:rsidRPr="00DD2D90">
        <w:rPr>
          <w:rStyle w:val="StyleUnderline"/>
          <w:highlight w:val="green"/>
        </w:rPr>
        <w:t xml:space="preserve"> to be protected by the state</w:t>
      </w:r>
      <w:r w:rsidRPr="00223414">
        <w:rPr>
          <w:sz w:val="16"/>
        </w:rPr>
        <w:t xml:space="preserve">. The World Bank argued that this would eventually lead to more efficiently delivered services with better access for citizens. </w:t>
      </w:r>
      <w:r w:rsidRPr="00DD2D90">
        <w:rPr>
          <w:rStyle w:val="StyleUnderline"/>
        </w:rPr>
        <w:t>Anthropologists</w:t>
      </w:r>
      <w:r w:rsidRPr="00223414">
        <w:rPr>
          <w:sz w:val="16"/>
        </w:rPr>
        <w:t xml:space="preserve"> who have investigated the actual experiences of individuals attempting to access these services have </w:t>
      </w:r>
      <w:r w:rsidRPr="00DD2D90">
        <w:rPr>
          <w:rStyle w:val="StyleUnderline"/>
        </w:rPr>
        <w:t>found increased immiseration, greater health inequalities</w:t>
      </w:r>
      <w:r w:rsidRPr="00223414">
        <w:rPr>
          <w:sz w:val="16"/>
        </w:rPr>
        <w:t xml:space="preserve"> (Pfeiffer and Chapman 2010) </w:t>
      </w:r>
      <w:r w:rsidRPr="00DD2D90">
        <w:rPr>
          <w:rStyle w:val="StyleUnderline"/>
        </w:rPr>
        <w:t>and worse public health indicators</w:t>
      </w:r>
      <w:r w:rsidRPr="00223414">
        <w:rPr>
          <w:sz w:val="16"/>
        </w:rPr>
        <w:t xml:space="preserve"> (Basilico et al. 2013). Farmer has elaborated these experiences, using the concept of structural violence (Farmer 1997) to describe and analyze the </w:t>
      </w:r>
      <w:r w:rsidRPr="00DD2D90">
        <w:rPr>
          <w:rStyle w:val="StyleUnderline"/>
        </w:rPr>
        <w:t>structural factors</w:t>
      </w:r>
      <w:r w:rsidRPr="00223414">
        <w:rPr>
          <w:sz w:val="16"/>
        </w:rPr>
        <w:t xml:space="preserve"> that </w:t>
      </w:r>
      <w:r w:rsidRPr="00DD2D90">
        <w:rPr>
          <w:rStyle w:val="StyleUnderline"/>
        </w:rPr>
        <w:t>lead to the suffering of the oppressed</w:t>
      </w:r>
      <w:r w:rsidRPr="00223414">
        <w:rPr>
          <w:sz w:val="16"/>
        </w:rPr>
        <w:t xml:space="preserve">. </w:t>
      </w:r>
      <w:r w:rsidRPr="00DD2D90">
        <w:rPr>
          <w:rStyle w:val="StyleUnderline"/>
        </w:rPr>
        <w:t>He characterized</w:t>
      </w:r>
      <w:r w:rsidRPr="00223414">
        <w:rPr>
          <w:sz w:val="16"/>
        </w:rPr>
        <w:t xml:space="preserve"> the implementation of </w:t>
      </w:r>
      <w:r w:rsidRPr="00DD2D90">
        <w:rPr>
          <w:rStyle w:val="StyleUnderline"/>
        </w:rPr>
        <w:t>structural adjustment</w:t>
      </w:r>
      <w:r w:rsidRPr="00223414">
        <w:rPr>
          <w:sz w:val="16"/>
        </w:rPr>
        <w:t xml:space="preserve"> (and thus </w:t>
      </w:r>
      <w:r w:rsidRPr="00DD2D90">
        <w:rPr>
          <w:rStyle w:val="StyleUnderline"/>
        </w:rPr>
        <w:t>health care privatization</w:t>
      </w:r>
      <w:r w:rsidRPr="00223414">
        <w:rPr>
          <w:sz w:val="16"/>
        </w:rPr>
        <w:t xml:space="preserve">) </w:t>
      </w:r>
      <w:r w:rsidRPr="00DD2D90">
        <w:rPr>
          <w:rStyle w:val="StyleUnderline"/>
        </w:rPr>
        <w:t>as</w:t>
      </w:r>
      <w:r w:rsidRPr="00223414">
        <w:rPr>
          <w:sz w:val="16"/>
        </w:rPr>
        <w:t xml:space="preserve"> one component of structural violence and, further, as </w:t>
      </w:r>
      <w:r w:rsidRPr="00DD2D90">
        <w:rPr>
          <w:rStyle w:val="StyleUnderline"/>
        </w:rPr>
        <w:t xml:space="preserve">a </w:t>
      </w:r>
      <w:r w:rsidRPr="00DD2D90">
        <w:rPr>
          <w:rStyle w:val="Emphasis"/>
        </w:rPr>
        <w:t>war on the poor</w:t>
      </w:r>
      <w:r w:rsidRPr="00223414">
        <w:rPr>
          <w:sz w:val="16"/>
        </w:rPr>
        <w:t xml:space="preserve"> (Farmer 2005). His work is largely focused on Haiti, where a strong, state-funded health system has never existed, but also on post-socialist countries such as Russia (Farmer 2005), where a previously existing </w:t>
      </w:r>
      <w:r w:rsidRPr="00DD2D90">
        <w:rPr>
          <w:rStyle w:val="StyleUnderline"/>
          <w:highlight w:val="green"/>
        </w:rPr>
        <w:t>state-funded health care infrastructure</w:t>
      </w:r>
      <w:r w:rsidRPr="00DD2D90">
        <w:rPr>
          <w:rStyle w:val="StyleUnderline"/>
        </w:rPr>
        <w:t xml:space="preserve"> </w:t>
      </w:r>
      <w:r w:rsidRPr="00DD2D90">
        <w:rPr>
          <w:rStyle w:val="StyleUnderline"/>
          <w:highlight w:val="green"/>
        </w:rPr>
        <w:t xml:space="preserve">was </w:t>
      </w:r>
      <w:r w:rsidRPr="00DD2D90">
        <w:rPr>
          <w:rStyle w:val="Emphasis"/>
          <w:highlight w:val="green"/>
        </w:rPr>
        <w:t>dismantled</w:t>
      </w:r>
      <w:r w:rsidRPr="00DD2D90">
        <w:rPr>
          <w:rStyle w:val="StyleUnderline"/>
          <w:highlight w:val="green"/>
        </w:rPr>
        <w:t>, creating a space for privatized health care</w:t>
      </w:r>
      <w:r w:rsidRPr="00223414">
        <w:rPr>
          <w:sz w:val="16"/>
        </w:rPr>
        <w:t xml:space="preserve">. Farmer finds less space for investigating how these groups might coalesce to take collective action to resist privatization. One counter example is his description of the Zapatista rebellion (Farmer 2005), and the inclusion of the privatization of health care and subsequent restriction of access to it as grievances. In supporting the Zapatista cause, and imploring the reader to do so, he takes an explicitly moral stance in the evaluation of health care generally and privatization specifically. He argues that the duty of the health care professional, and the anthropologist, is to “bear witness” (Farmer 2005:27), to listen to the poor, since abuses of human rights are best understood from the perspective of those whose rights are being trampled. Solidarity begins with this attempt to identify with the people using health care (see also Horton et al. 2014 in the US). When Farmer describes the resistance of health care users, his emphasis is not on theorizing their morality, but affirming it. I emphasize this because he thus misses an opportunity to consider how the moral arguments of actors can contribute to the strengths and weaknesses of a social movement. </w:t>
      </w:r>
    </w:p>
    <w:p w14:paraId="2EC1D506" w14:textId="77777777" w:rsidR="00FA1D49" w:rsidRPr="00223414" w:rsidRDefault="00FA1D49">
      <w:pPr>
        <w:rPr>
          <w:rFonts w:eastAsiaTheme="majorEastAsia" w:cstheme="majorBidi"/>
          <w:b/>
          <w:iCs/>
          <w:sz w:val="16"/>
        </w:rPr>
      </w:pPr>
      <w:r w:rsidRPr="00223414">
        <w:rPr>
          <w:sz w:val="16"/>
        </w:rPr>
        <w:br w:type="page"/>
      </w:r>
    </w:p>
    <w:p w14:paraId="7E492024" w14:textId="31233555" w:rsidR="00893021" w:rsidRPr="00223414" w:rsidRDefault="00893021" w:rsidP="00893021">
      <w:pPr>
        <w:pStyle w:val="Heading4"/>
        <w:rPr>
          <w:szCs w:val="26"/>
        </w:rPr>
      </w:pPr>
      <w:r w:rsidRPr="00223414">
        <w:rPr>
          <w:szCs w:val="26"/>
        </w:rPr>
        <w:t>IMF SAP</w:t>
      </w:r>
      <w:r w:rsidR="00213680" w:rsidRPr="00223414">
        <w:rPr>
          <w:szCs w:val="26"/>
        </w:rPr>
        <w:t xml:space="preserve"> </w:t>
      </w:r>
      <w:r w:rsidRPr="00223414">
        <w:rPr>
          <w:szCs w:val="26"/>
        </w:rPr>
        <w:t>cut</w:t>
      </w:r>
      <w:r w:rsidR="00213680" w:rsidRPr="00223414">
        <w:rPr>
          <w:szCs w:val="26"/>
        </w:rPr>
        <w:t>s to</w:t>
      </w:r>
      <w:r w:rsidRPr="00223414">
        <w:rPr>
          <w:szCs w:val="26"/>
        </w:rPr>
        <w:t xml:space="preserve"> healthcare </w:t>
      </w:r>
      <w:r w:rsidR="00277AD0" w:rsidRPr="00223414">
        <w:rPr>
          <w:szCs w:val="26"/>
        </w:rPr>
        <w:t>destroyed the Global South</w:t>
      </w:r>
    </w:p>
    <w:p w14:paraId="566305CE" w14:textId="77777777" w:rsidR="00893021" w:rsidRPr="00DD2D90" w:rsidRDefault="00893021" w:rsidP="00893021">
      <w:r w:rsidRPr="00223414">
        <w:rPr>
          <w:b/>
          <w:bCs/>
          <w:sz w:val="26"/>
          <w:szCs w:val="26"/>
        </w:rPr>
        <w:t>Hickel et al. 26</w:t>
      </w:r>
      <w:r w:rsidRPr="00DD2D90">
        <w:t xml:space="preserve"> [Jason Hickel, researcher of Political Science, Environmental Science, and Public Law at the Autonomous University of Barcelona, Salmaan Keshavjee, researcher at Harvard Medical School, Maxine Burkett, researcher at the William S. Richardson School of Law, and Eugene T Richardson, researcher at Harvard Medical School 3-23-2026, "Structural adjustment: damages, reparations and pathways to non-recurrence", BMJ Global Health, https://gh.bmj.com/content/11/Suppl_1/e017221]/Kankee</w:t>
      </w:r>
    </w:p>
    <w:p w14:paraId="2FE28C13" w14:textId="77777777" w:rsidR="00893021" w:rsidRPr="00223414" w:rsidRDefault="00893021" w:rsidP="00893021">
      <w:pPr>
        <w:rPr>
          <w:sz w:val="16"/>
        </w:rPr>
      </w:pPr>
      <w:r w:rsidRPr="00223414">
        <w:rPr>
          <w:sz w:val="16"/>
        </w:rPr>
        <w:t xml:space="preserve">Abstract Beginning in the 1980s and 1990s, the International Monetary Fund (IMF) and the World Bank implemented neoliberal structural adjustment programmes (SAPs) across most countries in Asia, Africa and Latin America. </w:t>
      </w:r>
      <w:r w:rsidRPr="00DD2D90">
        <w:rPr>
          <w:rStyle w:val="StyleUnderline"/>
          <w:highlight w:val="green"/>
        </w:rPr>
        <w:t>SAPs</w:t>
      </w:r>
      <w:r w:rsidRPr="00DD2D90">
        <w:rPr>
          <w:rStyle w:val="StyleUnderline"/>
        </w:rPr>
        <w:t xml:space="preserve"> imposed </w:t>
      </w:r>
      <w:r w:rsidRPr="00DD2D90">
        <w:rPr>
          <w:rStyle w:val="StyleUnderline"/>
          <w:highlight w:val="green"/>
        </w:rPr>
        <w:t>austerity</w:t>
      </w:r>
      <w:r w:rsidRPr="00223414">
        <w:rPr>
          <w:sz w:val="16"/>
        </w:rPr>
        <w:t xml:space="preserve">, privatisation and economic deregulation </w:t>
      </w:r>
      <w:r w:rsidRPr="00DD2D90">
        <w:rPr>
          <w:rStyle w:val="StyleUnderline"/>
        </w:rPr>
        <w:t>and</w:t>
      </w:r>
      <w:r w:rsidRPr="00223414">
        <w:rPr>
          <w:sz w:val="16"/>
        </w:rPr>
        <w:t xml:space="preserve"> </w:t>
      </w:r>
      <w:r w:rsidRPr="00DD2D90">
        <w:rPr>
          <w:rStyle w:val="StyleUnderline"/>
          <w:highlight w:val="green"/>
        </w:rPr>
        <w:t>have</w:t>
      </w:r>
      <w:r w:rsidRPr="00DD2D90">
        <w:rPr>
          <w:rStyle w:val="StyleUnderline"/>
        </w:rPr>
        <w:t xml:space="preserve"> been associated with </w:t>
      </w:r>
      <w:r w:rsidRPr="00DD2D90">
        <w:rPr>
          <w:rStyle w:val="StyleUnderline"/>
          <w:highlight w:val="green"/>
        </w:rPr>
        <w:t xml:space="preserve">severe negative </w:t>
      </w:r>
      <w:r w:rsidRPr="00DD2D90">
        <w:rPr>
          <w:rStyle w:val="StyleUnderline"/>
        </w:rPr>
        <w:t>impacts on human welfare, including</w:t>
      </w:r>
      <w:r w:rsidRPr="00223414">
        <w:rPr>
          <w:sz w:val="16"/>
        </w:rPr>
        <w:t xml:space="preserve"> (a) declining real wages and working-class consumption, (b) increased rates of poverty and basic-needs deprivation, (c) </w:t>
      </w:r>
      <w:r w:rsidRPr="00DD2D90">
        <w:rPr>
          <w:rStyle w:val="StyleUnderline"/>
        </w:rPr>
        <w:t xml:space="preserve">increased </w:t>
      </w:r>
      <w:r w:rsidRPr="00DD2D90">
        <w:rPr>
          <w:rStyle w:val="StyleUnderline"/>
          <w:highlight w:val="green"/>
        </w:rPr>
        <w:t>neonatal and maternal mortality and</w:t>
      </w:r>
      <w:r w:rsidRPr="00223414">
        <w:rPr>
          <w:sz w:val="16"/>
        </w:rPr>
        <w:t xml:space="preserve"> (d) </w:t>
      </w:r>
      <w:r w:rsidRPr="00DD2D90">
        <w:rPr>
          <w:rStyle w:val="StyleUnderline"/>
        </w:rPr>
        <w:t xml:space="preserve">reduced </w:t>
      </w:r>
      <w:r w:rsidRPr="00DD2D90">
        <w:rPr>
          <w:rStyle w:val="StyleUnderline"/>
          <w:highlight w:val="green"/>
        </w:rPr>
        <w:t>health system access</w:t>
      </w:r>
      <w:r w:rsidRPr="00DD2D90">
        <w:rPr>
          <w:rStyle w:val="StyleUnderline"/>
        </w:rPr>
        <w:t>.</w:t>
      </w:r>
      <w:r w:rsidRPr="00223414">
        <w:rPr>
          <w:sz w:val="16"/>
        </w:rPr>
        <w:t xml:space="preserve"> Structural adjustment also created conditions for increased financial outflows and drain from the global South through unequal exchange. This paper reviews evidence of these damages and proposes possible options for reparations and distributive justice. We argue that the IMF and the World Bank should be democratised and restructured—or otherwise replaced by alternative institutions—to prevent further harm. Summary box Structural adjustment programmes, implemented by the International Monetary Fund (IMF) and World Bank across the global South from the 1980s onward, are associated with substantial negative impacts on human health and welfare. This analysis summarises key findings from existing studies demonstrating the human impacts of structural adjustment. It argues that the IMF and World Bank should provide reparations for damages caused, and they should be restructured or replaced by alternative financial institutions to guarantee non-recurrence. The proposals developed in this study can ensure that, in the future, developing countries can access necessary finance without harmful conditions. Introduction Beginning in the 1980s and 1990s, the International Monetary Fund (IMF) and the World Bank implemented structural adjustment programmes (SAPs) across most countries in Asia, Africa and Latin America. SAPs imposed austerity, privatisation and economic deregulation and have been associated with severe negative impacts on health outcomes and human welfare. In this brief analysis, we describe evidence of these damages and develop an argument for reparations and distributive justice. The move to implement SAPs is best understood in the context of historical dynamics of international political economy. For most of the past 500 years, the world economy has been broadly structured such that growth and capital accumulation in the core (Western Europe and the European settler colonies of the US, Canada, Australia and New Zealand, often collectively referred to as the global North) depends on inputs of cheap labour and resources from the peripheries (Asia, Africa and Latin America, often collectively referred to as the global South).1 2 This arrangement was challenged in the middle of the 20th century, as political movements across Asia, Africa and Latin America succeeded in overthrowing colonial and neo-colonial forces. Progressive governments rose to power across these regions, began dismantling the colonial economic arrangement and reorganised production more around local human needs and national development.3 4 They introduced land reforms, labour rights and capital controls; they invested in public healthcare and education; they nationalised key resources; and they used industrial policy and planning to build economic sovereignty. These developmentalist strategies were remarkably successful.5 From the 1950s through the 1970s, real per capita income grew at an average of 3.2% per year across the South, and countries achieved substantial improvements in social outcomes.6 The success of the progressive movement posed a problem for Northern powers, however, as developmentalist policies restricted their access to the cheap labour, resources and captive markets they had enjoyed under colonialism, constraining their growth and profits. They responded in two ways. First, by intervening militarily to topple progressive leaders and reverse developmentalist reforms, such as with the coups against Mossadegh in Iran, Lumumba in the Republic of the Congo, Arbenz in Guatemala, Allende in Chile, Nkrumah in Ghana and others, often installing right-wing dictatorships in their place.7 8 Second, they leveraged their power as lenders of the world’s reserve currencies to attach economic conditions to finance. Global South countries are obliged to borrow or otherwise obtain core currencies—such as the US dollar and the Euro—to pay for necessary imports such as energy and producer goods. This was particularly necessary during the process of early industrial development. This makes them vulnerable to interest rate changes in currencies that they do not control. In the late 1970s, the US Federal Reserve dramatically increased interest rates, triggering a debt crisis across the global South.9 To protect US banks from the risk of Southern default, the US sought to ensure repayment by rolling over Southern debts on the condition that Southern governments implement SAPs under the IMF and the World Bank. SAPs included three main measures: Austerity: cuts to public healthcare, education, food, social security, etc. Privatisation: transfer of public services, public industries and assets to private capital. Deregulation: removal of industrial policy, tariffs, capital controls and labour protections. In other words, structural adjustment imposed neoliberal shock therapy on the South, reversing the progressive reforms that had been so successful during the 1960s and 1970s.4 9 10 It re-cheapened labour and resources, forced open Southern markets and also organised Southern production around supplying Northern firms through global commodity chains.11 </w:t>
      </w:r>
      <w:r w:rsidRPr="00DD2D90">
        <w:rPr>
          <w:rStyle w:val="StyleUnderline"/>
          <w:highlight w:val="green"/>
        </w:rPr>
        <w:t>Countries</w:t>
      </w:r>
      <w:r w:rsidRPr="00DD2D90">
        <w:rPr>
          <w:rStyle w:val="StyleUnderline"/>
        </w:rPr>
        <w:t xml:space="preserve"> targeted by these measures </w:t>
      </w:r>
      <w:r w:rsidRPr="00DD2D90">
        <w:rPr>
          <w:rStyle w:val="StyleUnderline"/>
          <w:highlight w:val="green"/>
        </w:rPr>
        <w:t>had little choice</w:t>
      </w:r>
      <w:r w:rsidRPr="00DD2D90">
        <w:rPr>
          <w:rStyle w:val="StyleUnderline"/>
        </w:rPr>
        <w:t xml:space="preserve"> in this matter; many governments considered default to be risky, on the grounds that </w:t>
      </w:r>
      <w:r w:rsidRPr="00DD2D90">
        <w:rPr>
          <w:rStyle w:val="StyleUnderline"/>
          <w:highlight w:val="green"/>
        </w:rPr>
        <w:t>they might be punished by financial markets</w:t>
      </w:r>
      <w:r w:rsidRPr="00DD2D90">
        <w:rPr>
          <w:rStyle w:val="StyleUnderline"/>
        </w:rPr>
        <w:t>,</w:t>
      </w:r>
      <w:r w:rsidRPr="00223414">
        <w:rPr>
          <w:sz w:val="16"/>
        </w:rPr>
        <w:t xml:space="preserve"> and rules under the Baker Plan (a US proposal for debt restructuring) prevented them from accessing finance via other private or bilateral lenders.5 In some cases, capitalists within the global South embraced SAPs because they saw opportunities to increase their own profits, for example by taking advantage of weakened labour standards and environmental protections. </w:t>
      </w:r>
      <w:r w:rsidRPr="00DD2D90">
        <w:rPr>
          <w:rStyle w:val="StyleUnderline"/>
        </w:rPr>
        <w:t xml:space="preserve">Through structural adjustment, </w:t>
      </w:r>
      <w:r w:rsidRPr="00DD2D90">
        <w:rPr>
          <w:rStyle w:val="StyleUnderline"/>
          <w:highlight w:val="green"/>
        </w:rPr>
        <w:t>Western institutions assumed</w:t>
      </w:r>
      <w:r w:rsidRPr="00DD2D90">
        <w:rPr>
          <w:rStyle w:val="StyleUnderline"/>
        </w:rPr>
        <w:t xml:space="preserve"> </w:t>
      </w:r>
      <w:r w:rsidRPr="00DD2D90">
        <w:rPr>
          <w:rStyle w:val="StyleUnderline"/>
          <w:highlight w:val="green"/>
        </w:rPr>
        <w:t>de facto control over economic policy in global South countries</w:t>
      </w:r>
      <w:r w:rsidRPr="00DD2D90">
        <w:rPr>
          <w:rStyle w:val="StyleUnderline"/>
        </w:rPr>
        <w:t xml:space="preserve">, </w:t>
      </w:r>
      <w:r w:rsidRPr="00DD2D90">
        <w:rPr>
          <w:rStyle w:val="StyleUnderline"/>
          <w:highlight w:val="green"/>
        </w:rPr>
        <w:t>shifting</w:t>
      </w:r>
      <w:r w:rsidRPr="00DD2D90">
        <w:rPr>
          <w:rStyle w:val="StyleUnderline"/>
        </w:rPr>
        <w:t xml:space="preserve"> power over key macroeconomic </w:t>
      </w:r>
      <w:r w:rsidRPr="00DD2D90">
        <w:rPr>
          <w:rStyle w:val="StyleUnderline"/>
          <w:highlight w:val="green"/>
        </w:rPr>
        <w:t>decisions</w:t>
      </w:r>
      <w:r w:rsidRPr="00223414">
        <w:rPr>
          <w:sz w:val="16"/>
        </w:rPr>
        <w:t xml:space="preserve"> from national parliaments and elected representatives in Southern capitals </w:t>
      </w:r>
      <w:r w:rsidRPr="00DD2D90">
        <w:rPr>
          <w:rStyle w:val="StyleUnderline"/>
          <w:highlight w:val="green"/>
        </w:rPr>
        <w:t>to</w:t>
      </w:r>
      <w:r w:rsidRPr="00223414">
        <w:rPr>
          <w:sz w:val="16"/>
          <w:highlight w:val="green"/>
        </w:rPr>
        <w:t xml:space="preserve"> </w:t>
      </w:r>
      <w:r w:rsidRPr="00DD2D90">
        <w:rPr>
          <w:rStyle w:val="StyleUnderline"/>
        </w:rPr>
        <w:t>technocrats</w:t>
      </w:r>
      <w:r w:rsidRPr="00223414">
        <w:rPr>
          <w:sz w:val="16"/>
        </w:rPr>
        <w:t xml:space="preserve"> </w:t>
      </w:r>
      <w:r w:rsidRPr="00DD2D90">
        <w:rPr>
          <w:rStyle w:val="StyleUnderline"/>
        </w:rPr>
        <w:t xml:space="preserve">and </w:t>
      </w:r>
      <w:r w:rsidRPr="00DD2D90">
        <w:rPr>
          <w:rStyle w:val="StyleUnderline"/>
          <w:highlight w:val="green"/>
        </w:rPr>
        <w:t>bankers</w:t>
      </w:r>
      <w:r w:rsidRPr="00223414">
        <w:rPr>
          <w:sz w:val="16"/>
        </w:rPr>
        <w:t xml:space="preserve"> </w:t>
      </w:r>
      <w:r w:rsidRPr="00DD2D90">
        <w:rPr>
          <w:rStyle w:val="StyleUnderline"/>
        </w:rPr>
        <w:t>in</w:t>
      </w:r>
      <w:r w:rsidRPr="00223414">
        <w:rPr>
          <w:sz w:val="16"/>
        </w:rPr>
        <w:t xml:space="preserve"> Washington and </w:t>
      </w:r>
      <w:r w:rsidRPr="00DD2D90">
        <w:rPr>
          <w:rStyle w:val="StyleUnderline"/>
        </w:rPr>
        <w:t>New York</w:t>
      </w:r>
      <w:r w:rsidRPr="00223414">
        <w:rPr>
          <w:sz w:val="16"/>
        </w:rPr>
        <w:t xml:space="preserve">. Structural adjustment succeeded in restoring Northern access to cheap labour, resources and markets in the global South. </w:t>
      </w:r>
      <w:r w:rsidRPr="00DD2D90">
        <w:rPr>
          <w:rStyle w:val="StyleUnderline"/>
          <w:highlight w:val="green"/>
        </w:rPr>
        <w:t>It restored the North’s</w:t>
      </w:r>
      <w:r w:rsidRPr="00DD2D90">
        <w:rPr>
          <w:rStyle w:val="StyleUnderline"/>
        </w:rPr>
        <w:t xml:space="preserve"> flagging rate of </w:t>
      </w:r>
      <w:r w:rsidRPr="00DD2D90">
        <w:rPr>
          <w:rStyle w:val="StyleUnderline"/>
          <w:highlight w:val="green"/>
        </w:rPr>
        <w:t>growth</w:t>
      </w:r>
      <w:r w:rsidRPr="00DD2D90">
        <w:rPr>
          <w:rStyle w:val="StyleUnderline"/>
        </w:rPr>
        <w:t xml:space="preserve"> </w:t>
      </w:r>
      <w:r w:rsidRPr="00DD2D90">
        <w:rPr>
          <w:rStyle w:val="StyleUnderline"/>
          <w:highlight w:val="green"/>
        </w:rPr>
        <w:t xml:space="preserve">and led to a </w:t>
      </w:r>
      <w:r w:rsidRPr="00DD2D90">
        <w:rPr>
          <w:rStyle w:val="Emphasis"/>
          <w:highlight w:val="green"/>
        </w:rPr>
        <w:t>doubling</w:t>
      </w:r>
      <w:r w:rsidRPr="00DD2D90">
        <w:rPr>
          <w:rStyle w:val="StyleUnderline"/>
          <w:highlight w:val="green"/>
        </w:rPr>
        <w:t xml:space="preserve"> in the rate of profit</w:t>
      </w:r>
      <w:r w:rsidRPr="00DD2D90">
        <w:rPr>
          <w:rStyle w:val="StyleUnderline"/>
        </w:rPr>
        <w:t xml:space="preserve"> that </w:t>
      </w:r>
      <w:r w:rsidRPr="00DD2D90">
        <w:rPr>
          <w:rStyle w:val="StyleUnderline"/>
          <w:highlight w:val="green"/>
        </w:rPr>
        <w:t>US</w:t>
      </w:r>
      <w:r w:rsidRPr="00DD2D90">
        <w:rPr>
          <w:rStyle w:val="StyleUnderline"/>
        </w:rPr>
        <w:t xml:space="preserve"> </w:t>
      </w:r>
      <w:r w:rsidRPr="00DD2D90">
        <w:rPr>
          <w:rStyle w:val="StyleUnderline"/>
          <w:highlight w:val="green"/>
        </w:rPr>
        <w:t>companies earned on foreign investment</w:t>
      </w:r>
      <w:r w:rsidRPr="00223414">
        <w:rPr>
          <w:sz w:val="16"/>
        </w:rPr>
        <w:t xml:space="preserve">.9 But </w:t>
      </w:r>
      <w:r w:rsidRPr="00DD2D90">
        <w:rPr>
          <w:rStyle w:val="StyleUnderline"/>
        </w:rPr>
        <w:t xml:space="preserve">for the victims of structural adjustment, the consequences were </w:t>
      </w:r>
      <w:r w:rsidRPr="00DD2D90">
        <w:rPr>
          <w:rStyle w:val="Emphasis"/>
        </w:rPr>
        <w:t>devastating</w:t>
      </w:r>
      <w:r w:rsidRPr="00223414">
        <w:rPr>
          <w:sz w:val="16"/>
        </w:rPr>
        <w:t xml:space="preserve">. Damages associated with structural adjustment Poverty and access to basic needs Structural adjustment was associated with a dramatic collapse in income and consumption across much of the global South after 1980. In Latin America, real income per adult (PPP) declined nearly 15% and did not recover its pre-SAP levels until 2006. In Sub-Saharan Africa, incomes declined nearly 20% and did not recover their previous level until 2010 (see figure 1). Neoliberal policy decreased the consumption of the poor in order to make resources available for appropriation by core states and corporations.10 Taking the global South as a whole (all emerging and developing economies, as defined by the IMF), average annual income growth collapsed from 3.2% during the progressive era to 0.7% during the 1980s and 1990s. It is estimated that the South lost an average of US$480 billion per year in potential national income under structural adjustment (in current US$, as of the late 1990s), compared with a counterfactual extrapolation of the 1960–1980 trend. During this period, losses due to structural adjustment outstripped gains from aid by a factor of five.12 Structural adjustment was also associated with a severe negative impact on wages. In Latin America, both average wages and minimum wages fell by an average of about 40% in most countries from 1985 to 1995. In Brazil, wages fell by 67%; in Colombia, by 84%.13 By the end of the 1990s, the standard of living for most people in Latin America was lower than it was in the 1970s. This indicates that the working classes experienced severe constraints on consumption. At the same time, the share of wages in national income dropped by an average of 8% during the 1980s and 1990s, representing a substantial increase in inequality. In some countries, it was much worse: for instance, in Mexico, the share of wages dropped 10.6% during the 1980s alone. In Chile, it dropped 24.4%; in Ecuador, 33.8%.14 Several empirical studies have demonstrated that structural adjustment increases poverty. A 2022 statistical analysis covering 81 developing countries from 1986 to 2016 found that ‘all IMF arrangements have a positive effect on poverty’.15 The study demonstrated that a country under average IMF conditions on trade and exchange will have a poverty rate 3.5% higher than countries without such arrangements, all else being equal. The IMF’s structural conditions have a particularly damaging effect, because they ‘tend to raise unemployment, lower government revenue, increase the costs of basic services’, etc. Another statistical analysis covering 79 countries from 2002 to 2018 demonstrated that IMF austerity conditions are ‘associated with higher poverty headcounts and poverty gaps’ at various poverty thresholds and at significant levels.16 Both studies account for possible endogeneity biases. It is important to note here that poverty is a major social determinant of health outcomes. A 2024 analysis found that China experienced a dramatic increase in extreme poverty (as measured according to the basic-needs poverty line, BNPL) following its first World Bank programme in 1990, which dismantled public provisioning systems and pushed the prices of food, housing and other basics out of reach for millions of working-class people.17 A similar pattern is clear in the case of India. Figure 2 shows that India’s 1981 SAP was immediately followed by an increase in BNPL poverty by 7 percentage points, reversing the progress of the previous years and pushing some 50 million people into extreme poverty. India did not resume progress against extreme poverty until 1990. Similar crises occurred in many other countries, particularly in the Eastern European countries that were subjected to structural adjustment after 1990. Increased BNPL poverty means people have reduced access to basics such as food and shelter. Health impacts Structural adjustment has been associated with significant damages to human welfare, which are reflected in the public health record. The neoliberal policies imposed by SAPs have long been known to negatively impact health.18–24 In a 2017 systematic review of empirical evidence, it was shown that </w:t>
      </w:r>
      <w:r w:rsidRPr="00DD2D90">
        <w:rPr>
          <w:rStyle w:val="StyleUnderline"/>
        </w:rPr>
        <w:t>structural adjustment</w:t>
      </w:r>
      <w:r w:rsidRPr="00223414">
        <w:rPr>
          <w:sz w:val="16"/>
        </w:rPr>
        <w:t xml:space="preserve"> imposed by the IMF, World Bank and African Development Bank </w:t>
      </w:r>
      <w:r w:rsidRPr="00DD2D90">
        <w:rPr>
          <w:rStyle w:val="StyleUnderline"/>
        </w:rPr>
        <w:t>has had a strong negative impact on child and maternal health</w:t>
      </w:r>
      <w:r w:rsidRPr="00223414">
        <w:rPr>
          <w:sz w:val="16"/>
        </w:rPr>
        <w:t xml:space="preserve">.25 For instance, studies on </w:t>
      </w:r>
      <w:r w:rsidRPr="00DD2D90">
        <w:rPr>
          <w:rStyle w:val="StyleUnderline"/>
          <w:highlight w:val="green"/>
        </w:rPr>
        <w:t>Sub-Saharan Africa</w:t>
      </w:r>
      <w:r w:rsidRPr="00223414">
        <w:rPr>
          <w:sz w:val="16"/>
          <w:highlight w:val="green"/>
        </w:rPr>
        <w:t xml:space="preserve"> </w:t>
      </w:r>
      <w:r w:rsidRPr="00DD2D90">
        <w:rPr>
          <w:rStyle w:val="StyleUnderline"/>
          <w:highlight w:val="green"/>
        </w:rPr>
        <w:t>showed</w:t>
      </w:r>
      <w:r w:rsidRPr="00223414">
        <w:rPr>
          <w:sz w:val="16"/>
        </w:rPr>
        <w:t xml:space="preserve"> structural adjustment was associated with </w:t>
      </w:r>
      <w:r w:rsidRPr="00DD2D90">
        <w:rPr>
          <w:rStyle w:val="StyleUnderline"/>
          <w:highlight w:val="green"/>
        </w:rPr>
        <w:t>an</w:t>
      </w:r>
      <w:r w:rsidRPr="00DD2D90">
        <w:rPr>
          <w:rStyle w:val="StyleUnderline"/>
        </w:rPr>
        <w:t xml:space="preserve"> </w:t>
      </w:r>
      <w:r w:rsidRPr="00DD2D90">
        <w:rPr>
          <w:rStyle w:val="StyleUnderline"/>
          <w:highlight w:val="green"/>
        </w:rPr>
        <w:t xml:space="preserve">additional </w:t>
      </w:r>
      <w:r w:rsidRPr="00DD2D90">
        <w:rPr>
          <w:rStyle w:val="Emphasis"/>
          <w:highlight w:val="green"/>
        </w:rPr>
        <w:t>85.62</w:t>
      </w:r>
      <w:r w:rsidRPr="00DD2D90">
        <w:rPr>
          <w:rStyle w:val="StyleUnderline"/>
          <w:highlight w:val="green"/>
        </w:rPr>
        <w:t xml:space="preserve"> child deaths per 1000 children</w:t>
      </w:r>
      <w:r w:rsidRPr="00223414">
        <w:rPr>
          <w:sz w:val="16"/>
        </w:rPr>
        <w:t xml:space="preserve">,26 </w:t>
      </w:r>
      <w:r w:rsidRPr="00DD2D90">
        <w:rPr>
          <w:rStyle w:val="StyleUnderline"/>
        </w:rPr>
        <w:t xml:space="preserve">and an additional </w:t>
      </w:r>
      <w:r w:rsidRPr="00DD2D90">
        <w:rPr>
          <w:rStyle w:val="StyleUnderline"/>
          <w:highlight w:val="green"/>
        </w:rPr>
        <w:t>360 maternal deaths per 100 000 live births</w:t>
      </w:r>
      <w:r w:rsidRPr="00223414">
        <w:rPr>
          <w:sz w:val="16"/>
        </w:rPr>
        <w:t xml:space="preserve">.27 Structural adjustment is also associated with a reduction in the rate of improvement in adult mortality, and for the poorest quintiles an increase in mortality, compared with the 1960–1980 period.6 Figure 3 shows that </w:t>
      </w:r>
      <w:r w:rsidRPr="00DD2D90">
        <w:rPr>
          <w:rStyle w:val="StyleUnderline"/>
        </w:rPr>
        <w:t xml:space="preserve">infant mortality increased in Kenya following </w:t>
      </w:r>
      <w:r w:rsidRPr="00223414">
        <w:rPr>
          <w:sz w:val="16"/>
        </w:rPr>
        <w:t>the implementation of</w:t>
      </w:r>
      <w:r w:rsidRPr="00DD2D90">
        <w:rPr>
          <w:rStyle w:val="StyleUnderline"/>
        </w:rPr>
        <w:t xml:space="preserve"> structural adjustment</w:t>
      </w:r>
      <w:r w:rsidRPr="00223414">
        <w:rPr>
          <w:sz w:val="16"/>
        </w:rPr>
        <w:t xml:space="preserve"> (especially after the second SAP was imposed in 1986) </w:t>
      </w:r>
      <w:r w:rsidRPr="00DD2D90">
        <w:rPr>
          <w:rStyle w:val="StyleUnderline"/>
        </w:rPr>
        <w:t>and did not recover</w:t>
      </w:r>
      <w:r w:rsidRPr="00223414">
        <w:rPr>
          <w:sz w:val="16"/>
        </w:rPr>
        <w:t xml:space="preserve"> its previous trend </w:t>
      </w:r>
      <w:r w:rsidRPr="00DD2D90">
        <w:rPr>
          <w:rStyle w:val="StyleUnderline"/>
        </w:rPr>
        <w:t>until recently</w:t>
      </w:r>
      <w:r w:rsidRPr="00223414">
        <w:rPr>
          <w:sz w:val="16"/>
        </w:rPr>
        <w:t xml:space="preserve">. </w:t>
      </w:r>
      <w:r w:rsidRPr="00DD2D90">
        <w:rPr>
          <w:rStyle w:val="StyleUnderline"/>
          <w:highlight w:val="green"/>
        </w:rPr>
        <w:t>Kenya suffered 305 000 excess infant deaths between 1986 and 2010</w:t>
      </w:r>
      <w:r w:rsidRPr="00223414">
        <w:rPr>
          <w:sz w:val="16"/>
        </w:rPr>
        <w:t>, compared with the pre-SAP mortality trend. In the face of criticism, around the end of the 1990s the IMF and World Bank replaced SAPs with ‘</w:t>
      </w:r>
      <w:r w:rsidRPr="00DD2D90">
        <w:rPr>
          <w:rStyle w:val="StyleUnderline"/>
        </w:rPr>
        <w:t>poverty reduction strategy papers</w:t>
      </w:r>
      <w:r w:rsidRPr="00223414">
        <w:rPr>
          <w:sz w:val="16"/>
        </w:rPr>
        <w:t xml:space="preserve">’ and similar instruments. And yet scholars have demonstrated that these instruments </w:t>
      </w:r>
      <w:r w:rsidRPr="00DD2D90">
        <w:rPr>
          <w:rStyle w:val="StyleUnderline"/>
        </w:rPr>
        <w:t>retain the core tenets of SAPs</w:t>
      </w:r>
      <w:r w:rsidRPr="00223414">
        <w:rPr>
          <w:sz w:val="16"/>
        </w:rPr>
        <w:t xml:space="preserve">.28–33 A global review covering 1980–2014 found that IMF </w:t>
      </w:r>
      <w:r w:rsidRPr="00DD2D90">
        <w:rPr>
          <w:rStyle w:val="StyleUnderline"/>
        </w:rPr>
        <w:t>structural adjustment</w:t>
      </w:r>
      <w:r w:rsidRPr="00223414">
        <w:rPr>
          <w:sz w:val="16"/>
        </w:rPr>
        <w:t xml:space="preserve"> </w:t>
      </w:r>
      <w:r w:rsidRPr="00DD2D90">
        <w:rPr>
          <w:rStyle w:val="StyleUnderline"/>
        </w:rPr>
        <w:t>policies</w:t>
      </w:r>
      <w:r w:rsidRPr="00223414">
        <w:rPr>
          <w:sz w:val="16"/>
        </w:rPr>
        <w:t xml:space="preserve"> continued to </w:t>
      </w:r>
      <w:r w:rsidRPr="00DD2D90">
        <w:rPr>
          <w:rStyle w:val="StyleUnderline"/>
        </w:rPr>
        <w:t xml:space="preserve">have </w:t>
      </w:r>
      <w:r w:rsidRPr="00DD2D90">
        <w:rPr>
          <w:rStyle w:val="Emphasis"/>
        </w:rPr>
        <w:t>significant</w:t>
      </w:r>
      <w:r w:rsidRPr="00DD2D90">
        <w:rPr>
          <w:rStyle w:val="StyleUnderline"/>
        </w:rPr>
        <w:t xml:space="preserve"> negative impacts on health system access and neonatal mortality</w:t>
      </w:r>
      <w:r w:rsidRPr="00223414">
        <w:rPr>
          <w:sz w:val="16"/>
        </w:rPr>
        <w:t xml:space="preserve">.34 </w:t>
      </w:r>
      <w:r w:rsidRPr="00DD2D90">
        <w:rPr>
          <w:rStyle w:val="StyleUnderline"/>
        </w:rPr>
        <w:t>Each</w:t>
      </w:r>
      <w:r w:rsidRPr="00223414">
        <w:rPr>
          <w:sz w:val="16"/>
        </w:rPr>
        <w:t xml:space="preserve"> additional policy reform imposed by the IMF </w:t>
      </w:r>
      <w:r w:rsidRPr="00DD2D90">
        <w:rPr>
          <w:rStyle w:val="StyleUnderline"/>
        </w:rPr>
        <w:t xml:space="preserve">lowers health systems access, such that </w:t>
      </w:r>
      <w:r w:rsidRPr="00DD2D90">
        <w:rPr>
          <w:rStyle w:val="StyleUnderline"/>
          <w:highlight w:val="green"/>
        </w:rPr>
        <w:t>countries</w:t>
      </w:r>
      <w:r w:rsidRPr="00DD2D90">
        <w:rPr>
          <w:rStyle w:val="StyleUnderline"/>
        </w:rPr>
        <w:t xml:space="preserve"> subjected to average adjustments </w:t>
      </w:r>
      <w:r w:rsidRPr="00DD2D90">
        <w:rPr>
          <w:rStyle w:val="StyleUnderline"/>
          <w:highlight w:val="green"/>
        </w:rPr>
        <w:t>in 2010 would see a decline</w:t>
      </w:r>
      <w:r w:rsidRPr="00DD2D90">
        <w:rPr>
          <w:rStyle w:val="StyleUnderline"/>
        </w:rPr>
        <w:t xml:space="preserve"> in </w:t>
      </w:r>
      <w:r w:rsidRPr="00DD2D90">
        <w:rPr>
          <w:rStyle w:val="StyleUnderline"/>
          <w:highlight w:val="green"/>
        </w:rPr>
        <w:t>health system access to 2002 levels</w:t>
      </w:r>
      <w:r w:rsidRPr="00223414">
        <w:rPr>
          <w:sz w:val="16"/>
        </w:rPr>
        <w:t xml:space="preserve">. At the maximum number of conditions, the decline would fall below 1980 levels. In terms of neonatal mortality, </w:t>
      </w:r>
      <w:r w:rsidRPr="00DD2D90">
        <w:rPr>
          <w:rStyle w:val="StyleUnderline"/>
        </w:rPr>
        <w:t xml:space="preserve">the average </w:t>
      </w:r>
      <w:r w:rsidRPr="00DD2D90">
        <w:rPr>
          <w:rStyle w:val="StyleUnderline"/>
          <w:highlight w:val="green"/>
        </w:rPr>
        <w:t>IMF</w:t>
      </w:r>
      <w:r w:rsidRPr="00DD2D90">
        <w:rPr>
          <w:rStyle w:val="StyleUnderline"/>
        </w:rPr>
        <w:t xml:space="preserve"> programme </w:t>
      </w:r>
      <w:r w:rsidRPr="00DD2D90">
        <w:rPr>
          <w:rStyle w:val="StyleUnderline"/>
          <w:highlight w:val="green"/>
        </w:rPr>
        <w:t>drives an additional 2.06 deaths per 1000 live</w:t>
      </w:r>
      <w:r w:rsidRPr="00DD2D90">
        <w:rPr>
          <w:rStyle w:val="StyleUnderline"/>
        </w:rPr>
        <w:t xml:space="preserve"> </w:t>
      </w:r>
      <w:r w:rsidRPr="00DD2D90">
        <w:rPr>
          <w:rStyle w:val="StyleUnderline"/>
          <w:highlight w:val="green"/>
        </w:rPr>
        <w:t>births</w:t>
      </w:r>
      <w:r w:rsidRPr="00DD2D90">
        <w:rPr>
          <w:rStyle w:val="StyleUnderline"/>
        </w:rPr>
        <w:t xml:space="preserve">, while </w:t>
      </w:r>
      <w:r w:rsidRPr="00DD2D90">
        <w:rPr>
          <w:rStyle w:val="StyleUnderline"/>
          <w:highlight w:val="green"/>
        </w:rPr>
        <w:t>the</w:t>
      </w:r>
      <w:r w:rsidRPr="00DD2D90">
        <w:rPr>
          <w:rStyle w:val="StyleUnderline"/>
        </w:rPr>
        <w:t xml:space="preserve"> </w:t>
      </w:r>
      <w:r w:rsidRPr="00DD2D90">
        <w:rPr>
          <w:rStyle w:val="StyleUnderline"/>
          <w:highlight w:val="green"/>
        </w:rPr>
        <w:t>max</w:t>
      </w:r>
      <w:r w:rsidRPr="00DD2D90">
        <w:rPr>
          <w:rStyle w:val="StyleUnderline"/>
        </w:rPr>
        <w:t xml:space="preserve">imum number of conditions drives </w:t>
      </w:r>
      <w:r w:rsidRPr="00DD2D90">
        <w:rPr>
          <w:rStyle w:val="StyleUnderline"/>
          <w:highlight w:val="green"/>
        </w:rPr>
        <w:t>9.49 additional deaths</w:t>
      </w:r>
      <w:r w:rsidRPr="00223414">
        <w:rPr>
          <w:sz w:val="16"/>
        </w:rPr>
        <w:t>. SAPs impact health outcomes in several ways</w:t>
      </w:r>
      <w:r w:rsidRPr="00DD2D90">
        <w:rPr>
          <w:rStyle w:val="StyleUnderline"/>
        </w:rPr>
        <w:t xml:space="preserve">. </w:t>
      </w:r>
      <w:r w:rsidRPr="00DD2D90">
        <w:rPr>
          <w:rStyle w:val="StyleUnderline"/>
          <w:highlight w:val="green"/>
        </w:rPr>
        <w:t>They cut government investment</w:t>
      </w:r>
      <w:r w:rsidRPr="00DD2D90">
        <w:rPr>
          <w:rStyle w:val="StyleUnderline"/>
        </w:rPr>
        <w:t xml:space="preserve"> </w:t>
      </w:r>
      <w:r w:rsidRPr="00DD2D90">
        <w:rPr>
          <w:rStyle w:val="StyleUnderline"/>
          <w:highlight w:val="green"/>
        </w:rPr>
        <w:t>in</w:t>
      </w:r>
      <w:r w:rsidRPr="00DD2D90">
        <w:rPr>
          <w:rStyle w:val="StyleUnderline"/>
        </w:rPr>
        <w:t xml:space="preserve"> health</w:t>
      </w:r>
      <w:r w:rsidRPr="00223414">
        <w:rPr>
          <w:sz w:val="16"/>
        </w:rPr>
        <w:t xml:space="preserve">, education, nutrition and family planning.35 36 </w:t>
      </w:r>
      <w:r w:rsidRPr="00DD2D90">
        <w:rPr>
          <w:rStyle w:val="StyleUnderline"/>
        </w:rPr>
        <w:t xml:space="preserve">They close healthcare </w:t>
      </w:r>
      <w:r w:rsidRPr="00DD2D90">
        <w:rPr>
          <w:rStyle w:val="StyleUnderline"/>
          <w:highlight w:val="green"/>
        </w:rPr>
        <w:t>facilities</w:t>
      </w:r>
      <w:r w:rsidRPr="00DD2D90">
        <w:rPr>
          <w:rStyle w:val="StyleUnderline"/>
        </w:rPr>
        <w:t xml:space="preserve">, reduce access to </w:t>
      </w:r>
      <w:r w:rsidRPr="00DD2D90">
        <w:rPr>
          <w:rStyle w:val="StyleUnderline"/>
          <w:highlight w:val="green"/>
        </w:rPr>
        <w:t>supplies</w:t>
      </w:r>
      <w:r w:rsidRPr="00DD2D90">
        <w:rPr>
          <w:rStyle w:val="StyleUnderline"/>
        </w:rPr>
        <w:t xml:space="preserve"> </w:t>
      </w:r>
      <w:r w:rsidRPr="00DD2D90">
        <w:rPr>
          <w:rStyle w:val="StyleUnderline"/>
          <w:highlight w:val="green"/>
        </w:rPr>
        <w:t>and</w:t>
      </w:r>
      <w:r w:rsidRPr="00DD2D90">
        <w:rPr>
          <w:rStyle w:val="StyleUnderline"/>
        </w:rPr>
        <w:t xml:space="preserve"> limit hires of </w:t>
      </w:r>
      <w:r w:rsidRPr="00DD2D90">
        <w:rPr>
          <w:rStyle w:val="StyleUnderline"/>
          <w:highlight w:val="green"/>
        </w:rPr>
        <w:t>key staff</w:t>
      </w:r>
      <w:r w:rsidRPr="00DD2D90">
        <w:rPr>
          <w:rStyle w:val="StyleUnderline"/>
        </w:rPr>
        <w:t xml:space="preserve"> like doctors and nurses</w:t>
      </w:r>
      <w:r w:rsidRPr="00223414">
        <w:rPr>
          <w:sz w:val="16"/>
        </w:rPr>
        <w:t xml:space="preserve">.37 38 They require governments to devalue their currency, which increases the cost of imported drugs, medical supplies, food and fuel.39 Market deregulation guts health and safety laws, tariff cuts deprive governments of revenues40 and privatisation and user fees reduce public access to essential services like health, education, water and sanitation.41 On top of this, losses to formal employment and cuts to wages reduce people’s ability to purchase food and healthcare, rendering them more vulnerable to disease. Several counterfactual cases illustrate what global South countries could hypothetically have achieved in terms of human development had they not been subjected to structural adjustment. For unique geopolitical reasons (and because of special military agreements with the USA), both </w:t>
      </w:r>
      <w:r w:rsidRPr="00DD2D90">
        <w:rPr>
          <w:rStyle w:val="StyleUnderline"/>
          <w:highlight w:val="green"/>
        </w:rPr>
        <w:t>Costa Rica and South Korea</w:t>
      </w:r>
      <w:r w:rsidRPr="00223414">
        <w:rPr>
          <w:sz w:val="16"/>
        </w:rPr>
        <w:t xml:space="preserve"> were permitted to continue using many of the social and industrial policy programmes of the progressive era, even despite formally participating in IMF and World Bank facilities.42 Today, </w:t>
      </w:r>
      <w:r w:rsidRPr="00DD2D90">
        <w:rPr>
          <w:rStyle w:val="StyleUnderline"/>
        </w:rPr>
        <w:t>life expectancy</w:t>
      </w:r>
      <w:r w:rsidRPr="00223414">
        <w:rPr>
          <w:sz w:val="16"/>
        </w:rPr>
        <w:t xml:space="preserve"> in both countries </w:t>
      </w:r>
      <w:r w:rsidRPr="00DD2D90">
        <w:rPr>
          <w:rStyle w:val="StyleUnderline"/>
        </w:rPr>
        <w:t>exceeds 80 years, nearly 10 years higher than the average for low- and middle-income countries, and equal to the average in the global North</w:t>
      </w:r>
      <w:r w:rsidRPr="00223414">
        <w:rPr>
          <w:sz w:val="16"/>
        </w:rPr>
        <w:t xml:space="preserve">. Cuba offers another example. </w:t>
      </w:r>
      <w:r w:rsidRPr="00DD2D90">
        <w:rPr>
          <w:rStyle w:val="StyleUnderline"/>
          <w:highlight w:val="green"/>
        </w:rPr>
        <w:t>Cuba</w:t>
      </w:r>
      <w:r w:rsidRPr="00223414">
        <w:rPr>
          <w:sz w:val="16"/>
        </w:rPr>
        <w:t xml:space="preserve"> successfully </w:t>
      </w:r>
      <w:r w:rsidRPr="00DD2D90">
        <w:rPr>
          <w:rStyle w:val="StyleUnderline"/>
          <w:highlight w:val="green"/>
        </w:rPr>
        <w:t>resisted SAPs</w:t>
      </w:r>
      <w:r w:rsidRPr="00223414">
        <w:rPr>
          <w:sz w:val="16"/>
        </w:rPr>
        <w:t xml:space="preserve"> </w:t>
      </w:r>
      <w:r w:rsidRPr="00DD2D90">
        <w:rPr>
          <w:rStyle w:val="StyleUnderline"/>
        </w:rPr>
        <w:t>and</w:t>
      </w:r>
      <w:r w:rsidRPr="00223414">
        <w:rPr>
          <w:sz w:val="16"/>
        </w:rPr>
        <w:t xml:space="preserve"> instead </w:t>
      </w:r>
      <w:r w:rsidRPr="00DD2D90">
        <w:rPr>
          <w:rStyle w:val="StyleUnderline"/>
        </w:rPr>
        <w:t>built a robust system of</w:t>
      </w:r>
      <w:r w:rsidRPr="00223414">
        <w:rPr>
          <w:sz w:val="16"/>
        </w:rPr>
        <w:t xml:space="preserve"> </w:t>
      </w:r>
      <w:r w:rsidRPr="00DD2D90">
        <w:rPr>
          <w:rStyle w:val="StyleUnderline"/>
        </w:rPr>
        <w:t>public</w:t>
      </w:r>
      <w:r w:rsidRPr="00223414">
        <w:rPr>
          <w:sz w:val="16"/>
        </w:rPr>
        <w:t xml:space="preserve"> provisioning to ensure universal access to essential goods, including housing, </w:t>
      </w:r>
      <w:r w:rsidRPr="00DD2D90">
        <w:rPr>
          <w:rStyle w:val="StyleUnderline"/>
        </w:rPr>
        <w:t>healthcare</w:t>
      </w:r>
      <w:r w:rsidRPr="00223414">
        <w:rPr>
          <w:sz w:val="16"/>
        </w:rPr>
        <w:t xml:space="preserve"> and food. This </w:t>
      </w:r>
      <w:r w:rsidRPr="00DD2D90">
        <w:rPr>
          <w:rStyle w:val="StyleUnderline"/>
        </w:rPr>
        <w:t xml:space="preserve">system has been successful at </w:t>
      </w:r>
      <w:r w:rsidRPr="00DD2D90">
        <w:rPr>
          <w:rStyle w:val="StyleUnderline"/>
          <w:highlight w:val="green"/>
        </w:rPr>
        <w:t>fighting</w:t>
      </w:r>
      <w:r w:rsidRPr="00DD2D90">
        <w:rPr>
          <w:rStyle w:val="StyleUnderline"/>
        </w:rPr>
        <w:t xml:space="preserve"> extreme</w:t>
      </w:r>
      <w:r w:rsidRPr="00223414">
        <w:rPr>
          <w:sz w:val="16"/>
        </w:rPr>
        <w:t xml:space="preserve"> poverty, hunger and </w:t>
      </w:r>
      <w:r w:rsidRPr="00DD2D90">
        <w:rPr>
          <w:rStyle w:val="StyleUnderline"/>
          <w:highlight w:val="green"/>
        </w:rPr>
        <w:t>premature mortality</w:t>
      </w:r>
      <w:r w:rsidRPr="00223414">
        <w:rPr>
          <w:sz w:val="16"/>
        </w:rPr>
        <w:t>. Cuba’s death rate from malnutrition is the lowest in the global South, and lower even than that of many rich economies, even while it faces crushing sanctions. This offers an example of what other countries could have achieved, had they been allowed to continue investing in public provisioning systems. A recent assessment based on the Global Burden of Disease Study calculated that, if other countries adopted policies like Cuba’s to ensure universal access to nutritious food, 16 million deaths could have been prevented during the period 1990–2019.43 Financial outflows and unequal exchange There are also other damages to consider. For instance, the removal of capital controls has led to large financial outflows from the global South in the form of net outward profit repatriation by foreign companies, reaching up to US$250 billion per year.44 Deregulation of customs and trade rules has led to capital outflows in the form of trade misinvoicing and abusive transfer pricing, together totalling over US$1 trillion per year, mostly with the purpose of evading taxes.45 46 These outflows mean that surpluses generated by firms within developing countries are not available for reinvestment in public services or other forms of production for development. SAPs had the effect of depressing wages and resource prices in the global South, which in turn enabled Northern states and corporations to appropriate wealth from the South through what scholars describe as ‘unequal exchange’ in international trade.47–49 Systematic price disparities between North and South mean that for every unit of resources and labour embodied in goods that the South imports from the North, they must export many more units to pay for it. This results in large net flows from South to the North—a ‘hidden transfer of value’ from periphery to core. Several recent empirical studies have quantified the scale of net South-North transfers in terms of physical resources and labour embodied in traded goods, using multi-regional input-output models.50–52 In the final year of available data, these net flows included 12 billion tons of raw material equivalents, 822 million hectares of land, 22 exajoules of energy and 826 billion hours of labour. According to these studies, the large scale of these net flows cannot be explained by productivity differences, and they contribute substantially to growing consumption in the core states. Nearly 50% of all materials and embodied labour consumed in the global North are net-appropriated from the South through unequal exchange. This dynamic means that while the North enjoys the benefits of resource extraction, the ecological costs are disproportionately suffered in the South. It also means that the South is drained of resources that could otherwise be used for human development and improving social outcomes. The quantity of energy and materials appropriated each year would be enough to build infrastructure necessary to ensure universal access to decent living standards (DLS) across the global South, including healthcare, education, modern housing, electricity, sanitation, refrigeration, heating/cooling, internet, transit, etc.53 54 The quantity of land appropriated each year would be enough to ensure a nutritious diet for up to 6 billion people, ending hunger and undernutrition. Possibilities for reparations and distributive justice The evidence cited above demonstrates that structural adjustment is associated with substantial damages in affected countries, with causal effects in the case of specific negative impacts such as increased poverty, increased child and maternal mortality and reduced health-system access. Because these damages have been inflicted by programmes implemented primarily by the IMF and the World Bank, we suggest these institutions should bear primary responsibility for repair. This is the simplest and most straightforward approach, with some precedent in the demands issued in 2019 by Tunisia’s Truth and Dignity Commission.55 Another possibility is to apportion responsibility to the governments of the countries that control these institutions. The USA wields veto power over all major decisions in both the IMF and World Bank, with a voting share of 16%. The countries of the global North (which represent 15% of the world population) control nearly 60% of the voting power, and generally vote as a bloc, enabling them to implement decisions against the will of the global South (which, despite having 85% of the world’s population, has a minority of the votes).56 In theory, it may also be reasonable to consider responsibility in the case of three other key groups: (a) the commercial banks that ultimately benefitted from the debt enforcement that SAPs provided, (b) the multinational companies (and their directors and shareholders) that have benefitted from surpluses derived from the devaluation of Southern labour and resources and from the net appropriation obtained through unequal exchange and (c) the Southern ruling class factions that may have supported SAPs for their own financial gain.57 However, this would be a more difficult approach both empirically and procedurally. There are several ways to calculate the scope of reparations owed. One approach would be to quantify the cuts to public services, aggregate wage reductions and capital outflows suffered by each nation, adjusted for inflation and increased at a historically average rate of interest. Another approach would be to quantify total losses to potential national income due to structural adjustment against a counterfactual extrapolation of the pre-adjustment trend.7 Claimants could also consider reparations for ecological damages and losses due to unequal exchange. Another approach would be to focus specifically on repairing the negative welfare impacts where existing empirical studies have demonstrated SAPs played a direct causal role (eg, poverty, mortality, healthcare access).58 Direct compensation can be provided in such a way that reverses these deprivations—eg, by ensuring access to necessary goods and public services—and restores people to the social indicators they would currently enjoy if the insult had not occurred and they had continued on a normal trajectory of improvement. This approach is consistent with the UN Declaration of Human Rights, wherein Article 25 recognises that ‘Everyone has the right to a standard of living adequate for the health and well-being of himself and of his family’. Similar provisions have been codified in the International Covenant on Economic, Social and Cultural Rights, which has been ratified by most states. Article 7 (the right to work under ‘just and favourable conditions’) and Article 11 (the right to an adequate standard of living) are most relevant. Reparations claims could conceivably be brought under these provisions. Claims might also be brought with reference to the principle of odious debt, on the grounds that global South nations should not have been held responsible for debts inflated by US political manoeuvres, nor forced to repay under extractive conditions not agreed to at the time of lending. Two major challenges arise. The first is that the IMF and World Bank enjoy sovereign immunity status which may prevent them from being sued via normal channels for damages caused. The second is that the undemocratic nature of the IMF and World Bank would pose an obstacle to reparations cases being brought from within the institutions; for example, the US could simply veto such an initiative. A formal reparations programme would therefore likely require cases to be brought against liable parties under international law. In addition to reparations for past and current damages, we argue that the IMF and World Bank must issue a guarantee of non-recurrence, abolishing structural adjustment conditions on all further lending. Furthermore, following suggestions made to the UN Human Rights Commission (A/HRC/43/45), they must be made to perform prior assessments of damages that could be caused by their lending policies. Any future programmes should also be calibrated to considerations of distributive justice, to ensure that programmes bring about a socially just allocation of resources.59 On top of this, it is imperative to take steps to protect against future injury. We argue this should entail democratising the IMF and World Bank, so that all countries get a say when it comes to determining policy (longstanding demands from global South countries have called for a one-country-one-vote system, or various possibilities that account for population size60; ending the sovereign immunity status of these institutions, so they can be held liable for future damages; cancelling odious or overpaid debts (for which there are existing provisions under international law); and introducing a fair, transparent mechanism for defaulting on external debts (as per the proposed Multilateral Sovereign Debt Resolution Mechanism).61 Ultimately, global South governments should be free to use industrial policy and planning to organise production around national development objectives.62 If the IMF and World Bank cannot be reformed from within, they should be replaced by alternative institutions that can carry out the necessary financial functions in a more democratic way. Indeed, there is evidence that such alternatives are already emerging, in the form of the BRICS New Development Bank and the Asian Infrastructure Investment Bank, which were established by and for global South countries, and which do not attach structural adjustment conditions to finance.63 Notably, voting power in the New Development Bank is substantially more balanced than in the World Bank and IMF: the original five BRICS members hold equal voting rights (totalling 55%) and no member is allowed to hold veto power. Whether these institutions will rise to provide comprehensive alternatives to the IMF and World Bank, or whether further alternatives must be established, remains to be seen. We have provided an overview of evidence demonstrating that SAPs had negative impacts on human welfare across several key registers, and we have articulated a first argument for reparations. It would fall next to scholars of international law to assess questions of legal procedure and practical implementation. However, even in the absence of a practical way forward, we contend that the argument for reparations nevertheless establishes an important principle and can contribute to current efforts to change IMF and World Bank policy and abolish structural adjustment conditions, while underlining the need for new institutions.</w:t>
      </w:r>
    </w:p>
    <w:p w14:paraId="30AAE048" w14:textId="77777777" w:rsidR="00FA1D49" w:rsidRPr="00223414" w:rsidRDefault="00FA1D49">
      <w:pPr>
        <w:rPr>
          <w:rFonts w:eastAsiaTheme="majorEastAsia" w:cstheme="majorBidi"/>
          <w:b/>
          <w:iCs/>
          <w:sz w:val="16"/>
        </w:rPr>
      </w:pPr>
      <w:r w:rsidRPr="00223414">
        <w:rPr>
          <w:sz w:val="16"/>
        </w:rPr>
        <w:br w:type="page"/>
      </w:r>
    </w:p>
    <w:p w14:paraId="21247F62" w14:textId="5D16042B" w:rsidR="00893021" w:rsidRPr="00223414" w:rsidRDefault="00D379BB" w:rsidP="00893021">
      <w:pPr>
        <w:pStyle w:val="Heading4"/>
        <w:rPr>
          <w:szCs w:val="26"/>
        </w:rPr>
      </w:pPr>
      <w:r w:rsidRPr="00223414">
        <w:rPr>
          <w:szCs w:val="26"/>
        </w:rPr>
        <w:t>Profit-motives harm</w:t>
      </w:r>
      <w:r w:rsidR="00893021" w:rsidRPr="00223414">
        <w:rPr>
          <w:szCs w:val="26"/>
        </w:rPr>
        <w:t xml:space="preserve"> health – </w:t>
      </w:r>
      <w:r w:rsidRPr="00223414">
        <w:rPr>
          <w:szCs w:val="26"/>
        </w:rPr>
        <w:t>structural adjustment, vaccines apartheid, underdeveloped public infrastructure</w:t>
      </w:r>
    </w:p>
    <w:p w14:paraId="10379B36" w14:textId="6DC44671" w:rsidR="00893021" w:rsidRPr="00DD2D90" w:rsidRDefault="00686199" w:rsidP="00893021">
      <w:r w:rsidRPr="00223414">
        <w:rPr>
          <w:b/>
          <w:bCs/>
          <w:sz w:val="26"/>
          <w:szCs w:val="26"/>
        </w:rPr>
        <w:t>Vivek 24</w:t>
      </w:r>
      <w:r w:rsidRPr="00DD2D90">
        <w:t xml:space="preserve"> [</w:t>
      </w:r>
      <w:r w:rsidR="00893021" w:rsidRPr="00DD2D90">
        <w:t xml:space="preserve">Nenmini Dileep Vivek, </w:t>
      </w:r>
      <w:r w:rsidR="001F6C74" w:rsidRPr="00DD2D90">
        <w:t xml:space="preserve">researcher at Vidyashilp University, </w:t>
      </w:r>
      <w:r w:rsidR="00893021" w:rsidRPr="00DD2D90">
        <w:t>10-20-2024, "Capitalism and Health Inequities in the Global South: The Impact of Neoliberal Policies on Healthcare Access and Equity", IntechOpen, https://www.intechopen.com/chapters/1211679</w:t>
      </w:r>
      <w:r w:rsidR="00BF215A" w:rsidRPr="00DD2D90">
        <w:t>]/Kankee</w:t>
      </w:r>
    </w:p>
    <w:p w14:paraId="404A1A78" w14:textId="1FB7BD38" w:rsidR="00893021" w:rsidRPr="00223414" w:rsidRDefault="00893021" w:rsidP="00C22F3F">
      <w:pPr>
        <w:rPr>
          <w:sz w:val="16"/>
        </w:rPr>
      </w:pPr>
      <w:r w:rsidRPr="00223414">
        <w:rPr>
          <w:sz w:val="16"/>
        </w:rPr>
        <w:t xml:space="preserve">1. Introduction The relationship between capitalism and health inequities in the Global South, particularly in India, South Africa, and Brazil, has been profoundly shaped by a combination of historical and systemic inequalities, further exacerbated by neoliberal economic policies. </w:t>
      </w:r>
      <w:r w:rsidRPr="00DD2D90">
        <w:rPr>
          <w:rStyle w:val="StyleUnderline"/>
        </w:rPr>
        <w:t>Neoliberalism</w:t>
      </w:r>
      <w:r w:rsidRPr="00223414">
        <w:rPr>
          <w:sz w:val="16"/>
        </w:rPr>
        <w:t xml:space="preserve">, characterized by deregulation, privatization, and the prioritization of free markets, has often </w:t>
      </w:r>
      <w:r w:rsidRPr="00DD2D90">
        <w:rPr>
          <w:rStyle w:val="StyleUnderline"/>
        </w:rPr>
        <w:t>amplified existing disparities in healthcare access</w:t>
      </w:r>
      <w:r w:rsidRPr="00223414">
        <w:rPr>
          <w:sz w:val="16"/>
        </w:rPr>
        <w:t xml:space="preserve">, leaving vulnerable populations further marginalized. In countries such as India, South Africa, and Brazil, </w:t>
      </w:r>
      <w:r w:rsidRPr="00DD2D90">
        <w:rPr>
          <w:rStyle w:val="Emphasis"/>
          <w:highlight w:val="green"/>
        </w:rPr>
        <w:t>dual</w:t>
      </w:r>
      <w:r w:rsidRPr="00223414">
        <w:rPr>
          <w:sz w:val="16"/>
          <w:highlight w:val="green"/>
        </w:rPr>
        <w:t xml:space="preserve"> </w:t>
      </w:r>
      <w:r w:rsidRPr="00DD2D90">
        <w:rPr>
          <w:rStyle w:val="StyleUnderline"/>
          <w:highlight w:val="green"/>
        </w:rPr>
        <w:t>healthcare systems</w:t>
      </w:r>
      <w:r w:rsidRPr="00DD2D90">
        <w:rPr>
          <w:rStyle w:val="StyleUnderline"/>
        </w:rPr>
        <w:t xml:space="preserve"> </w:t>
      </w:r>
      <w:r w:rsidRPr="00223414">
        <w:rPr>
          <w:sz w:val="16"/>
        </w:rPr>
        <w:t>have</w:t>
      </w:r>
      <w:r w:rsidRPr="00DD2D90">
        <w:rPr>
          <w:rStyle w:val="StyleUnderline"/>
        </w:rPr>
        <w:t xml:space="preserve"> </w:t>
      </w:r>
      <w:r w:rsidRPr="00DD2D90">
        <w:rPr>
          <w:rStyle w:val="StyleUnderline"/>
          <w:highlight w:val="green"/>
        </w:rPr>
        <w:t>emerged</w:t>
      </w:r>
      <w:r w:rsidRPr="00223414">
        <w:rPr>
          <w:sz w:val="16"/>
        </w:rPr>
        <w:t xml:space="preserve">: </w:t>
      </w:r>
      <w:r w:rsidRPr="00DD2D90">
        <w:rPr>
          <w:rStyle w:val="StyleUnderline"/>
          <w:highlight w:val="green"/>
        </w:rPr>
        <w:t>one</w:t>
      </w:r>
      <w:r w:rsidRPr="00DD2D90">
        <w:rPr>
          <w:rStyle w:val="StyleUnderline"/>
        </w:rPr>
        <w:t xml:space="preserve"> that </w:t>
      </w:r>
      <w:r w:rsidRPr="00DD2D90">
        <w:rPr>
          <w:rStyle w:val="StyleUnderline"/>
          <w:highlight w:val="green"/>
        </w:rPr>
        <w:t>caters to the wealthy</w:t>
      </w:r>
      <w:r w:rsidRPr="00DD2D90">
        <w:rPr>
          <w:rStyle w:val="StyleUnderline"/>
        </w:rPr>
        <w:t xml:space="preserve"> through private providers </w:t>
      </w:r>
      <w:r w:rsidRPr="00DD2D90">
        <w:rPr>
          <w:rStyle w:val="StyleUnderline"/>
          <w:highlight w:val="green"/>
        </w:rPr>
        <w:t>and</w:t>
      </w:r>
      <w:r w:rsidRPr="00DD2D90">
        <w:rPr>
          <w:rStyle w:val="StyleUnderline"/>
        </w:rPr>
        <w:t xml:space="preserve"> </w:t>
      </w:r>
      <w:r w:rsidRPr="00DD2D90">
        <w:rPr>
          <w:rStyle w:val="StyleUnderline"/>
          <w:highlight w:val="green"/>
        </w:rPr>
        <w:t>another</w:t>
      </w:r>
      <w:r w:rsidRPr="00DD2D90">
        <w:rPr>
          <w:rStyle w:val="StyleUnderline"/>
        </w:rPr>
        <w:t xml:space="preserve"> that </w:t>
      </w:r>
      <w:r w:rsidRPr="00DD2D90">
        <w:rPr>
          <w:rStyle w:val="StyleUnderline"/>
          <w:highlight w:val="green"/>
        </w:rPr>
        <w:t>serves the majority</w:t>
      </w:r>
      <w:r w:rsidRPr="00DD2D90">
        <w:rPr>
          <w:rStyle w:val="StyleUnderline"/>
        </w:rPr>
        <w:t xml:space="preserve"> </w:t>
      </w:r>
      <w:r w:rsidRPr="00DD2D90">
        <w:rPr>
          <w:rStyle w:val="StyleUnderline"/>
          <w:highlight w:val="green"/>
        </w:rPr>
        <w:t>through underfunded public systems</w:t>
      </w:r>
      <w:r w:rsidRPr="00223414">
        <w:rPr>
          <w:sz w:val="16"/>
        </w:rPr>
        <w:t xml:space="preserve">. This duality reveals stark contrasts in healthcare quality, with private systems offering better resources, while public systems struggle with limited funding and resources, leading to health inequities. For example, the </w:t>
      </w:r>
      <w:r w:rsidRPr="00DD2D90">
        <w:rPr>
          <w:rStyle w:val="Emphasis"/>
          <w:highlight w:val="green"/>
        </w:rPr>
        <w:t>India</w:t>
      </w:r>
      <w:r w:rsidRPr="00223414">
        <w:rPr>
          <w:sz w:val="16"/>
        </w:rPr>
        <w:t xml:space="preserve">n health system, </w:t>
      </w:r>
      <w:r w:rsidRPr="00DD2D90">
        <w:rPr>
          <w:rStyle w:val="StyleUnderline"/>
        </w:rPr>
        <w:t xml:space="preserve">with more than </w:t>
      </w:r>
      <w:r w:rsidRPr="00DD2D90">
        <w:rPr>
          <w:rStyle w:val="Emphasis"/>
          <w:highlight w:val="green"/>
        </w:rPr>
        <w:t>62.6%</w:t>
      </w:r>
      <w:r w:rsidRPr="00DD2D90">
        <w:rPr>
          <w:rStyle w:val="StyleUnderline"/>
        </w:rPr>
        <w:t xml:space="preserve"> </w:t>
      </w:r>
      <w:r w:rsidRPr="00DD2D90">
        <w:rPr>
          <w:rStyle w:val="StyleUnderline"/>
          <w:highlight w:val="green"/>
        </w:rPr>
        <w:t>of</w:t>
      </w:r>
      <w:r w:rsidRPr="00DD2D90">
        <w:rPr>
          <w:rStyle w:val="StyleUnderline"/>
        </w:rPr>
        <w:t xml:space="preserve"> its total </w:t>
      </w:r>
      <w:r w:rsidRPr="00DD2D90">
        <w:rPr>
          <w:rStyle w:val="StyleUnderline"/>
          <w:highlight w:val="green"/>
        </w:rPr>
        <w:t>healthcare</w:t>
      </w:r>
      <w:r w:rsidRPr="00DD2D90">
        <w:rPr>
          <w:rStyle w:val="StyleUnderline"/>
        </w:rPr>
        <w:t xml:space="preserve"> expenditure </w:t>
      </w:r>
      <w:r w:rsidRPr="00DD2D90">
        <w:rPr>
          <w:rStyle w:val="StyleUnderline"/>
          <w:highlight w:val="green"/>
        </w:rPr>
        <w:t>paid</w:t>
      </w:r>
      <w:r w:rsidRPr="00DD2D90">
        <w:rPr>
          <w:rStyle w:val="StyleUnderline"/>
        </w:rPr>
        <w:t xml:space="preserve"> </w:t>
      </w:r>
      <w:r w:rsidRPr="00DD2D90">
        <w:rPr>
          <w:rStyle w:val="StyleUnderline"/>
          <w:highlight w:val="green"/>
        </w:rPr>
        <w:t>o</w:t>
      </w:r>
      <w:r w:rsidRPr="00DD2D90">
        <w:rPr>
          <w:rStyle w:val="StyleUnderline"/>
        </w:rPr>
        <w:t>ut-</w:t>
      </w:r>
      <w:r w:rsidRPr="00DD2D90">
        <w:rPr>
          <w:rStyle w:val="StyleUnderline"/>
          <w:highlight w:val="green"/>
        </w:rPr>
        <w:t>o</w:t>
      </w:r>
      <w:r w:rsidRPr="00DD2D90">
        <w:rPr>
          <w:rStyle w:val="StyleUnderline"/>
        </w:rPr>
        <w:t>f-</w:t>
      </w:r>
      <w:r w:rsidRPr="00DD2D90">
        <w:rPr>
          <w:rStyle w:val="StyleUnderline"/>
          <w:highlight w:val="green"/>
        </w:rPr>
        <w:t>p</w:t>
      </w:r>
      <w:r w:rsidRPr="00DD2D90">
        <w:rPr>
          <w:rStyle w:val="StyleUnderline"/>
        </w:rPr>
        <w:t xml:space="preserve">ocket by households, </w:t>
      </w:r>
      <w:r w:rsidRPr="00DD2D90">
        <w:rPr>
          <w:rStyle w:val="StyleUnderline"/>
          <w:highlight w:val="green"/>
        </w:rPr>
        <w:t>forces</w:t>
      </w:r>
      <w:r w:rsidRPr="00DD2D90">
        <w:rPr>
          <w:rStyle w:val="StyleUnderline"/>
        </w:rPr>
        <w:t xml:space="preserve"> </w:t>
      </w:r>
      <w:r w:rsidRPr="00DD2D90">
        <w:rPr>
          <w:rStyle w:val="StyleUnderline"/>
          <w:highlight w:val="green"/>
        </w:rPr>
        <w:t xml:space="preserve">many into </w:t>
      </w:r>
      <w:r w:rsidRPr="00DD2D90">
        <w:rPr>
          <w:rStyle w:val="Emphasis"/>
          <w:highlight w:val="green"/>
        </w:rPr>
        <w:t>catastrophic</w:t>
      </w:r>
      <w:r w:rsidRPr="00DD2D90">
        <w:rPr>
          <w:rStyle w:val="StyleUnderline"/>
          <w:highlight w:val="green"/>
        </w:rPr>
        <w:t xml:space="preserve"> financial situations</w:t>
      </w:r>
      <w:r w:rsidRPr="00DD2D90">
        <w:rPr>
          <w:rStyle w:val="StyleUnderline"/>
        </w:rPr>
        <w:t xml:space="preserve"> when accessing healthcare</w:t>
      </w:r>
      <w:r w:rsidRPr="00223414">
        <w:rPr>
          <w:sz w:val="16"/>
        </w:rPr>
        <w:t xml:space="preserve">. Similarly, </w:t>
      </w:r>
      <w:r w:rsidRPr="00DD2D90">
        <w:rPr>
          <w:rStyle w:val="StyleUnderline"/>
          <w:highlight w:val="green"/>
        </w:rPr>
        <w:t xml:space="preserve">in </w:t>
      </w:r>
      <w:r w:rsidRPr="00DD2D90">
        <w:rPr>
          <w:rStyle w:val="Emphasis"/>
          <w:highlight w:val="green"/>
        </w:rPr>
        <w:t>South Africa</w:t>
      </w:r>
      <w:r w:rsidRPr="00DD2D90">
        <w:rPr>
          <w:rStyle w:val="StyleUnderline"/>
        </w:rPr>
        <w:t xml:space="preserve">, the </w:t>
      </w:r>
      <w:r w:rsidRPr="00DD2D90">
        <w:rPr>
          <w:rStyle w:val="StyleUnderline"/>
          <w:highlight w:val="green"/>
        </w:rPr>
        <w:t>private healthcare</w:t>
      </w:r>
      <w:r w:rsidRPr="00DD2D90">
        <w:rPr>
          <w:rStyle w:val="StyleUnderline"/>
        </w:rPr>
        <w:t xml:space="preserve"> sector </w:t>
      </w:r>
      <w:r w:rsidRPr="00DD2D90">
        <w:rPr>
          <w:rStyle w:val="StyleUnderline"/>
          <w:highlight w:val="green"/>
        </w:rPr>
        <w:t>consumes</w:t>
      </w:r>
      <w:r w:rsidRPr="00DD2D90">
        <w:rPr>
          <w:rStyle w:val="StyleUnderline"/>
        </w:rPr>
        <w:t xml:space="preserve"> more than </w:t>
      </w:r>
      <w:r w:rsidRPr="00DD2D90">
        <w:rPr>
          <w:rStyle w:val="Emphasis"/>
          <w:highlight w:val="green"/>
        </w:rPr>
        <w:t>half</w:t>
      </w:r>
      <w:r w:rsidRPr="00DD2D90">
        <w:rPr>
          <w:rStyle w:val="StyleUnderline"/>
        </w:rPr>
        <w:t xml:space="preserve"> of the country’s </w:t>
      </w:r>
      <w:r w:rsidRPr="00DD2D90">
        <w:rPr>
          <w:rStyle w:val="StyleUnderline"/>
          <w:highlight w:val="green"/>
        </w:rPr>
        <w:t>health</w:t>
      </w:r>
      <w:r w:rsidRPr="00DD2D90">
        <w:rPr>
          <w:rStyle w:val="StyleUnderline"/>
        </w:rPr>
        <w:t xml:space="preserve"> </w:t>
      </w:r>
      <w:r w:rsidRPr="00DD2D90">
        <w:rPr>
          <w:rStyle w:val="StyleUnderline"/>
          <w:highlight w:val="green"/>
        </w:rPr>
        <w:t>expenditure, despite serving</w:t>
      </w:r>
      <w:r w:rsidRPr="00DD2D90">
        <w:rPr>
          <w:rStyle w:val="StyleUnderline"/>
        </w:rPr>
        <w:t xml:space="preserve"> </w:t>
      </w:r>
      <w:r w:rsidRPr="00223414">
        <w:rPr>
          <w:sz w:val="16"/>
        </w:rPr>
        <w:t>a mere</w:t>
      </w:r>
      <w:r w:rsidRPr="00DD2D90">
        <w:rPr>
          <w:rStyle w:val="StyleUnderline"/>
        </w:rPr>
        <w:t xml:space="preserve"> </w:t>
      </w:r>
      <w:r w:rsidRPr="00DD2D90">
        <w:rPr>
          <w:rStyle w:val="StyleUnderline"/>
          <w:highlight w:val="green"/>
        </w:rPr>
        <w:t>16% of the population</w:t>
      </w:r>
      <w:r w:rsidRPr="00223414">
        <w:rPr>
          <w:sz w:val="16"/>
        </w:rPr>
        <w:t xml:space="preserve">, deepening the divide in healthcare access and outcomes. Capitalism-driven healthcare policies have had a disproportionate impact on marginalized communities in these countries, further exacerbating the burden of infectious diseases such as HIV/AIDS, tuberculosis (TB), and COVID-19. </w:t>
      </w:r>
      <w:r w:rsidRPr="00DD2D90">
        <w:rPr>
          <w:rStyle w:val="StyleUnderline"/>
        </w:rPr>
        <w:t xml:space="preserve">In </w:t>
      </w:r>
      <w:r w:rsidRPr="00DD2D90">
        <w:rPr>
          <w:rStyle w:val="StyleUnderline"/>
          <w:highlight w:val="green"/>
        </w:rPr>
        <w:t>South Africa</w:t>
      </w:r>
      <w:r w:rsidRPr="00223414">
        <w:rPr>
          <w:sz w:val="16"/>
        </w:rPr>
        <w:t xml:space="preserve">, </w:t>
      </w:r>
      <w:r w:rsidRPr="00DD2D90">
        <w:rPr>
          <w:rStyle w:val="StyleUnderline"/>
        </w:rPr>
        <w:t>which</w:t>
      </w:r>
      <w:r w:rsidRPr="00223414">
        <w:rPr>
          <w:sz w:val="16"/>
        </w:rPr>
        <w:t xml:space="preserve"> continues to </w:t>
      </w:r>
      <w:r w:rsidRPr="00DD2D90">
        <w:rPr>
          <w:rStyle w:val="StyleUnderline"/>
          <w:highlight w:val="green"/>
        </w:rPr>
        <w:t xml:space="preserve">experience the </w:t>
      </w:r>
      <w:r w:rsidRPr="00DD2D90">
        <w:rPr>
          <w:rStyle w:val="StyleUnderline"/>
        </w:rPr>
        <w:t xml:space="preserve">world’s </w:t>
      </w:r>
      <w:r w:rsidRPr="00DD2D90">
        <w:rPr>
          <w:rStyle w:val="StyleUnderline"/>
          <w:highlight w:val="green"/>
        </w:rPr>
        <w:t>highest HIV</w:t>
      </w:r>
      <w:r w:rsidRPr="00DD2D90">
        <w:rPr>
          <w:rStyle w:val="StyleUnderline"/>
        </w:rPr>
        <w:t xml:space="preserve"> </w:t>
      </w:r>
      <w:r w:rsidRPr="00DD2D90">
        <w:rPr>
          <w:rStyle w:val="StyleUnderline"/>
          <w:highlight w:val="green"/>
        </w:rPr>
        <w:t>prevalence</w:t>
      </w:r>
      <w:r w:rsidRPr="00223414">
        <w:rPr>
          <w:sz w:val="16"/>
        </w:rPr>
        <w:t xml:space="preserve">, </w:t>
      </w:r>
      <w:r w:rsidRPr="00DD2D90">
        <w:rPr>
          <w:rStyle w:val="StyleUnderline"/>
          <w:highlight w:val="green"/>
        </w:rPr>
        <w:t>neoliberal</w:t>
      </w:r>
      <w:r w:rsidRPr="00223414">
        <w:rPr>
          <w:sz w:val="16"/>
          <w:highlight w:val="green"/>
        </w:rPr>
        <w:t xml:space="preserve"> </w:t>
      </w:r>
      <w:r w:rsidRPr="00DD2D90">
        <w:rPr>
          <w:rStyle w:val="StyleUnderline"/>
          <w:highlight w:val="green"/>
        </w:rPr>
        <w:t>policies</w:t>
      </w:r>
      <w:r w:rsidRPr="00223414">
        <w:rPr>
          <w:sz w:val="16"/>
        </w:rPr>
        <w:t xml:space="preserve"> have </w:t>
      </w:r>
      <w:r w:rsidRPr="00DD2D90">
        <w:rPr>
          <w:rStyle w:val="Emphasis"/>
        </w:rPr>
        <w:t>compounded</w:t>
      </w:r>
      <w:r w:rsidRPr="00DD2D90">
        <w:rPr>
          <w:rStyle w:val="StyleUnderline"/>
        </w:rPr>
        <w:t xml:space="preserve"> the crisis</w:t>
      </w:r>
      <w:r w:rsidRPr="00223414">
        <w:rPr>
          <w:sz w:val="16"/>
        </w:rPr>
        <w:t xml:space="preserve"> </w:t>
      </w:r>
      <w:r w:rsidRPr="00DD2D90">
        <w:rPr>
          <w:rStyle w:val="StyleUnderline"/>
        </w:rPr>
        <w:t xml:space="preserve">by </w:t>
      </w:r>
      <w:r w:rsidRPr="00DD2D90">
        <w:rPr>
          <w:rStyle w:val="StyleUnderline"/>
          <w:highlight w:val="green"/>
        </w:rPr>
        <w:t>limiti</w:t>
      </w:r>
      <w:r w:rsidRPr="00DD2D90">
        <w:rPr>
          <w:rStyle w:val="StyleUnderline"/>
        </w:rPr>
        <w:t xml:space="preserve">ng </w:t>
      </w:r>
      <w:r w:rsidRPr="00DD2D90">
        <w:rPr>
          <w:rStyle w:val="StyleUnderline"/>
          <w:highlight w:val="green"/>
        </w:rPr>
        <w:t>government intervention</w:t>
      </w:r>
      <w:r w:rsidRPr="00223414">
        <w:rPr>
          <w:sz w:val="16"/>
        </w:rPr>
        <w:t xml:space="preserve"> and support </w:t>
      </w:r>
      <w:r w:rsidRPr="00DD2D90">
        <w:rPr>
          <w:rStyle w:val="StyleUnderline"/>
          <w:highlight w:val="green"/>
        </w:rPr>
        <w:t>in favor of market solutions</w:t>
      </w:r>
      <w:r w:rsidRPr="00DD2D90">
        <w:rPr>
          <w:rStyle w:val="StyleUnderline"/>
        </w:rPr>
        <w:t xml:space="preserve">, leaving </w:t>
      </w:r>
      <w:r w:rsidRPr="00DD2D90">
        <w:rPr>
          <w:rStyle w:val="Emphasis"/>
        </w:rPr>
        <w:t>millions</w:t>
      </w:r>
      <w:r w:rsidRPr="00DD2D90">
        <w:rPr>
          <w:rStyle w:val="StyleUnderline"/>
        </w:rPr>
        <w:t xml:space="preserve"> dependent on an underfunded public healthcare system</w:t>
      </w:r>
      <w:r w:rsidRPr="00223414">
        <w:rPr>
          <w:sz w:val="16"/>
        </w:rPr>
        <w:t xml:space="preserve">. Similarly, </w:t>
      </w:r>
      <w:r w:rsidRPr="00DD2D90">
        <w:rPr>
          <w:rStyle w:val="StyleUnderline"/>
          <w:highlight w:val="green"/>
        </w:rPr>
        <w:t>India’s</w:t>
      </w:r>
      <w:r w:rsidRPr="00DD2D90">
        <w:rPr>
          <w:rStyle w:val="StyleUnderline"/>
        </w:rPr>
        <w:t xml:space="preserve"> </w:t>
      </w:r>
      <w:r w:rsidRPr="00DD2D90">
        <w:rPr>
          <w:rStyle w:val="StyleUnderline"/>
          <w:highlight w:val="green"/>
        </w:rPr>
        <w:t>tuberculosis</w:t>
      </w:r>
      <w:r w:rsidRPr="00DD2D90">
        <w:rPr>
          <w:rStyle w:val="StyleUnderline"/>
        </w:rPr>
        <w:t xml:space="preserve"> crisis </w:t>
      </w:r>
      <w:r w:rsidRPr="00DD2D90">
        <w:rPr>
          <w:rStyle w:val="StyleUnderline"/>
          <w:highlight w:val="green"/>
        </w:rPr>
        <w:t>remains</w:t>
      </w:r>
      <w:r w:rsidRPr="00DD2D90">
        <w:rPr>
          <w:rStyle w:val="StyleUnderline"/>
        </w:rPr>
        <w:t xml:space="preserve"> largely </w:t>
      </w:r>
      <w:r w:rsidRPr="00DD2D90">
        <w:rPr>
          <w:rStyle w:val="StyleUnderline"/>
          <w:highlight w:val="green"/>
        </w:rPr>
        <w:t xml:space="preserve">unchecked due to a </w:t>
      </w:r>
      <w:r w:rsidRPr="00DD2D90">
        <w:rPr>
          <w:rStyle w:val="Emphasis"/>
          <w:highlight w:val="green"/>
        </w:rPr>
        <w:t>fragmented</w:t>
      </w:r>
      <w:r w:rsidRPr="00DD2D90">
        <w:rPr>
          <w:rStyle w:val="StyleUnderline"/>
          <w:highlight w:val="green"/>
        </w:rPr>
        <w:t xml:space="preserve"> </w:t>
      </w:r>
      <w:r w:rsidRPr="00DD2D90">
        <w:rPr>
          <w:rStyle w:val="StyleUnderline"/>
        </w:rPr>
        <w:t xml:space="preserve">healthcare </w:t>
      </w:r>
      <w:r w:rsidRPr="00DD2D90">
        <w:rPr>
          <w:rStyle w:val="StyleUnderline"/>
          <w:highlight w:val="green"/>
        </w:rPr>
        <w:t>system</w:t>
      </w:r>
      <w:r w:rsidRPr="00DD2D90">
        <w:rPr>
          <w:rStyle w:val="StyleUnderline"/>
        </w:rPr>
        <w:t xml:space="preserve"> where private sector services are</w:t>
      </w:r>
      <w:r w:rsidRPr="00223414">
        <w:rPr>
          <w:sz w:val="16"/>
        </w:rPr>
        <w:t xml:space="preserve"> costly and often </w:t>
      </w:r>
      <w:r w:rsidRPr="00DD2D90">
        <w:rPr>
          <w:rStyle w:val="StyleUnderline"/>
        </w:rPr>
        <w:t>inaccessible to poorer populations</w:t>
      </w:r>
      <w:r w:rsidRPr="00223414">
        <w:rPr>
          <w:sz w:val="16"/>
        </w:rPr>
        <w:t xml:space="preserve">. </w:t>
      </w:r>
      <w:r w:rsidRPr="00DD2D90">
        <w:rPr>
          <w:rStyle w:val="Emphasis"/>
        </w:rPr>
        <w:t>Brazil</w:t>
      </w:r>
      <w:r w:rsidRPr="00DD2D90">
        <w:rPr>
          <w:rStyle w:val="StyleUnderline"/>
        </w:rPr>
        <w:t>’s healthcare system</w:t>
      </w:r>
      <w:r w:rsidRPr="00223414">
        <w:rPr>
          <w:sz w:val="16"/>
        </w:rPr>
        <w:t xml:space="preserve">, though based on a universal health coverage model, </w:t>
      </w:r>
      <w:r w:rsidRPr="00DD2D90">
        <w:rPr>
          <w:rStyle w:val="StyleUnderline"/>
        </w:rPr>
        <w:t>has been weakened by neoliberal austerity</w:t>
      </w:r>
      <w:r w:rsidRPr="00223414">
        <w:rPr>
          <w:sz w:val="16"/>
        </w:rPr>
        <w:t xml:space="preserve"> measures that have underfunded the public sector, </w:t>
      </w:r>
      <w:r w:rsidRPr="00DD2D90">
        <w:rPr>
          <w:rStyle w:val="StyleUnderline"/>
        </w:rPr>
        <w:t>resulting in poor access to healthcare for low-income and rural populations</w:t>
      </w:r>
      <w:r w:rsidRPr="00223414">
        <w:rPr>
          <w:sz w:val="16"/>
        </w:rPr>
        <w:t xml:space="preserve">. These structural inequalities are compounded by the dual burden of disease, with non-communicable diseases (NCDs) such as diabetes, cancer, and heart disease now becoming major public health challenges. </w:t>
      </w:r>
      <w:r w:rsidRPr="00DD2D90">
        <w:rPr>
          <w:rStyle w:val="StyleUnderline"/>
        </w:rPr>
        <w:t>The rising prevalence of NCDs in India, Brazil, and South Africa</w:t>
      </w:r>
      <w:r w:rsidRPr="00223414">
        <w:rPr>
          <w:sz w:val="16"/>
        </w:rPr>
        <w:t xml:space="preserve">, driven by factors such as urbanization and changes in lifestyle, further </w:t>
      </w:r>
      <w:r w:rsidRPr="00DD2D90">
        <w:rPr>
          <w:rStyle w:val="StyleUnderline"/>
        </w:rPr>
        <w:t>highlights the inability of neoliberal healthcare models to address</w:t>
      </w:r>
      <w:r w:rsidRPr="00223414">
        <w:rPr>
          <w:sz w:val="16"/>
        </w:rPr>
        <w:t xml:space="preserve"> both communicable and </w:t>
      </w:r>
      <w:r w:rsidRPr="00DD2D90">
        <w:rPr>
          <w:rStyle w:val="StyleUnderline"/>
        </w:rPr>
        <w:t>non-communicable diseases</w:t>
      </w:r>
      <w:r w:rsidRPr="00223414">
        <w:rPr>
          <w:sz w:val="16"/>
        </w:rPr>
        <w:t xml:space="preserve"> equitably. The global race for COVID-19 vaccines provides a compelling case study of how capitalist interests can hinder equitable healthcare distribution, especially in the Global South. </w:t>
      </w:r>
      <w:r w:rsidRPr="00DD2D90">
        <w:rPr>
          <w:rStyle w:val="StyleUnderline"/>
          <w:highlight w:val="green"/>
        </w:rPr>
        <w:t xml:space="preserve">Wealthy nations </w:t>
      </w:r>
      <w:r w:rsidRPr="00DD2D90">
        <w:rPr>
          <w:rStyle w:val="Emphasis"/>
          <w:highlight w:val="green"/>
        </w:rPr>
        <w:t>monopolized</w:t>
      </w:r>
      <w:r w:rsidRPr="00DD2D90">
        <w:rPr>
          <w:rStyle w:val="StyleUnderline"/>
          <w:highlight w:val="green"/>
        </w:rPr>
        <w:t xml:space="preserve"> vaccine supplies early in the pandemic</w:t>
      </w:r>
      <w:r w:rsidRPr="00DD2D90">
        <w:rPr>
          <w:rStyle w:val="StyleUnderline"/>
        </w:rPr>
        <w:t>, leaving countries such as India, South Africa, and Brazil scrambling</w:t>
      </w:r>
      <w:r w:rsidRPr="00223414">
        <w:rPr>
          <w:sz w:val="16"/>
        </w:rPr>
        <w:t xml:space="preserve"> for access to life-saving doses. </w:t>
      </w:r>
      <w:r w:rsidRPr="00DD2D90">
        <w:rPr>
          <w:rStyle w:val="StyleUnderline"/>
        </w:rPr>
        <w:t xml:space="preserve">The </w:t>
      </w:r>
      <w:r w:rsidRPr="00DD2D90">
        <w:rPr>
          <w:rStyle w:val="StyleUnderline"/>
          <w:highlight w:val="green"/>
        </w:rPr>
        <w:t>pharma</w:t>
      </w:r>
      <w:r w:rsidRPr="00DD2D90">
        <w:rPr>
          <w:rStyle w:val="StyleUnderline"/>
        </w:rPr>
        <w:t xml:space="preserve">ceutical industry’s </w:t>
      </w:r>
      <w:r w:rsidRPr="00DD2D90">
        <w:rPr>
          <w:rStyle w:val="StyleUnderline"/>
          <w:highlight w:val="green"/>
        </w:rPr>
        <w:t>profit-driven motives</w:t>
      </w:r>
      <w:r w:rsidRPr="00DD2D90">
        <w:rPr>
          <w:rStyle w:val="StyleUnderline"/>
        </w:rPr>
        <w:t xml:space="preserve"> were laid bare as companies </w:t>
      </w:r>
      <w:r w:rsidRPr="00DD2D90">
        <w:rPr>
          <w:rStyle w:val="StyleUnderline"/>
          <w:highlight w:val="green"/>
        </w:rPr>
        <w:t>prioritized deals with high-income countries</w:t>
      </w:r>
      <w:r w:rsidRPr="00DD2D90">
        <w:rPr>
          <w:rStyle w:val="StyleUnderline"/>
        </w:rPr>
        <w:t xml:space="preserve">, while global initiatives like </w:t>
      </w:r>
      <w:r w:rsidRPr="00DD2D90">
        <w:rPr>
          <w:rStyle w:val="StyleUnderline"/>
          <w:highlight w:val="green"/>
        </w:rPr>
        <w:t>COVAX</w:t>
      </w:r>
      <w:r w:rsidRPr="00DD2D90">
        <w:rPr>
          <w:rStyle w:val="StyleUnderline"/>
        </w:rPr>
        <w:t xml:space="preserve">, meant to ensure vaccine access for poorer nations, </w:t>
      </w:r>
      <w:r w:rsidRPr="00DD2D90">
        <w:rPr>
          <w:rStyle w:val="StyleUnderline"/>
          <w:highlight w:val="green"/>
        </w:rPr>
        <w:t>suffered delays</w:t>
      </w:r>
      <w:r w:rsidRPr="00223414">
        <w:rPr>
          <w:sz w:val="16"/>
        </w:rPr>
        <w:t xml:space="preserve">. For example, </w:t>
      </w:r>
      <w:r w:rsidRPr="00DD2D90">
        <w:rPr>
          <w:rStyle w:val="StyleUnderline"/>
        </w:rPr>
        <w:t>India and Brazil</w:t>
      </w:r>
      <w:r w:rsidRPr="00223414">
        <w:rPr>
          <w:sz w:val="16"/>
        </w:rPr>
        <w:t xml:space="preserve">, despite being major producers of vaccines, </w:t>
      </w:r>
      <w:r w:rsidRPr="00DD2D90">
        <w:rPr>
          <w:rStyle w:val="StyleUnderline"/>
        </w:rPr>
        <w:t xml:space="preserve">faced challenges in securing </w:t>
      </w:r>
      <w:r w:rsidRPr="00223414">
        <w:rPr>
          <w:sz w:val="16"/>
        </w:rPr>
        <w:t xml:space="preserve">enough </w:t>
      </w:r>
      <w:r w:rsidRPr="00DD2D90">
        <w:rPr>
          <w:rStyle w:val="StyleUnderline"/>
        </w:rPr>
        <w:t>doses for their own populations due to global competition</w:t>
      </w:r>
      <w:r w:rsidRPr="00223414">
        <w:rPr>
          <w:sz w:val="16"/>
        </w:rPr>
        <w:t xml:space="preserve"> and supply chain bottlenecks. These examples illustrate how capitalist interests can undermine global public health goals, as corporations prioritize profits over equitable access. In this context, neoliberal policies that promote privatization and the free market exacerbate these issues by placing vital healthcare resources out of reach for the poorest, reinforcing the urgent need for a new global health framework centered on equity and inclusivity, rather than profit maximization. 2. Historical context of capitalism and healthcare in the global south</w:t>
      </w:r>
      <w:r w:rsidR="001F6C74" w:rsidRPr="00223414">
        <w:rPr>
          <w:sz w:val="16"/>
        </w:rPr>
        <w:t xml:space="preserve"> </w:t>
      </w:r>
      <w:r w:rsidRPr="00223414">
        <w:rPr>
          <w:sz w:val="16"/>
        </w:rPr>
        <w:t xml:space="preserve">The Global South’s healthcare systems are inextricably linked to the legacy of colonialism, which shaped both their economic structures and public health disparities [1, 2]. During the colonial period, healthcare infrastructure and services were primarily designed to serve settler populations and those working within colonial industries, with the health needs of indigenous and enslaved communities left largely unaddressed. Colonial administrations often justified neglect of the local populations, citing racial hierarchies and the belief that indigenous health issues were less urgent or relevant to the colonial agenda [3]. This neglects entrenched health disparities that have persisted for generations. In India, for example, the British colonial regime’s focus on protecting soldiers and administrators from tropical diseases led to the establishment of military hospitals and medical services in urban centers, while rural areas, where the majority of the population lived, remained underserved [4]. Similar patterns were seen across much of Africa and Latin America, where colonial administrations prioritized the health of European settlers over that of local populations [5]. These foundations of unequal access to healthcare were institutionalized, creating enduring gaps in health outcomes that persisted into the postcolonial era [2]. After decolonization, the newly independent countries of the Global South, including India, South Africa, and Brazil, faced significant challenges in rebuilding their economies and addressing the stark health inequities that had developed during colonial rule. Colonial economic structures had been designed to extract resources, with minimal attention given to local development or the welfare of indigenous populations [6]. As a result, these nations inherited economies deeply dependent on resource extraction, with limited capacity for industrialization and self-sufficiency. Coupled with the underfunded and understaffed public health systems that had prioritized settler and colonial officials [7], these countries struggled to provide adequate healthcare for their populations, especially in rural and marginalized areas. In India, for example, British colonial rule left behind a healthcare system that was urban-centric, with a strong focus on the needs of the colonial administration [8]. After independence, India faced the monumental task of extending healthcare to its vast rural population, which had been largely neglected under colonial rule. The Indian government initially adopted a socialist-oriented approach to development, with significant investments in public health infrastructure [9]. However, limited financial capacity and the sheer scale of India’s population made it difficult to adequately fund and staff healthcare facilities. By the 1970s and 1980s, India faced mounting economic challenges, and the public healthcare system struggled to keep up with the growing needs of the population, particularly in rural areas where healthcare access remained limited. The 1991 economic crisis further exacerbated these challenges, leading India to adopt neoliberal economic reforms under the guidance of the International Monetary Fund (IMF) and World Bank [10]. These reforms included cuts to public spending, including healthcare, and opened the door to private sector involvement in healthcare, further widening the gap between those who could afford private care and those who relied on the underfunded public system. Similarly, South Africa’s post-colonial and post-apartheid governments faced immense challenges in addressing the health inequities that had been entrenched by both colonialism and apartheid [11]. Under apartheid, the healthcare system had been racially segregated, with high-quality services provided to the white minority, while the black majority was left with under-resourced and poorly staffed healthcare facilities [12]. After the end of apartheid in 1994, the new government led by the African National Congress (ANC) inherited a deeply divided healthcare system. The government’s commitment to improving healthcare access for the black majority led to significant investments in public health, particularly in the early years of democracy. However, the legacy of underfunded and understaffed public health facilities, coupled with the immense burden of diseases such as HIV/AIDS and tuberculosis, posed significant challenges [13]. Additionally, as South Africa faced economic difficulties, the government turned to neoliberal economic policies, which included reducing public spending and promoting private sector involvement in healthcare. This has led to the persistence of a dual healthcare system, where private healthcare caters to the wealthy, while the majority of the population relies on an overburdened and underfunded public healthcare system [14]. In Brazil, the healthcare system faced similar challenges following the end of military dictatorship in 1985. During the dictatorship, public health was largely neglected, and healthcare services were concentrated in urban areas, leaving rural and marginalized communities with limited access to care [15]. After the transition to democracy, Brazil made significant strides in expanding healthcare access through the establishment of the Sistema Único de Saúde (SUS) (Unified Health System) in 1988 [16]. SUS aimed to provide universal healthcare coverage, with a strong focus on primary healthcare and preventive services. However, like India and South Africa, Brazil faced financial constraints that limited the government’s ability to fully fund the public healthcare system. In the 1990s, Brazil, like many other countries in the Global South, adopted neoliberal economic policies under pressure from the IMF and World Bank [17]. These policies included cuts to public spending, including healthcare, and promoted the privatization of public services. While SUS continued to provide healthcare to the majority of the population, the rise of private healthcare providers and insurance companies led to increasing disparities in access to care [15]. Wealthier Brazilians turned to private healthcare services, while the public system struggled to meet the needs of the rest of the population, particularly in rural and underserved areas. In all three countries, the legacies of colonialism, combined with the pressures of neoliberal economic policies, have created healthcare systems that are marked by deep inequalities. In the 1980s and 1990s, neoliberal economic policies dominated global governance under the guidance of institutions such as the IMF and World Bank [18]. As many Global South nations, including India, South Africa, and Brazil, faced economic crises, they were forced to adopt Structural Adjustment Programs (SAPs) as a condition for receiving financial assistance [19]. These programs prioritized economic liberalization, privatization of public services, and fiscal austerity, fundamentally reshaping the role of the state in providing essential services, including healthcare. While SAPs aimed to spur economic growth by reducing government spending and promoting private investment, they often resulted in the weakening of public healthcare systems. In countries like India, </w:t>
      </w:r>
      <w:r w:rsidRPr="00DD2D90">
        <w:rPr>
          <w:rStyle w:val="StyleUnderline"/>
          <w:highlight w:val="green"/>
        </w:rPr>
        <w:t>SAPs led to reduced public spending on healthcare</w:t>
      </w:r>
      <w:r w:rsidRPr="00DD2D90">
        <w:rPr>
          <w:rStyle w:val="StyleUnderline"/>
        </w:rPr>
        <w:t>, which disproportionately affected rural and low-income populations</w:t>
      </w:r>
      <w:r w:rsidRPr="00223414">
        <w:rPr>
          <w:sz w:val="16"/>
        </w:rPr>
        <w:t xml:space="preserve">. As public healthcare systems deteriorated, </w:t>
      </w:r>
      <w:r w:rsidRPr="00DD2D90">
        <w:rPr>
          <w:rStyle w:val="StyleUnderline"/>
          <w:highlight w:val="green"/>
        </w:rPr>
        <w:t>private</w:t>
      </w:r>
      <w:r w:rsidRPr="00DD2D90">
        <w:rPr>
          <w:rStyle w:val="StyleUnderline"/>
        </w:rPr>
        <w:t xml:space="preserve"> healthcare </w:t>
      </w:r>
      <w:r w:rsidRPr="00DD2D90">
        <w:rPr>
          <w:rStyle w:val="StyleUnderline"/>
          <w:highlight w:val="green"/>
        </w:rPr>
        <w:t>providers stepped in</w:t>
      </w:r>
      <w:r w:rsidRPr="00DD2D90">
        <w:rPr>
          <w:rStyle w:val="StyleUnderline"/>
        </w:rPr>
        <w:t>, but at a cost—</w:t>
      </w:r>
      <w:r w:rsidRPr="00DD2D90">
        <w:rPr>
          <w:rStyle w:val="StyleUnderline"/>
          <w:highlight w:val="green"/>
        </w:rPr>
        <w:t>access to care became</w:t>
      </w:r>
      <w:r w:rsidRPr="00DD2D90">
        <w:rPr>
          <w:rStyle w:val="StyleUnderline"/>
        </w:rPr>
        <w:t xml:space="preserve"> </w:t>
      </w:r>
      <w:r w:rsidRPr="00DD2D90">
        <w:rPr>
          <w:rStyle w:val="StyleUnderline"/>
          <w:highlight w:val="green"/>
        </w:rPr>
        <w:t>increasingly unequal</w:t>
      </w:r>
      <w:r w:rsidRPr="00223414">
        <w:rPr>
          <w:sz w:val="16"/>
        </w:rPr>
        <w:t xml:space="preserve">, with those unable to afford private services left reliant on an underfunded public system. </w:t>
      </w:r>
      <w:r w:rsidRPr="00DD2D90">
        <w:rPr>
          <w:rStyle w:val="StyleUnderline"/>
        </w:rPr>
        <w:t>In South Africa, SAPs similarly exacerbated existing inequalities</w:t>
      </w:r>
      <w:r w:rsidRPr="00223414">
        <w:rPr>
          <w:sz w:val="16"/>
        </w:rPr>
        <w:t xml:space="preserve">, reinforcing a dual healthcare system that favored the wealthy. Brazil, while initially more resistant to privatization, eventually adopted austerity measures in response to financial pressures, leading to reduced investment in its public health sector. The impact of these neoliberal policies has been long-lasting, with many Global South countries still struggling to balance economic growth with equitable healthcare access. The challenges of providing equitable healthcare in the Global South are thus deeply rooted in both historical and contemporary global economic dynamics, with capitalism playing a central role in shaping health inequities. 3. Neoliberalism and the emergence of dual healthcare systems One of the most significant consequences of neoliberalism in the Global South has been the rise of dual healthcare systems, which have entrenched health disparities and deepened existing inequalities. Neoliberal policies, characterized by deregulation, privatization, and a focus on market-driven solutions, have profoundly influenced healthcare access and quality in countries such as India, South Africa, and Brazil [20]. In these nations, the private healthcare sector thrives, catering primarily to affluent individuals who can afford high-quality medical services. In contrast, public healthcare systems, often underfunded and overstretched, struggle to meet the needs of the majority of the population. </w:t>
      </w:r>
      <w:r w:rsidRPr="00DD2D90">
        <w:rPr>
          <w:rStyle w:val="StyleUnderline"/>
        </w:rPr>
        <w:t xml:space="preserve">The emphasis on profit maximization and the </w:t>
      </w:r>
      <w:r w:rsidRPr="00DD2D90">
        <w:rPr>
          <w:rStyle w:val="Emphasis"/>
          <w:highlight w:val="green"/>
        </w:rPr>
        <w:t>commodification</w:t>
      </w:r>
      <w:r w:rsidRPr="00DD2D90">
        <w:rPr>
          <w:rStyle w:val="StyleUnderline"/>
        </w:rPr>
        <w:t xml:space="preserve"> of healthcare services</w:t>
      </w:r>
      <w:r w:rsidRPr="00223414">
        <w:rPr>
          <w:sz w:val="16"/>
        </w:rPr>
        <w:t xml:space="preserve"> have </w:t>
      </w:r>
      <w:r w:rsidRPr="00DD2D90">
        <w:rPr>
          <w:rStyle w:val="StyleUnderline"/>
          <w:highlight w:val="green"/>
        </w:rPr>
        <w:t>led to</w:t>
      </w:r>
      <w:r w:rsidRPr="00DD2D90">
        <w:rPr>
          <w:rStyle w:val="StyleUnderline"/>
        </w:rPr>
        <w:t xml:space="preserve"> a situation where access to </w:t>
      </w:r>
      <w:r w:rsidRPr="00DD2D90">
        <w:rPr>
          <w:rStyle w:val="StyleUnderline"/>
          <w:highlight w:val="green"/>
        </w:rPr>
        <w:t>quality care</w:t>
      </w:r>
      <w:r w:rsidRPr="00DD2D90">
        <w:rPr>
          <w:rStyle w:val="StyleUnderline"/>
        </w:rPr>
        <w:t xml:space="preserve"> is increasingly </w:t>
      </w:r>
      <w:r w:rsidRPr="00DD2D90">
        <w:rPr>
          <w:rStyle w:val="StyleUnderline"/>
          <w:highlight w:val="green"/>
        </w:rPr>
        <w:t>determined by</w:t>
      </w:r>
      <w:r w:rsidRPr="00DD2D90">
        <w:rPr>
          <w:rStyle w:val="StyleUnderline"/>
        </w:rPr>
        <w:t xml:space="preserve"> one’s </w:t>
      </w:r>
      <w:r w:rsidRPr="00DD2D90">
        <w:rPr>
          <w:rStyle w:val="StyleUnderline"/>
          <w:highlight w:val="green"/>
        </w:rPr>
        <w:t>financial resources</w:t>
      </w:r>
      <w:r w:rsidRPr="00DD2D90">
        <w:rPr>
          <w:rStyle w:val="StyleUnderline"/>
        </w:rPr>
        <w:t xml:space="preserve">, </w:t>
      </w:r>
      <w:r w:rsidRPr="00DD2D90">
        <w:rPr>
          <w:rStyle w:val="StyleUnderline"/>
          <w:highlight w:val="green"/>
        </w:rPr>
        <w:t xml:space="preserve">reinforcing social hierarchies and </w:t>
      </w:r>
      <w:r w:rsidRPr="00DD2D90">
        <w:rPr>
          <w:rStyle w:val="StyleUnderline"/>
        </w:rPr>
        <w:t xml:space="preserve">exacerbating </w:t>
      </w:r>
      <w:r w:rsidRPr="00DD2D90">
        <w:rPr>
          <w:rStyle w:val="StyleUnderline"/>
          <w:highlight w:val="green"/>
        </w:rPr>
        <w:t>health inequities</w:t>
      </w:r>
      <w:r w:rsidRPr="00223414">
        <w:rPr>
          <w:sz w:val="16"/>
        </w:rPr>
        <w:t xml:space="preserve">. According to the World Health Organization (WHO), </w:t>
      </w:r>
      <w:r w:rsidRPr="00DD2D90">
        <w:rPr>
          <w:rStyle w:val="StyleUnderline"/>
        </w:rPr>
        <w:t>this</w:t>
      </w:r>
      <w:r w:rsidRPr="00223414">
        <w:rPr>
          <w:sz w:val="16"/>
        </w:rPr>
        <w:t xml:space="preserve"> dual system </w:t>
      </w:r>
      <w:r w:rsidRPr="00DD2D90">
        <w:rPr>
          <w:rStyle w:val="StyleUnderline"/>
        </w:rPr>
        <w:t>undermines</w:t>
      </w:r>
      <w:r w:rsidRPr="00223414">
        <w:rPr>
          <w:sz w:val="16"/>
        </w:rPr>
        <w:t xml:space="preserve"> the principles of universal health coverage (</w:t>
      </w:r>
      <w:r w:rsidRPr="00DD2D90">
        <w:rPr>
          <w:rStyle w:val="StyleUnderline"/>
        </w:rPr>
        <w:t>UHC</w:t>
      </w:r>
      <w:r w:rsidRPr="00223414">
        <w:rPr>
          <w:sz w:val="16"/>
        </w:rPr>
        <w:t xml:space="preserve">), </w:t>
      </w:r>
      <w:r w:rsidRPr="00DD2D90">
        <w:rPr>
          <w:rStyle w:val="StyleUnderline"/>
        </w:rPr>
        <w:t>making it difficult for marginalized communities</w:t>
      </w:r>
      <w:r w:rsidRPr="00223414">
        <w:rPr>
          <w:sz w:val="16"/>
        </w:rPr>
        <w:t xml:space="preserve"> to access necessary healthcare services </w:t>
      </w:r>
      <w:r w:rsidRPr="00DD2D90">
        <w:rPr>
          <w:rStyle w:val="StyleUnderline"/>
          <w:highlight w:val="green"/>
        </w:rPr>
        <w:t xml:space="preserve">and perpetuating a </w:t>
      </w:r>
      <w:r w:rsidRPr="00DD2D90">
        <w:rPr>
          <w:rStyle w:val="Emphasis"/>
          <w:highlight w:val="green"/>
        </w:rPr>
        <w:t>cycle of poverty</w:t>
      </w:r>
      <w:r w:rsidRPr="00DD2D90">
        <w:rPr>
          <w:rStyle w:val="StyleUnderline"/>
        </w:rPr>
        <w:t xml:space="preserve"> and ill health</w:t>
      </w:r>
      <w:r w:rsidRPr="00223414">
        <w:rPr>
          <w:sz w:val="16"/>
        </w:rPr>
        <w:t xml:space="preserve"> [21]. In India, the impact of neoliberal reforms on healthcare has been particularly pronounced, with the private sector witnessing significant growth over the past few decades. High-quality medical services are available to those who can afford them, leaving millions reliant on an underfunded public healthcare system. According to Indian Ministry of Health and Family Welfare, close to 50% of healthcare expenditure in India is out-of-pocket, which often leads to catastrophic health spending for households already burdened by poverty [22]. The National Health Policy of 2017 acknowledges the need for universal health coverage, yet progress has been hampered by the privatization of healthcare services and fragmented systems [23]. This situation has created a paradox where India’s economic growth has not translated into equitable health outcomes, as the wealthy continue to access superior healthcare, while the poor are left with inadequate services. The increasing reliance on private providers has further entrenched health disparities, as those in rural areas, who often lack access to even basic healthcare facilities, bear the brunt of this inequitable system [24]. In South Africa, despite the post-apartheid government’s commitment to providing healthcare access for all citizens, significant disparities persist between the private and public healthcare sectors. The private healthcare system, which serves a minority of the population, is well-resourced and accounts for approximately 4.5% of the country’s GDP [25]. In contrast, the public sector, which serves over 80% of South Africans, accounts for only 4% of GDP, leading to overwhelmed facilities and a lack of essential services [26]. The inequities in healthcare access are further exacerbated by the historical legacy of apartheid, which created a racially stratified healthcare system. Despite efforts to redress these imbalances through policy reforms and investment in public health, many citizens continue to face barriers to accessing quality care. Moreover, the growing trend of medical aid schemes has led to a two-tiered system where those who can afford private insurance enjoy superior services, while the majority rely on an overstretched public healthcare system plagued by shortages and long wait times [27]. Brazil presents a unique case with its unified health system, Sistema Único de Saúde (SUS), which was established in 1988 in response to the failures of a fragmented private healthcare model. SUS aims to provide universal health coverage, yet its effectiveness is undermined by significant regional disparities in service quality. Wealthier areas benefit from better healthcare infrastructure and resources, while poorer regions are left with inadequate services and fewer healthcare professionals. Additionally, the encroachment of private healthcare providers and the chronic underfunding of SUS have weakened its ability to deliver equitable healthcare to all Brazilians [28]. Economic policies implemented by successive governments have favored privatization, leading to a decrease in public investment in healthcare. The consequences of these neoliberal policies have been dire, as they perpetuate health inequities and limit access to essential services for marginalized populations, particularly in rural and low-income urban areas [29]. As a result, the promise of SUS remains unfulfilled, highlighting the critical need for a renewed commitment to public health and equitable access to care in Brazil and beyond. In summary, the emergence of dual healthcare systems in India, South Africa, and Brazil exemplifies the detrimental effects of neoliberalism on health equity. While private healthcare systems cater to the affluent, public healthcare systems struggle to serve the majority, creating a chasm of inequality that undermines the fundamental right to health. The consequences of this dual system are profound, as marginalized communities face significant barriers to accessing quality healthcare, further entrenching existing health disparities. Addressing these inequities requires a comprehensive reevaluation of healthcare policies and a commitment to prioritizing public health over profit-driven interests, ensuring that all individuals, regardless of socioeconomic status, can access the care they need. 4. Pharmaceutical companies and capitalist healthcare models </w:t>
      </w:r>
    </w:p>
    <w:p w14:paraId="6EC22AA1" w14:textId="77777777" w:rsidR="00FA1D49" w:rsidRPr="00223414" w:rsidRDefault="00FA1D49">
      <w:pPr>
        <w:rPr>
          <w:rFonts w:eastAsiaTheme="majorEastAsia" w:cstheme="majorBidi"/>
          <w:b/>
          <w:iCs/>
          <w:sz w:val="16"/>
        </w:rPr>
      </w:pPr>
      <w:r w:rsidRPr="00223414">
        <w:rPr>
          <w:sz w:val="16"/>
        </w:rPr>
        <w:br w:type="page"/>
      </w:r>
    </w:p>
    <w:p w14:paraId="190D68DE" w14:textId="266AEAE5" w:rsidR="00893021" w:rsidRPr="00223414" w:rsidRDefault="00EB4730" w:rsidP="00893021">
      <w:pPr>
        <w:pStyle w:val="Heading4"/>
        <w:rPr>
          <w:szCs w:val="26"/>
        </w:rPr>
      </w:pPr>
      <w:r w:rsidRPr="00223414">
        <w:rPr>
          <w:szCs w:val="26"/>
        </w:rPr>
        <w:t>Err aff – philantropcapitalism is a conjob to increase pharmaceutical profits via PPPs</w:t>
      </w:r>
    </w:p>
    <w:p w14:paraId="327CD734" w14:textId="676FA831" w:rsidR="00893021" w:rsidRPr="00DD2D90" w:rsidRDefault="00893021" w:rsidP="00893021">
      <w:r w:rsidRPr="00223414">
        <w:rPr>
          <w:b/>
          <w:bCs/>
          <w:sz w:val="26"/>
          <w:szCs w:val="26"/>
        </w:rPr>
        <w:t>Birn and Richter 18</w:t>
      </w:r>
      <w:r w:rsidRPr="00DD2D90">
        <w:t xml:space="preserve"> [Anne-Emanuelle Birn, professor of Critical Development Studies at the University of Toronto, and Judith Richter, consultant for civil society organizations and UN agencies, 2018, “HEALTH CARE under the KNIFE Moving Beyond Capitalism for Our Health,” NYU Press, https://www.jstor.org/stable/j.ctt1pwt8bd]/Kankee</w:t>
      </w:r>
    </w:p>
    <w:p w14:paraId="7A58B576" w14:textId="77777777" w:rsidR="00893021" w:rsidRPr="00DD2D90" w:rsidRDefault="00893021" w:rsidP="00893021">
      <w:r w:rsidRPr="00DD2D90">
        <w:t>*NOTE: BGMF is now known as Gates Foundation after the Bill/Melinda divorce</w:t>
      </w:r>
    </w:p>
    <w:p w14:paraId="3CB70FFA" w14:textId="77777777" w:rsidR="00431A9B" w:rsidRPr="00223414" w:rsidRDefault="00893021" w:rsidP="00893021">
      <w:pPr>
        <w:rPr>
          <w:sz w:val="16"/>
        </w:rPr>
      </w:pPr>
      <w:r w:rsidRPr="00223414">
        <w:rPr>
          <w:sz w:val="16"/>
        </w:rPr>
        <w:t xml:space="preserve">THE BMGF APPROACH AND ITS DANGERS As a key funder of global health initiatives, the BMGF collaborates with a range of public, private, and intergovernmental agencies, as well as universities, corporations, advocacy groups, and NGOs. Like the RF, the BMGF sends the vast majority of its monies for global health to or through entities in high-income countries. Through 2016, </w:t>
      </w:r>
      <w:r w:rsidRPr="00DD2D90">
        <w:rPr>
          <w:rStyle w:val="StyleUnderline"/>
        </w:rPr>
        <w:t>three quarters of</w:t>
      </w:r>
      <w:r w:rsidRPr="00223414">
        <w:rPr>
          <w:sz w:val="16"/>
        </w:rPr>
        <w:t xml:space="preserve"> the total </w:t>
      </w:r>
      <w:r w:rsidRPr="00DD2D90">
        <w:rPr>
          <w:rStyle w:val="StyleUnderline"/>
        </w:rPr>
        <w:t>funds</w:t>
      </w:r>
      <w:r w:rsidRPr="00223414">
        <w:rPr>
          <w:sz w:val="16"/>
        </w:rPr>
        <w:t xml:space="preserve"> granted by its Global Health Program </w:t>
      </w:r>
      <w:r w:rsidRPr="00DD2D90">
        <w:rPr>
          <w:rStyle w:val="StyleUnderline"/>
        </w:rPr>
        <w:t>went to</w:t>
      </w:r>
      <w:r w:rsidRPr="00223414">
        <w:rPr>
          <w:sz w:val="16"/>
        </w:rPr>
        <w:t xml:space="preserve"> sixty organizations, 90 percent of which are located in the United States, United Kingdom, or Switzerland.33 A major focus of BMGF global health funding is </w:t>
      </w:r>
      <w:r w:rsidRPr="00DD2D90">
        <w:rPr>
          <w:rStyle w:val="StyleUnderline"/>
        </w:rPr>
        <w:t>vaccine</w:t>
      </w:r>
      <w:r w:rsidRPr="00223414">
        <w:rPr>
          <w:sz w:val="16"/>
        </w:rPr>
        <w:t xml:space="preserve"> distribution and </w:t>
      </w:r>
      <w:r w:rsidRPr="00DD2D90">
        <w:rPr>
          <w:rStyle w:val="StyleUnderline"/>
        </w:rPr>
        <w:t>development</w:t>
      </w:r>
      <w:r w:rsidRPr="00223414">
        <w:rPr>
          <w:sz w:val="16"/>
        </w:rPr>
        <w:t xml:space="preserve">. In 2010 it committed $10 billion over ten years to vaccine research, development, and delivery. Vaccines are important and effective public health tools, especially when integrated into overall social improvements. Indeed, historical evidence demonstrates that even before most childhood vaccines were developed, significant mortality declines were achieved thanks to improved living and working conditions (including access to clean water, sanitation, occupational health and safety, fair wages, education, social protections, and primary health care) in the context of broad social and political struggles.34 The BMGF’s reductionist approach emerged clearly in Bill Gates’s keynote address in May 2005 to the fifty-eighth World Health Assembly, the annual gathering at which WHO member states set policy and decide on key matters. Gates invoked smallpox eradication through vaccination, the cost of which is low due to its non-patented status, in charting global health priorities: “Some . . . say that we can only improve health when we eliminate poverty. And eliminating poverty is an important goal. But the world didn’t have to eliminate poverty in order to eliminate smallpox—and we don’t have to eliminate poverty before we reduce malaria. We do need to produce and deliver a vaccine.”35 </w:t>
      </w:r>
      <w:r w:rsidRPr="00DD2D90">
        <w:rPr>
          <w:rStyle w:val="StyleUnderline"/>
          <w:highlight w:val="green"/>
        </w:rPr>
        <w:t>Gates’s</w:t>
      </w:r>
      <w:r w:rsidRPr="00DD2D90">
        <w:rPr>
          <w:rStyle w:val="StyleUnderline"/>
        </w:rPr>
        <w:t xml:space="preserve"> deceptively simple </w:t>
      </w:r>
      <w:r w:rsidRPr="00DD2D90">
        <w:rPr>
          <w:rStyle w:val="StyleUnderline"/>
          <w:highlight w:val="green"/>
        </w:rPr>
        <w:t>tech</w:t>
      </w:r>
      <w:r w:rsidRPr="00DD2D90">
        <w:rPr>
          <w:rStyle w:val="StyleUnderline"/>
        </w:rPr>
        <w:t xml:space="preserve">nological </w:t>
      </w:r>
      <w:r w:rsidRPr="00DD2D90">
        <w:rPr>
          <w:rStyle w:val="StyleUnderline"/>
          <w:highlight w:val="green"/>
        </w:rPr>
        <w:t>solution</w:t>
      </w:r>
      <w:r w:rsidRPr="00DD2D90">
        <w:rPr>
          <w:rStyle w:val="StyleUnderline"/>
        </w:rPr>
        <w:t xml:space="preserve"> to the complex problem of malaria </w:t>
      </w:r>
      <w:r w:rsidRPr="00DD2D90">
        <w:rPr>
          <w:rStyle w:val="StyleUnderline"/>
          <w:highlight w:val="green"/>
        </w:rPr>
        <w:t>implies</w:t>
      </w:r>
      <w:r w:rsidRPr="00DD2D90">
        <w:rPr>
          <w:rStyle w:val="StyleUnderline"/>
        </w:rPr>
        <w:t xml:space="preserve"> that approaches based on </w:t>
      </w:r>
      <w:r w:rsidRPr="00DD2D90">
        <w:rPr>
          <w:rStyle w:val="StyleUnderline"/>
          <w:highlight w:val="green"/>
        </w:rPr>
        <w:t>social justice can</w:t>
      </w:r>
      <w:r w:rsidRPr="00DD2D90">
        <w:rPr>
          <w:rStyle w:val="StyleUnderline"/>
        </w:rPr>
        <w:t xml:space="preserve"> simply </w:t>
      </w:r>
      <w:r w:rsidRPr="00DD2D90">
        <w:rPr>
          <w:rStyle w:val="StyleUnderline"/>
          <w:highlight w:val="green"/>
        </w:rPr>
        <w:t xml:space="preserve">be </w:t>
      </w:r>
      <w:r w:rsidRPr="00DD2D90">
        <w:rPr>
          <w:rStyle w:val="Emphasis"/>
          <w:highlight w:val="green"/>
        </w:rPr>
        <w:t>ignored</w:t>
      </w:r>
      <w:r w:rsidRPr="00223414">
        <w:rPr>
          <w:sz w:val="16"/>
        </w:rPr>
        <w:t xml:space="preserve">. Similarly, the </w:t>
      </w:r>
      <w:r w:rsidRPr="00DD2D90">
        <w:rPr>
          <w:rStyle w:val="StyleUnderline"/>
        </w:rPr>
        <w:t>BMGF’s Grand Challenges</w:t>
      </w:r>
      <w:r w:rsidRPr="00223414">
        <w:rPr>
          <w:sz w:val="16"/>
        </w:rPr>
        <w:t xml:space="preserve"> in Global Health initiative funds scientists in nearly forty countries to carry out “bold,” “unorthodox” research projects, which largely </w:t>
      </w:r>
      <w:r w:rsidRPr="00DD2D90">
        <w:rPr>
          <w:rStyle w:val="StyleUnderline"/>
        </w:rPr>
        <w:t>disregard the underlying social, political, and economic causes of ill health</w:t>
      </w:r>
      <w:r w:rsidRPr="00223414">
        <w:rPr>
          <w:sz w:val="16"/>
        </w:rPr>
        <w:t xml:space="preserve">, </w:t>
      </w:r>
      <w:r w:rsidRPr="00DD2D90">
        <w:rPr>
          <w:rStyle w:val="StyleUnderline"/>
        </w:rPr>
        <w:t>including</w:t>
      </w:r>
      <w:r w:rsidRPr="00223414">
        <w:rPr>
          <w:sz w:val="16"/>
        </w:rPr>
        <w:t xml:space="preserve"> unprecedented accumulation and </w:t>
      </w:r>
      <w:r w:rsidRPr="00DD2D90">
        <w:rPr>
          <w:rStyle w:val="StyleUnderline"/>
        </w:rPr>
        <w:t>concentration of wealth</w:t>
      </w:r>
      <w:r w:rsidRPr="00223414">
        <w:rPr>
          <w:sz w:val="16"/>
        </w:rPr>
        <w:t xml:space="preserve"> </w:t>
      </w:r>
      <w:r w:rsidRPr="00DD2D90">
        <w:rPr>
          <w:rStyle w:val="StyleUnderline"/>
        </w:rPr>
        <w:t>among</w:t>
      </w:r>
      <w:r w:rsidRPr="00223414">
        <w:rPr>
          <w:sz w:val="16"/>
        </w:rPr>
        <w:t xml:space="preserve"> </w:t>
      </w:r>
      <w:r w:rsidRPr="00DD2D90">
        <w:rPr>
          <w:rStyle w:val="StyleUnderline"/>
        </w:rPr>
        <w:t>elites</w:t>
      </w:r>
      <w:r w:rsidRPr="00223414">
        <w:rPr>
          <w:sz w:val="16"/>
        </w:rPr>
        <w:t xml:space="preserve">.36 To be sure, the BMGF has also supported other kinds of initiatives, albeit at a smaller scale. In 2006, for example, it gave a $20 million startup grant to the International Association of National Public Health Institutes and a $5 million grant to the WHO-based Global Health Workforce Alliance, which sought to address the shortage of health personnel in LMICs. BMGF funding has often had a privatizing impetus. More recently, the BMGF has begun funding “universal health coverage” (not the same as access to publicly funded universal health care, as discussed in chapter 7),37 via a $2.2 million grant to the Results for Development Institute, which works to “remov[e] barriers impeding efficiency in global markets (for instance in health).”38 Despite the shortcomings of a technology-focused, disease-by-disease approach to public health problems, this model now prevails, shepherded by the BMGF’s role in formal global health decision-making bodies. Its role grew in 2007 with the formation of the so-called H8: WHO, UNICEF, the UN Population Fund (UNFPA), UNAIDS, the World Bank, the BMGF, GAVI, and the Global Fund. Most are involved with and/or heavily influenced by the BMGF. The H8, akin to the former G8 (composed of eight powerful nations collaborating on economic policies and “security” issues: the United States, Japan, Germany, France, United Kingdom, Canada, Italy, and Russia; now the G7 without Russia) holds meetings behind closed doors to shape the global health agenda.39 Like the RF at its height, the BMGF’s sway over the global health agenda stems from the magnitude of its donations, its ability to mobilize resources quickly and allocate substantial sums to large initiatives, the high profile of its patron, and the leverage it garners from the extraordinary range of organizations with which it partners. Yet Bill Gates’s response to the 2014–15 Ebola outbreak in West Africa raises yet more questions about his vision. He called for a supranational, militarized global health authority, modeled on the North Atlantic Treaty Organization, to be mobilized in the event of future epidemics, usurping WHO’s coordinating mandate while undercutting national sovereignty and democratic rule.40 THE BMGF AND CONFLICTS OF INTEREST Conflicts of interest in financing and staffing pervade the BMGF. In recent years it has been criticized for investing its endowment in polluting and unhealthy food and beverage industries and in private corporations that benefit from its support for particular global health and agriculture initiatives.41 Although the BMGF sold many of its pharmaceutical holdings in 2009,42 </w:t>
      </w:r>
      <w:r w:rsidRPr="00DD2D90">
        <w:rPr>
          <w:rStyle w:val="StyleUnderline"/>
        </w:rPr>
        <w:t xml:space="preserve">its </w:t>
      </w:r>
      <w:r w:rsidRPr="00DD2D90">
        <w:rPr>
          <w:rStyle w:val="StyleUnderline"/>
          <w:highlight w:val="green"/>
        </w:rPr>
        <w:t>financial interests in Big Pharma remain through</w:t>
      </w:r>
      <w:r w:rsidRPr="00223414">
        <w:rPr>
          <w:sz w:val="16"/>
        </w:rPr>
        <w:t xml:space="preserve"> Warren Buffett’s </w:t>
      </w:r>
      <w:r w:rsidRPr="00DD2D90">
        <w:rPr>
          <w:rStyle w:val="Emphasis"/>
          <w:highlight w:val="green"/>
        </w:rPr>
        <w:t>Berkshire Hathaway</w:t>
      </w:r>
      <w:r w:rsidRPr="00DD2D90">
        <w:rPr>
          <w:rStyle w:val="StyleUnderline"/>
        </w:rPr>
        <w:t xml:space="preserve"> holdings</w:t>
      </w:r>
      <w:r w:rsidRPr="00223414">
        <w:rPr>
          <w:sz w:val="16"/>
        </w:rPr>
        <w:t xml:space="preserve"> (almost </w:t>
      </w:r>
      <w:r w:rsidRPr="00DD2D90">
        <w:rPr>
          <w:rStyle w:val="StyleUnderline"/>
        </w:rPr>
        <w:t>half of the BMGF’s endowment</w:t>
      </w:r>
      <w:r w:rsidRPr="00223414">
        <w:rPr>
          <w:sz w:val="16"/>
        </w:rPr>
        <w:t xml:space="preserve"> </w:t>
      </w:r>
      <w:r w:rsidRPr="00DD2D90">
        <w:rPr>
          <w:rStyle w:val="StyleUnderline"/>
        </w:rPr>
        <w:t>investments</w:t>
      </w:r>
      <w:r w:rsidRPr="00223414">
        <w:rPr>
          <w:sz w:val="16"/>
        </w:rPr>
        <w:t xml:space="preserve">). </w:t>
      </w:r>
      <w:r w:rsidRPr="00DD2D90">
        <w:rPr>
          <w:rStyle w:val="StyleUnderline"/>
        </w:rPr>
        <w:t xml:space="preserve">Overly </w:t>
      </w:r>
      <w:r w:rsidRPr="00DD2D90">
        <w:rPr>
          <w:rStyle w:val="StyleUnderline"/>
          <w:highlight w:val="green"/>
        </w:rPr>
        <w:t>close relationships</w:t>
      </w:r>
      <w:r w:rsidRPr="00DD2D90">
        <w:rPr>
          <w:rStyle w:val="StyleUnderline"/>
        </w:rPr>
        <w:t xml:space="preserve"> </w:t>
      </w:r>
      <w:r w:rsidRPr="00DD2D90">
        <w:rPr>
          <w:rStyle w:val="StyleUnderline"/>
          <w:highlight w:val="green"/>
        </w:rPr>
        <w:t>between</w:t>
      </w:r>
      <w:r w:rsidRPr="00DD2D90">
        <w:rPr>
          <w:rStyle w:val="StyleUnderline"/>
        </w:rPr>
        <w:t xml:space="preserve"> the </w:t>
      </w:r>
      <w:r w:rsidRPr="00DD2D90">
        <w:rPr>
          <w:rStyle w:val="StyleUnderline"/>
          <w:highlight w:val="green"/>
        </w:rPr>
        <w:t>BMGF and Big Pharma call into question</w:t>
      </w:r>
      <w:r w:rsidRPr="00DD2D90">
        <w:rPr>
          <w:rStyle w:val="StyleUnderline"/>
        </w:rPr>
        <w:t xml:space="preserve"> </w:t>
      </w:r>
      <w:r w:rsidRPr="00DD2D90">
        <w:rPr>
          <w:rStyle w:val="StyleUnderline"/>
          <w:highlight w:val="green"/>
        </w:rPr>
        <w:t>the</w:t>
      </w:r>
      <w:r w:rsidRPr="00DD2D90">
        <w:rPr>
          <w:rStyle w:val="StyleUnderline"/>
        </w:rPr>
        <w:t xml:space="preserve"> </w:t>
      </w:r>
      <w:r w:rsidRPr="00DD2D90">
        <w:rPr>
          <w:rStyle w:val="StyleUnderline"/>
          <w:highlight w:val="green"/>
        </w:rPr>
        <w:t>Foundation’s stated aim</w:t>
      </w:r>
      <w:r w:rsidRPr="00DD2D90">
        <w:rPr>
          <w:rStyle w:val="StyleUnderline"/>
        </w:rPr>
        <w:t xml:space="preserve"> of reducing health inequities, </w:t>
      </w:r>
      <w:r w:rsidRPr="00DD2D90">
        <w:rPr>
          <w:rStyle w:val="StyleUnderline"/>
          <w:highlight w:val="green"/>
        </w:rPr>
        <w:t>given</w:t>
      </w:r>
      <w:r w:rsidRPr="00DD2D90">
        <w:rPr>
          <w:rStyle w:val="StyleUnderline"/>
        </w:rPr>
        <w:t xml:space="preserve"> that </w:t>
      </w:r>
      <w:r w:rsidRPr="00DD2D90">
        <w:rPr>
          <w:rStyle w:val="Emphasis"/>
          <w:highlight w:val="green"/>
        </w:rPr>
        <w:t>profiteering</w:t>
      </w:r>
      <w:r w:rsidRPr="00DD2D90">
        <w:rPr>
          <w:rStyle w:val="StyleUnderline"/>
        </w:rPr>
        <w:t xml:space="preserve"> </w:t>
      </w:r>
      <w:r w:rsidRPr="00DD2D90">
        <w:rPr>
          <w:rStyle w:val="StyleUnderline"/>
          <w:highlight w:val="green"/>
        </w:rPr>
        <w:t xml:space="preserve">by these corporations </w:t>
      </w:r>
      <w:r w:rsidRPr="00DD2D90">
        <w:rPr>
          <w:rStyle w:val="StyleUnderline"/>
        </w:rPr>
        <w:t>impedes access to affordable medicines</w:t>
      </w:r>
      <w:r w:rsidRPr="00223414">
        <w:rPr>
          <w:sz w:val="16"/>
        </w:rPr>
        <w:t xml:space="preserve">.43 In addition, various senior BMGF executives once worked at pharmaceutical companies.44 For instance, Dr. Trevor Mundel, president of the BMGF Global Health Program, was previously a senior executive at Novartis. His predecessor, Dr. Tachi Yamada, was an executive and board member of GlaxoSmithKline. Yet such “revolving-door” problems are rarely discussed publicly.45 Advocates for affordable life-saving medicines have also raised questions about the </w:t>
      </w:r>
      <w:r w:rsidRPr="00DD2D90">
        <w:rPr>
          <w:rStyle w:val="StyleUnderline"/>
          <w:highlight w:val="green"/>
        </w:rPr>
        <w:t>BMGF</w:t>
      </w:r>
      <w:r w:rsidRPr="00223414">
        <w:rPr>
          <w:sz w:val="16"/>
        </w:rPr>
        <w:t xml:space="preserve"> stance on intellectual property (IP). Gates admits that his Foundation “</w:t>
      </w:r>
      <w:r w:rsidRPr="00DD2D90">
        <w:rPr>
          <w:rStyle w:val="StyleUnderline"/>
          <w:highlight w:val="green"/>
        </w:rPr>
        <w:t>derives revenues from patenting of pharmaceuticals</w:t>
      </w:r>
      <w:r w:rsidRPr="00223414">
        <w:rPr>
          <w:sz w:val="16"/>
        </w:rPr>
        <w:t xml:space="preserve">.”46 </w:t>
      </w:r>
      <w:r w:rsidRPr="00DD2D90">
        <w:rPr>
          <w:rStyle w:val="StyleUnderline"/>
          <w:highlight w:val="green"/>
        </w:rPr>
        <w:t>Microsoft</w:t>
      </w:r>
      <w:r w:rsidRPr="00DD2D90">
        <w:rPr>
          <w:rStyle w:val="StyleUnderline"/>
        </w:rPr>
        <w:t xml:space="preserve"> has long been an ardent </w:t>
      </w:r>
      <w:r w:rsidRPr="00DD2D90">
        <w:rPr>
          <w:rStyle w:val="StyleUnderline"/>
          <w:highlight w:val="green"/>
        </w:rPr>
        <w:t>support</w:t>
      </w:r>
      <w:r w:rsidRPr="00DD2D90">
        <w:rPr>
          <w:rStyle w:val="StyleUnderline"/>
        </w:rPr>
        <w:t xml:space="preserve">er of </w:t>
      </w:r>
      <w:r w:rsidRPr="00DD2D90">
        <w:rPr>
          <w:rStyle w:val="StyleUnderline"/>
          <w:highlight w:val="green"/>
        </w:rPr>
        <w:t>IP rights</w:t>
      </w:r>
      <w:r w:rsidRPr="00223414">
        <w:rPr>
          <w:sz w:val="16"/>
        </w:rPr>
        <w:t xml:space="preserve">, </w:t>
      </w:r>
      <w:r w:rsidRPr="00DD2D90">
        <w:rPr>
          <w:rStyle w:val="StyleUnderline"/>
        </w:rPr>
        <w:t xml:space="preserve">which facilitate its </w:t>
      </w:r>
      <w:r w:rsidRPr="00DD2D90">
        <w:rPr>
          <w:rStyle w:val="Emphasis"/>
        </w:rPr>
        <w:t>worldwide capture</w:t>
      </w:r>
      <w:r w:rsidRPr="00DD2D90">
        <w:rPr>
          <w:rStyle w:val="StyleUnderline"/>
        </w:rPr>
        <w:t xml:space="preserve"> of markets</w:t>
      </w:r>
      <w:r w:rsidRPr="00223414">
        <w:rPr>
          <w:sz w:val="16"/>
        </w:rPr>
        <w:t xml:space="preserve">,47 </w:t>
      </w:r>
      <w:r w:rsidRPr="00DD2D90">
        <w:rPr>
          <w:rStyle w:val="StyleUnderline"/>
        </w:rPr>
        <w:t>and</w:t>
      </w:r>
      <w:r w:rsidRPr="00223414">
        <w:rPr>
          <w:sz w:val="16"/>
        </w:rPr>
        <w:t xml:space="preserve"> has </w:t>
      </w:r>
      <w:r w:rsidRPr="00DD2D90">
        <w:rPr>
          <w:rStyle w:val="StyleUnderline"/>
        </w:rPr>
        <w:t>taken a leading role in</w:t>
      </w:r>
      <w:r w:rsidRPr="00223414">
        <w:rPr>
          <w:sz w:val="16"/>
        </w:rPr>
        <w:t xml:space="preserve"> assuring passage of the World Trade Organization’s Agreement on Trade-Related Aspects of Intellectual Property Rights (</w:t>
      </w:r>
      <w:r w:rsidRPr="00DD2D90">
        <w:rPr>
          <w:rStyle w:val="StyleUnderline"/>
        </w:rPr>
        <w:t>TRIPS</w:t>
      </w:r>
      <w:r w:rsidRPr="00223414">
        <w:rPr>
          <w:sz w:val="16"/>
        </w:rPr>
        <w:t xml:space="preserve">).48 The BMGF and Microsoft are legally separate entities (as the RF and Rockefeller companies were), but </w:t>
      </w:r>
      <w:r w:rsidRPr="00DD2D90">
        <w:rPr>
          <w:rStyle w:val="StyleUnderline"/>
        </w:rPr>
        <w:t>linkages, such as BMGF’s hiring of a Microsoft patent attorney</w:t>
      </w:r>
      <w:r w:rsidRPr="00223414">
        <w:rPr>
          <w:sz w:val="16"/>
        </w:rPr>
        <w:t xml:space="preserve"> in 2011 for its Global Health Program, </w:t>
      </w:r>
      <w:r w:rsidRPr="00DD2D90">
        <w:rPr>
          <w:rStyle w:val="StyleUnderline"/>
        </w:rPr>
        <w:t>are troubling</w:t>
      </w:r>
      <w:r w:rsidRPr="00223414">
        <w:rPr>
          <w:sz w:val="16"/>
        </w:rPr>
        <w:t xml:space="preserve">.49 The government of India became so concerned about the BMGF’s pharmaceutical ties and related conflicts of interest that, in early 2017, it cut off all financial ties between the national advisory body on immunization and the BMGF.50 Such conflicts of interest also manifest at WHO, due to the increasing role of the BMGF as the main financier for WHO’s budget. The problem of WHO’s dependence on “voluntary” funding, its most fundamental institutional conflict of interest, remains unaddressed despite concerted efforts by civil society organizations.51 It would take just $2.2 billion, which is only half that of New York-Presbyterian Hospital’s budget,52 to fully fund WHO through member state dues. Instead of lifting the freeze on WHO member dues, WHO’s most recent reform produced the 2016 Framework of Engagement with Non-State Actors,53 which further legitimized BMGF and corporate influence on WHO by specifically allowing philanthropic and corporate actors to apply for the “Official Relations” status that was originally meant for NGOs that shared the specific goals articulated in WHO’s constitution. THE BMGF, PUBLIC-PRIVATE PARTNERSHIPS, AND MULTI-STAKEHOLDER INITIATIVES Among the levers through which the </w:t>
      </w:r>
      <w:r w:rsidRPr="00DD2D90">
        <w:rPr>
          <w:rStyle w:val="StyleUnderline"/>
          <w:highlight w:val="green"/>
        </w:rPr>
        <w:t>BMGF</w:t>
      </w:r>
      <w:r w:rsidRPr="00223414">
        <w:rPr>
          <w:sz w:val="16"/>
        </w:rPr>
        <w:t xml:space="preserve"> has </w:t>
      </w:r>
      <w:r w:rsidRPr="00DD2D90">
        <w:rPr>
          <w:rStyle w:val="StyleUnderline"/>
          <w:highlight w:val="green"/>
        </w:rPr>
        <w:t>garnered influence over</w:t>
      </w:r>
      <w:r w:rsidRPr="00223414">
        <w:rPr>
          <w:sz w:val="16"/>
        </w:rPr>
        <w:t xml:space="preserve"> agenda setting and decision making are “</w:t>
      </w:r>
      <w:r w:rsidRPr="00DD2D90">
        <w:rPr>
          <w:rStyle w:val="StyleUnderline"/>
          <w:highlight w:val="green"/>
        </w:rPr>
        <w:t>p</w:t>
      </w:r>
      <w:r w:rsidRPr="00DD2D90">
        <w:rPr>
          <w:rStyle w:val="StyleUnderline"/>
        </w:rPr>
        <w:t>ublic-</w:t>
      </w:r>
      <w:r w:rsidRPr="00DD2D90">
        <w:rPr>
          <w:rStyle w:val="StyleUnderline"/>
          <w:highlight w:val="green"/>
        </w:rPr>
        <w:t>p</w:t>
      </w:r>
      <w:r w:rsidRPr="00DD2D90">
        <w:rPr>
          <w:rStyle w:val="StyleUnderline"/>
        </w:rPr>
        <w:t xml:space="preserve">rivate </w:t>
      </w:r>
      <w:r w:rsidRPr="00DD2D90">
        <w:rPr>
          <w:rStyle w:val="StyleUnderline"/>
          <w:highlight w:val="green"/>
        </w:rPr>
        <w:t>p</w:t>
      </w:r>
      <w:r w:rsidRPr="00DD2D90">
        <w:rPr>
          <w:rStyle w:val="StyleUnderline"/>
        </w:rPr>
        <w:t>artnerships</w:t>
      </w:r>
      <w:r w:rsidRPr="00223414">
        <w:rPr>
          <w:sz w:val="16"/>
        </w:rPr>
        <w:t>” (PPPs). The generic term PPP covers a multitude of arrangements, activities, and relationships. In the early 1990s, PPPs were promoted as a way of funding and implementing global health initiatives in accordance with neoliberal prescriptions for privatizing public goods and services. By the late 1990s, UN agencies had classified a wide range of public-private interactions as “partnerships” or “multi-stakeholder initiatives” (</w:t>
      </w:r>
      <w:r w:rsidRPr="00DD2D90">
        <w:rPr>
          <w:rStyle w:val="StyleUnderline"/>
        </w:rPr>
        <w:t>MSIs</w:t>
      </w:r>
      <w:r w:rsidRPr="00223414">
        <w:rPr>
          <w:sz w:val="16"/>
        </w:rPr>
        <w:t xml:space="preserve">). Both concepts lump all participants together, </w:t>
      </w:r>
      <w:r w:rsidRPr="00DD2D90">
        <w:rPr>
          <w:rStyle w:val="StyleUnderline"/>
          <w:highlight w:val="green"/>
        </w:rPr>
        <w:t>erasing</w:t>
      </w:r>
      <w:r w:rsidRPr="00DD2D90">
        <w:rPr>
          <w:rStyle w:val="StyleUnderline"/>
        </w:rPr>
        <w:t xml:space="preserve"> key </w:t>
      </w:r>
      <w:r w:rsidRPr="00DD2D90">
        <w:rPr>
          <w:rStyle w:val="StyleUnderline"/>
          <w:highlight w:val="green"/>
        </w:rPr>
        <w:t>differences in</w:t>
      </w:r>
      <w:r w:rsidRPr="00DD2D90">
        <w:rPr>
          <w:rStyle w:val="StyleUnderline"/>
        </w:rPr>
        <w:t xml:space="preserve"> the roles and objectives of those striving for human rights to </w:t>
      </w:r>
      <w:r w:rsidRPr="00DD2D90">
        <w:rPr>
          <w:rStyle w:val="StyleUnderline"/>
          <w:highlight w:val="green"/>
        </w:rPr>
        <w:t>health</w:t>
      </w:r>
      <w:r w:rsidRPr="00DD2D90">
        <w:rPr>
          <w:rStyle w:val="StyleUnderline"/>
        </w:rPr>
        <w:t xml:space="preserve"> and nutrition, </w:t>
      </w:r>
      <w:r w:rsidRPr="00DD2D90">
        <w:rPr>
          <w:rStyle w:val="StyleUnderline"/>
          <w:highlight w:val="green"/>
        </w:rPr>
        <w:t>and</w:t>
      </w:r>
      <w:r w:rsidRPr="00DD2D90">
        <w:rPr>
          <w:rStyle w:val="StyleUnderline"/>
        </w:rPr>
        <w:t xml:space="preserve"> those ultimately pursuing </w:t>
      </w:r>
      <w:r w:rsidRPr="00DD2D90">
        <w:rPr>
          <w:rStyle w:val="StyleUnderline"/>
          <w:highlight w:val="green"/>
        </w:rPr>
        <w:t>their bottom</w:t>
      </w:r>
      <w:r w:rsidRPr="00DD2D90">
        <w:rPr>
          <w:rStyle w:val="StyleUnderline"/>
        </w:rPr>
        <w:t xml:space="preserve"> </w:t>
      </w:r>
      <w:r w:rsidRPr="00DD2D90">
        <w:rPr>
          <w:rStyle w:val="StyleUnderline"/>
          <w:highlight w:val="green"/>
        </w:rPr>
        <w:t>line</w:t>
      </w:r>
      <w:r w:rsidRPr="00223414">
        <w:rPr>
          <w:sz w:val="16"/>
        </w:rPr>
        <w:t xml:space="preserve">.54 Many of the major global health </w:t>
      </w:r>
      <w:r w:rsidRPr="00DD2D90">
        <w:rPr>
          <w:rStyle w:val="StyleUnderline"/>
          <w:highlight w:val="green"/>
        </w:rPr>
        <w:t>PPPs</w:t>
      </w:r>
      <w:r w:rsidRPr="00223414">
        <w:rPr>
          <w:sz w:val="16"/>
        </w:rPr>
        <w:t xml:space="preserve"> now in existence, with budgets ranging from a few million to billions of dollars—such as GAVI, Stop TB, Roll Back Malaria, and GAIN—were launched by the BMGF or have received funding from it. These public-private hybrids </w:t>
      </w:r>
      <w:r w:rsidRPr="00DD2D90">
        <w:rPr>
          <w:rStyle w:val="StyleUnderline"/>
        </w:rPr>
        <w:t>encourage a close relationship between a public institution and business</w:t>
      </w:r>
      <w:r w:rsidRPr="00223414">
        <w:rPr>
          <w:sz w:val="16"/>
        </w:rPr>
        <w:t xml:space="preserve"> rather than an arm’s-length one and promote a shared process of decision making among supposedly equal partners, or “stakeholders.” Such </w:t>
      </w:r>
      <w:r w:rsidRPr="00DD2D90">
        <w:rPr>
          <w:rStyle w:val="StyleUnderline"/>
        </w:rPr>
        <w:t xml:space="preserve">arrangements have </w:t>
      </w:r>
      <w:r w:rsidRPr="00DD2D90">
        <w:rPr>
          <w:rStyle w:val="StyleUnderline"/>
          <w:highlight w:val="green"/>
        </w:rPr>
        <w:t xml:space="preserve">enabled business interests to obtain an </w:t>
      </w:r>
      <w:r w:rsidRPr="00DD2D90">
        <w:rPr>
          <w:rStyle w:val="Emphasis"/>
          <w:highlight w:val="green"/>
        </w:rPr>
        <w:t>unprecedented</w:t>
      </w:r>
      <w:r w:rsidRPr="00DD2D90">
        <w:rPr>
          <w:rStyle w:val="StyleUnderline"/>
        </w:rPr>
        <w:t xml:space="preserve"> </w:t>
      </w:r>
      <w:r w:rsidRPr="00DD2D90">
        <w:rPr>
          <w:rStyle w:val="StyleUnderline"/>
          <w:highlight w:val="green"/>
        </w:rPr>
        <w:t>role in</w:t>
      </w:r>
      <w:r w:rsidRPr="00DD2D90">
        <w:rPr>
          <w:rStyle w:val="StyleUnderline"/>
        </w:rPr>
        <w:t xml:space="preserve"> global </w:t>
      </w:r>
      <w:r w:rsidRPr="00DD2D90">
        <w:rPr>
          <w:rStyle w:val="StyleUnderline"/>
          <w:highlight w:val="green"/>
        </w:rPr>
        <w:t>health policymaking</w:t>
      </w:r>
      <w:r w:rsidRPr="00DD2D90">
        <w:rPr>
          <w:rStyle w:val="StyleUnderline"/>
        </w:rPr>
        <w:t xml:space="preserve"> with inadequate public scrutiny or accountability</w:t>
      </w:r>
      <w:r w:rsidRPr="00223414">
        <w:rPr>
          <w:sz w:val="16"/>
        </w:rPr>
        <w:t xml:space="preserve">55 and are markedly different from the RF’s past advocacy of public health as the responsibility of the public sector. The BMGF’s prominent role in the two most powerful PPPs—GAVI and the Global Fund, both H8 members—and its founding of GAIN underscore the primacy of the Foundation in shaping and enhancing the clout and business venture orientation of PPPs. GAVI has been the model for almost all global health PPPs. When Bill Gates first funded it, he was following the venture philanthropy model created in the mid-1990s by dot-com billionaires who advocated bringing business thinking and jargon into the public arena. The arrangements are characterized by the active involvement of donor entrepreneurs and Foundation staff in the recipient organizations and by board representation from the for-profit sector,56 with some government representatives reporting that corporate presence creates an intimidating environment for public interest actors involved in these new arrangements.57 GAVI has been criticized for emphasizing new vaccines instead of ensuring that existing effective vaccination against childhood diseases is universally practiced. </w:t>
      </w:r>
      <w:r w:rsidRPr="00DD2D90">
        <w:rPr>
          <w:rStyle w:val="StyleUnderline"/>
        </w:rPr>
        <w:t xml:space="preserve">It has been characterized as a top-down arrangement emphasizing </w:t>
      </w:r>
      <w:r w:rsidRPr="00DD2D90">
        <w:rPr>
          <w:rStyle w:val="StyleUnderline"/>
          <w:highlight w:val="green"/>
        </w:rPr>
        <w:t>tech</w:t>
      </w:r>
      <w:r w:rsidRPr="00DD2D90">
        <w:rPr>
          <w:rStyle w:val="StyleUnderline"/>
        </w:rPr>
        <w:t xml:space="preserve">nical </w:t>
      </w:r>
      <w:r w:rsidRPr="00DD2D90">
        <w:rPr>
          <w:rStyle w:val="StyleUnderline"/>
          <w:highlight w:val="green"/>
        </w:rPr>
        <w:t>solutions</w:t>
      </w:r>
      <w:r w:rsidRPr="00DD2D90">
        <w:rPr>
          <w:rStyle w:val="StyleUnderline"/>
        </w:rPr>
        <w:t xml:space="preserve"> </w:t>
      </w:r>
      <w:r w:rsidRPr="00DD2D90">
        <w:rPr>
          <w:rStyle w:val="StyleUnderline"/>
          <w:highlight w:val="green"/>
        </w:rPr>
        <w:t>that pay scant attention to local</w:t>
      </w:r>
      <w:r w:rsidRPr="00DD2D90">
        <w:rPr>
          <w:rStyle w:val="StyleUnderline"/>
        </w:rPr>
        <w:t xml:space="preserve"> </w:t>
      </w:r>
      <w:r w:rsidRPr="00DD2D90">
        <w:rPr>
          <w:rStyle w:val="StyleUnderline"/>
          <w:highlight w:val="green"/>
        </w:rPr>
        <w:t>needs</w:t>
      </w:r>
      <w:r w:rsidRPr="00DD2D90">
        <w:rPr>
          <w:rStyle w:val="StyleUnderline"/>
        </w:rPr>
        <w:t xml:space="preserve"> and conditions</w:t>
      </w:r>
      <w:r w:rsidRPr="00223414">
        <w:rPr>
          <w:sz w:val="16"/>
        </w:rPr>
        <w:t xml:space="preserve">,58 and </w:t>
      </w:r>
      <w:r w:rsidRPr="00DD2D90">
        <w:rPr>
          <w:rStyle w:val="StyleUnderline"/>
          <w:highlight w:val="green"/>
        </w:rPr>
        <w:t>underwriting</w:t>
      </w:r>
      <w:r w:rsidRPr="00223414">
        <w:rPr>
          <w:sz w:val="16"/>
        </w:rPr>
        <w:t xml:space="preserve"> already </w:t>
      </w:r>
      <w:r w:rsidRPr="00DD2D90">
        <w:rPr>
          <w:rStyle w:val="StyleUnderline"/>
        </w:rPr>
        <w:t xml:space="preserve">hugely profitable </w:t>
      </w:r>
      <w:r w:rsidRPr="00DD2D90">
        <w:rPr>
          <w:rStyle w:val="StyleUnderline"/>
          <w:highlight w:val="green"/>
        </w:rPr>
        <w:t>pharma</w:t>
      </w:r>
      <w:r w:rsidRPr="00DD2D90">
        <w:rPr>
          <w:rStyle w:val="StyleUnderline"/>
        </w:rPr>
        <w:t xml:space="preserve">ceutical </w:t>
      </w:r>
      <w:r w:rsidRPr="00DD2D90">
        <w:rPr>
          <w:rStyle w:val="StyleUnderline"/>
          <w:highlight w:val="green"/>
        </w:rPr>
        <w:t xml:space="preserve">corporations in the name of “saving </w:t>
      </w:r>
      <w:r w:rsidRPr="00DD2D90">
        <w:rPr>
          <w:rStyle w:val="StyleUnderline"/>
        </w:rPr>
        <w:t xml:space="preserve">children’s </w:t>
      </w:r>
      <w:r w:rsidRPr="00DD2D90">
        <w:rPr>
          <w:rStyle w:val="StyleUnderline"/>
          <w:highlight w:val="green"/>
        </w:rPr>
        <w:t>lives</w:t>
      </w:r>
      <w:r w:rsidRPr="00223414">
        <w:rPr>
          <w:sz w:val="16"/>
        </w:rPr>
        <w:t xml:space="preserve">.”59 Indeed, GAVI has subsidized companies such as Merck for already profitable products such as pneumococcal vaccine, while countries eligible for GAVI support are expected to take on an increasing proportion of costs, eventually losing both direct subsidies and access to lower-negotiated vaccine prices.60 Similar issues surround the Global Fund, the largest global health PPP in dollar terms. It received a $100 million startup grant from the BMGF, which has since given it almost $1.6 billion. Sidelining UN agencies, the Global Fund had disbursed $33 billion to fund programs in 140 countries as of early 2017, in the process further debilitating WHO and any semblance of democratic global health governance. WHO and UNAIDS have no voting rights on the board, but the private sector, currently represented by Merck and the BMGF, does. The Global Fund, like many PPPs, is known to offer “business opportunities,” lucrative contracts and influence over decision making, as a prime feature of its work. Similarly, since the BMGF and UNICEF founded GAIN, this PPP has popularized the term “micronutrient malnutrition” to justify its prime focus on food fortification and supplementation. GAIN argues that “in an ideal world we would all have access to a wide variety of nutrient-rich foods which provide all the vitamins and minerals we need. Unfortunately, for many people, especially in poorer countries, this is often not feasible or affordable.”61 This reasoning ignores food supply and distribution problems. Severe malnutrition prevails in regions with extremely fertile soil and advantageous growing conditions, producing some of the world’s most nutritious crops, but these are largely for export markets, leaving local people on low incomes priced out of access to nutritious food.62 Overall, </w:t>
      </w:r>
      <w:r w:rsidRPr="00DD2D90">
        <w:rPr>
          <w:rStyle w:val="StyleUnderline"/>
        </w:rPr>
        <w:t xml:space="preserve">the </w:t>
      </w:r>
      <w:r w:rsidRPr="00DD2D90">
        <w:rPr>
          <w:rStyle w:val="StyleUnderline"/>
          <w:highlight w:val="green"/>
        </w:rPr>
        <w:t>PPP</w:t>
      </w:r>
      <w:r w:rsidRPr="00DD2D90">
        <w:rPr>
          <w:rStyle w:val="StyleUnderline"/>
        </w:rPr>
        <w:t xml:space="preserve">- and MSI-peppered global health </w:t>
      </w:r>
      <w:r w:rsidRPr="00DD2D90">
        <w:rPr>
          <w:rStyle w:val="StyleUnderline"/>
          <w:highlight w:val="green"/>
        </w:rPr>
        <w:t xml:space="preserve">architecture </w:t>
      </w:r>
      <w:r w:rsidRPr="00DD2D90">
        <w:rPr>
          <w:rStyle w:val="Emphasis"/>
          <w:highlight w:val="green"/>
        </w:rPr>
        <w:t>fragments</w:t>
      </w:r>
      <w:r w:rsidRPr="00DD2D90">
        <w:rPr>
          <w:rStyle w:val="StyleUnderline"/>
          <w:highlight w:val="green"/>
        </w:rPr>
        <w:t xml:space="preserve"> and </w:t>
      </w:r>
      <w:r w:rsidRPr="00DD2D90">
        <w:rPr>
          <w:rStyle w:val="Emphasis"/>
          <w:highlight w:val="green"/>
        </w:rPr>
        <w:t>destabilizes</w:t>
      </w:r>
      <w:r w:rsidRPr="00DD2D90">
        <w:rPr>
          <w:rStyle w:val="StyleUnderline"/>
          <w:highlight w:val="green"/>
        </w:rPr>
        <w:t xml:space="preserve"> the global health </w:t>
      </w:r>
      <w:r w:rsidRPr="00DD2D90">
        <w:rPr>
          <w:rStyle w:val="StyleUnderline"/>
        </w:rPr>
        <w:t xml:space="preserve">landscape, </w:t>
      </w:r>
      <w:r w:rsidRPr="00DD2D90">
        <w:rPr>
          <w:rStyle w:val="StyleUnderline"/>
          <w:highlight w:val="green"/>
        </w:rPr>
        <w:t xml:space="preserve">weakening WHO’s authority and capacity to </w:t>
      </w:r>
      <w:r w:rsidRPr="00DD2D90">
        <w:rPr>
          <w:rStyle w:val="StyleUnderline"/>
        </w:rPr>
        <w:t xml:space="preserve">function and </w:t>
      </w:r>
      <w:r w:rsidRPr="00DD2D90">
        <w:rPr>
          <w:rStyle w:val="StyleUnderline"/>
          <w:highlight w:val="green"/>
        </w:rPr>
        <w:t>coordinate</w:t>
      </w:r>
      <w:r w:rsidRPr="00223414">
        <w:rPr>
          <w:sz w:val="16"/>
        </w:rPr>
        <w:t xml:space="preserve">.63 </w:t>
      </w:r>
      <w:r w:rsidRPr="00DD2D90">
        <w:rPr>
          <w:rStyle w:val="StyleUnderline"/>
          <w:highlight w:val="green"/>
        </w:rPr>
        <w:t>These</w:t>
      </w:r>
      <w:r w:rsidRPr="00223414">
        <w:rPr>
          <w:sz w:val="16"/>
        </w:rPr>
        <w:t xml:space="preserve"> arrangements </w:t>
      </w:r>
      <w:r w:rsidRPr="00DD2D90">
        <w:rPr>
          <w:rStyle w:val="StyleUnderline"/>
        </w:rPr>
        <w:t xml:space="preserve">allow private interests to frame the public health agenda, provide legitimacy to corporate and venture philanthropic involvement in the public domain, </w:t>
      </w:r>
      <w:r w:rsidRPr="00DD2D90">
        <w:rPr>
          <w:rStyle w:val="StyleUnderline"/>
          <w:highlight w:val="green"/>
        </w:rPr>
        <w:t>conflate corporate and public objectives</w:t>
      </w:r>
      <w:r w:rsidRPr="00DD2D90">
        <w:rPr>
          <w:rStyle w:val="StyleUnderline"/>
        </w:rPr>
        <w:t xml:space="preserve">, </w:t>
      </w:r>
      <w:r w:rsidRPr="00DD2D90">
        <w:rPr>
          <w:rStyle w:val="StyleUnderline"/>
          <w:highlight w:val="green"/>
        </w:rPr>
        <w:t xml:space="preserve">and raise </w:t>
      </w:r>
      <w:r w:rsidRPr="00DD2D90">
        <w:rPr>
          <w:rStyle w:val="StyleUnderline"/>
        </w:rPr>
        <w:t xml:space="preserve">multiple </w:t>
      </w:r>
      <w:r w:rsidRPr="00DD2D90">
        <w:rPr>
          <w:rStyle w:val="StyleUnderline"/>
          <w:highlight w:val="green"/>
        </w:rPr>
        <w:t>conflicts of interest</w:t>
      </w:r>
      <w:r w:rsidRPr="00DD2D90">
        <w:rPr>
          <w:rStyle w:val="StyleUnderline"/>
        </w:rPr>
        <w:t xml:space="preserve">, </w:t>
      </w:r>
      <w:r w:rsidRPr="00DD2D90">
        <w:rPr>
          <w:rStyle w:val="StyleUnderline"/>
          <w:highlight w:val="green"/>
        </w:rPr>
        <w:t>with</w:t>
      </w:r>
      <w:r w:rsidRPr="00DD2D90">
        <w:rPr>
          <w:rStyle w:val="StyleUnderline"/>
        </w:rPr>
        <w:t xml:space="preserve"> most </w:t>
      </w:r>
      <w:r w:rsidRPr="00DD2D90">
        <w:rPr>
          <w:rStyle w:val="StyleUnderline"/>
          <w:highlight w:val="green"/>
        </w:rPr>
        <w:t>PPPs channeling public money into the private sector</w:t>
      </w:r>
      <w:r w:rsidRPr="00DD2D90">
        <w:rPr>
          <w:rStyle w:val="StyleUnderline"/>
        </w:rPr>
        <w:t>, not the other way around</w:t>
      </w:r>
      <w:r w:rsidRPr="00223414">
        <w:rPr>
          <w:sz w:val="16"/>
        </w:rPr>
        <w:t>.64 Most recently, a new global health campus built to house the headquarters of major PPPs, just a stone’s throw from WHO, will further shift the node of global health governance physically and metaphorically away from UN agencies.65 OTHER AVENUES OF INFLUENCE</w:t>
      </w:r>
    </w:p>
    <w:p w14:paraId="1FB393CE" w14:textId="77777777" w:rsidR="00FA1D49" w:rsidRPr="00223414" w:rsidRDefault="00FA1D49">
      <w:pPr>
        <w:rPr>
          <w:rFonts w:eastAsiaTheme="majorEastAsia" w:cstheme="majorBidi"/>
          <w:b/>
          <w:iCs/>
          <w:sz w:val="16"/>
        </w:rPr>
      </w:pPr>
      <w:r w:rsidRPr="00223414">
        <w:rPr>
          <w:sz w:val="16"/>
        </w:rPr>
        <w:br w:type="page"/>
      </w:r>
    </w:p>
    <w:p w14:paraId="75775A69" w14:textId="29EA61B8" w:rsidR="00431A9B" w:rsidRPr="00223414" w:rsidRDefault="00612DE1" w:rsidP="00431A9B">
      <w:pPr>
        <w:pStyle w:val="Heading4"/>
        <w:rPr>
          <w:szCs w:val="26"/>
        </w:rPr>
      </w:pPr>
      <w:r w:rsidRPr="00223414">
        <w:rPr>
          <w:szCs w:val="26"/>
        </w:rPr>
        <w:t xml:space="preserve">Philantrocapitalism is cover for </w:t>
      </w:r>
      <w:r w:rsidR="00A9400A" w:rsidRPr="00223414">
        <w:rPr>
          <w:szCs w:val="26"/>
        </w:rPr>
        <w:t xml:space="preserve">billionaires’ </w:t>
      </w:r>
      <w:r w:rsidRPr="00223414">
        <w:rPr>
          <w:szCs w:val="26"/>
        </w:rPr>
        <w:t>crimes against humanity</w:t>
      </w:r>
    </w:p>
    <w:p w14:paraId="21B005EF" w14:textId="77777777" w:rsidR="00C52AF0" w:rsidRPr="00DD2D90" w:rsidRDefault="00C52AF0" w:rsidP="00C52AF0">
      <w:r w:rsidRPr="00223414">
        <w:rPr>
          <w:b/>
          <w:bCs/>
          <w:sz w:val="26"/>
          <w:szCs w:val="26"/>
        </w:rPr>
        <w:t>Birn and Richter 18</w:t>
      </w:r>
      <w:r w:rsidRPr="00DD2D90">
        <w:t xml:space="preserve"> [Anne-Emanuelle Birn, professor of Critical Development Studies at the University of Toronto, and Judith Richter, consultant for civil society organizations and UN agencies, 2018, “HEALTH CARE under the KNIFE Moving Beyond Capitalism for Our Health,” NYU Press, https://www.jstor.org/stable/j.ctt1pwt8bd]/Kankee</w:t>
      </w:r>
    </w:p>
    <w:p w14:paraId="78E06661" w14:textId="77777777" w:rsidR="00C52AF0" w:rsidRPr="00DD2D90" w:rsidRDefault="00C52AF0" w:rsidP="00C52AF0">
      <w:r w:rsidRPr="00DD2D90">
        <w:t>*NOTE: BGMF is now known as Gates Foundation after the Bill/Melinda divorce</w:t>
      </w:r>
    </w:p>
    <w:p w14:paraId="38366C53" w14:textId="5BC34768" w:rsidR="00893021" w:rsidRPr="00223414" w:rsidRDefault="00893021" w:rsidP="00893021">
      <w:pPr>
        <w:rPr>
          <w:sz w:val="16"/>
        </w:rPr>
      </w:pPr>
      <w:r w:rsidRPr="00223414">
        <w:rPr>
          <w:sz w:val="16"/>
        </w:rPr>
        <w:t xml:space="preserve">Little examined is the $3.5 billion in grants from the BMGF in recent years for “policy and advocacy” work. These grants fund extensive health and development media coverage, including BMGF-supported programs in outlets spanning the U.S. Public Broadcasting System to the United Kingdom’s Guardian newspaper.66 This coverage adds to the considerable self-publicity generated by Bill and Melinda Gates themselves, who have been featured in countless profiles over the years. Their 2017 annual letter, for instance, used cherry-picked evidence to promote an overly positive and misleading spin on the BMGF’s achievements.67 By contrast, the RF historically underplayed its public profile, largely because it was faced with a more vigilant media and a public skeptical about the intermixing of business and philanthropic interests and about the exertion of philanthropic influence at the highest political levels, behind closed doors. Venture philanthropy funding from the BMGF increasingly influences civil society movements,68 universities and researchers,69 and government programs. This influence leads to modification of mandates, scientific research foci, and methodological approaches and also squeezes out more critical analyses. Indeed, the BMGF, via the Seattle-based Institute for Health Metrics and Evaluation, which it bankrolls, claims for itself a core WHO role: “diagnosing the world’s health problems and identifying the solutions.”70 Meanwhile, critics within UN agencies, civil society organizations, and academia are silenced or excluded, depicted as holding outdated views. A 2015 Gates- funded evaluation report of the Scaling Up Nutrition multi-stakeholder initiative portrayed those who raised conflict-of-interest concerns as harboring “phobias” and “hostile feelings” toward industry, which could “potentially sabotage the prospects of multi-stakeholder efforts to scale up nutrition.”71 Another telling illustration is a 2017 high-level Memorandum of Understanding (MOU) between the BMGF and the German development agency BMZ. This MOU commits BMGF and the BMZ to join forces in advancing the UN’s 2030 Sustainable Development Goals (SDGs) through “revitalization” of global “partnership” approaches. Among other effects, this MOU opens BMZ’s large network of contacts to the BMGF and invites staff exchanges between the organizations.72 If this MOU becomes a model for future government-foundation relations, it will further undermine democratic and accountable decision making in the global health and development sphere. PHILANTHROCAPITALISM REDUX: COMPARING THE RF AND THE BMGF </w:t>
      </w:r>
      <w:r w:rsidRPr="00DD2D90">
        <w:rPr>
          <w:rStyle w:val="StyleUnderline"/>
        </w:rPr>
        <w:t>Philanthropic largesse and</w:t>
      </w:r>
      <w:r w:rsidRPr="00223414">
        <w:rPr>
          <w:sz w:val="16"/>
        </w:rPr>
        <w:t xml:space="preserve"> the social-entrepreneurial mission </w:t>
      </w:r>
      <w:r w:rsidRPr="00DD2D90">
        <w:rPr>
          <w:rStyle w:val="StyleUnderline"/>
        </w:rPr>
        <w:t>of</w:t>
      </w:r>
      <w:r w:rsidRPr="00223414">
        <w:rPr>
          <w:sz w:val="16"/>
        </w:rPr>
        <w:t xml:space="preserve"> twenty-first-century </w:t>
      </w:r>
      <w:r w:rsidRPr="00DD2D90">
        <w:rPr>
          <w:rStyle w:val="StyleUnderline"/>
          <w:highlight w:val="green"/>
        </w:rPr>
        <w:t>billionaires are</w:t>
      </w:r>
      <w:r w:rsidRPr="00223414">
        <w:rPr>
          <w:sz w:val="16"/>
        </w:rPr>
        <w:t xml:space="preserve"> today </w:t>
      </w:r>
      <w:r w:rsidRPr="00DD2D90">
        <w:rPr>
          <w:rStyle w:val="StyleUnderline"/>
          <w:highlight w:val="green"/>
        </w:rPr>
        <w:t>touted as</w:t>
      </w:r>
      <w:r w:rsidRPr="00223414">
        <w:rPr>
          <w:sz w:val="16"/>
        </w:rPr>
        <w:t xml:space="preserve"> </w:t>
      </w:r>
      <w:r w:rsidRPr="00DD2D90">
        <w:rPr>
          <w:rStyle w:val="StyleUnderline"/>
        </w:rPr>
        <w:t>unparalleled</w:t>
      </w:r>
      <w:r w:rsidRPr="00223414">
        <w:rPr>
          <w:sz w:val="16"/>
        </w:rPr>
        <w:t xml:space="preserve">, as though capable of </w:t>
      </w:r>
      <w:r w:rsidRPr="00DD2D90">
        <w:rPr>
          <w:rStyle w:val="StyleUnderline"/>
          <w:highlight w:val="green"/>
        </w:rPr>
        <w:t>saving the world</w:t>
      </w:r>
      <w:r w:rsidRPr="00223414">
        <w:rPr>
          <w:sz w:val="16"/>
        </w:rPr>
        <w:t xml:space="preserve">.73 </w:t>
      </w:r>
      <w:r w:rsidRPr="00DD2D90">
        <w:rPr>
          <w:rStyle w:val="StyleUnderline"/>
        </w:rPr>
        <w:t xml:space="preserve">This is underscored by the ever more </w:t>
      </w:r>
      <w:r w:rsidRPr="00DD2D90">
        <w:rPr>
          <w:rStyle w:val="StyleUnderline"/>
          <w:highlight w:val="green"/>
        </w:rPr>
        <w:t>welcoming</w:t>
      </w:r>
      <w:r w:rsidRPr="00DD2D90">
        <w:rPr>
          <w:rStyle w:val="StyleUnderline"/>
        </w:rPr>
        <w:t xml:space="preserve"> and enabling environments for </w:t>
      </w:r>
      <w:r w:rsidRPr="00DD2D90">
        <w:rPr>
          <w:rStyle w:val="StyleUnderline"/>
          <w:highlight w:val="green"/>
        </w:rPr>
        <w:t>corporate investment and “charitable” sponsorship of the UN</w:t>
      </w:r>
      <w:r w:rsidRPr="00DD2D90">
        <w:rPr>
          <w:rStyle w:val="StyleUnderline"/>
        </w:rPr>
        <w:t>’s flagship SDGs</w:t>
      </w:r>
      <w:r w:rsidRPr="00223414">
        <w:rPr>
          <w:sz w:val="16"/>
        </w:rPr>
        <w:t xml:space="preserve">, adopted in 2015 with the stated aim of ending poverty, reducing inequality, and advancing health, social well-being, and environmental sustainability.74 The claims for selfless philanthropic generosity merit critical consideration,75 for which comparisons with the past are illuminating. </w:t>
      </w:r>
      <w:r w:rsidRPr="00DD2D90">
        <w:rPr>
          <w:rStyle w:val="StyleUnderline"/>
          <w:highlight w:val="green"/>
        </w:rPr>
        <w:t>Philanthropy</w:t>
      </w:r>
      <w:r w:rsidRPr="00223414">
        <w:rPr>
          <w:sz w:val="16"/>
        </w:rPr>
        <w:t xml:space="preserve"> circa 1900 </w:t>
      </w:r>
      <w:r w:rsidRPr="00DD2D90">
        <w:rPr>
          <w:rStyle w:val="StyleUnderline"/>
          <w:highlight w:val="green"/>
        </w:rPr>
        <w:t>derived from</w:t>
      </w:r>
      <w:r w:rsidRPr="00223414">
        <w:rPr>
          <w:sz w:val="16"/>
        </w:rPr>
        <w:t xml:space="preserve"> the profits and exploitative practices of oil, steel, railroad, and manufacturing interests. Similarly, the colossal </w:t>
      </w:r>
      <w:r w:rsidRPr="00DD2D90">
        <w:rPr>
          <w:rStyle w:val="StyleUnderline"/>
        </w:rPr>
        <w:t>profits earned</w:t>
      </w:r>
      <w:r w:rsidRPr="00223414">
        <w:rPr>
          <w:sz w:val="16"/>
        </w:rPr>
        <w:t xml:space="preserve"> during the 1990s and 2000s by investors </w:t>
      </w:r>
      <w:r w:rsidRPr="00DD2D90">
        <w:rPr>
          <w:rStyle w:val="StyleUnderline"/>
        </w:rPr>
        <w:t>in</w:t>
      </w:r>
      <w:r w:rsidRPr="00223414">
        <w:rPr>
          <w:sz w:val="16"/>
        </w:rPr>
        <w:t xml:space="preserve"> the information-technology, insurance, real estate, and financial sectors, as well as industries linked to </w:t>
      </w:r>
      <w:r w:rsidRPr="00DD2D90">
        <w:rPr>
          <w:rStyle w:val="StyleUnderline"/>
        </w:rPr>
        <w:t xml:space="preserve">mining, </w:t>
      </w:r>
      <w:r w:rsidRPr="00DD2D90">
        <w:rPr>
          <w:rStyle w:val="StyleUnderline"/>
          <w:highlight w:val="green"/>
        </w:rPr>
        <w:t>oil</w:t>
      </w:r>
      <w:r w:rsidRPr="00DD2D90">
        <w:rPr>
          <w:rStyle w:val="StyleUnderline"/>
        </w:rPr>
        <w:t xml:space="preserve">, </w:t>
      </w:r>
      <w:r w:rsidRPr="00DD2D90">
        <w:rPr>
          <w:rStyle w:val="StyleUnderline"/>
          <w:highlight w:val="green"/>
        </w:rPr>
        <w:t>and the military</w:t>
      </w:r>
      <w:r w:rsidRPr="00DD2D90">
        <w:rPr>
          <w:rStyle w:val="StyleUnderline"/>
        </w:rPr>
        <w:t xml:space="preserve">, were </w:t>
      </w:r>
      <w:r w:rsidRPr="00DD2D90">
        <w:rPr>
          <w:rStyle w:val="StyleUnderline"/>
          <w:highlight w:val="green"/>
        </w:rPr>
        <w:t>built on</w:t>
      </w:r>
      <w:r w:rsidRPr="00DD2D90">
        <w:rPr>
          <w:rStyle w:val="StyleUnderline"/>
        </w:rPr>
        <w:t xml:space="preserve"> the rising </w:t>
      </w:r>
      <w:r w:rsidRPr="00DD2D90">
        <w:rPr>
          <w:rStyle w:val="StyleUnderline"/>
          <w:highlight w:val="green"/>
        </w:rPr>
        <w:t>inequality to which they contributed</w:t>
      </w:r>
      <w:r w:rsidRPr="00DD2D90">
        <w:rPr>
          <w:rStyle w:val="StyleUnderline"/>
        </w:rPr>
        <w:t xml:space="preserve">, </w:t>
      </w:r>
      <w:r w:rsidRPr="00DD2D90">
        <w:rPr>
          <w:rStyle w:val="StyleUnderline"/>
          <w:highlight w:val="green"/>
        </w:rPr>
        <w:t xml:space="preserve">abetted by </w:t>
      </w:r>
      <w:r w:rsidRPr="00DD2D90">
        <w:rPr>
          <w:rStyle w:val="Emphasis"/>
          <w:highlight w:val="green"/>
        </w:rPr>
        <w:t>massive</w:t>
      </w:r>
      <w:r w:rsidRPr="00223414">
        <w:rPr>
          <w:sz w:val="16"/>
        </w:rPr>
        <w:t xml:space="preserve">, if often lawful, </w:t>
      </w:r>
      <w:r w:rsidRPr="00DD2D90">
        <w:rPr>
          <w:rStyle w:val="StyleUnderline"/>
          <w:highlight w:val="green"/>
        </w:rPr>
        <w:t>tax evasion</w:t>
      </w:r>
      <w:r w:rsidRPr="00223414">
        <w:rPr>
          <w:sz w:val="16"/>
        </w:rPr>
        <w:t xml:space="preserve">.76 In both eras, </w:t>
      </w:r>
      <w:r w:rsidRPr="00DD2D90">
        <w:rPr>
          <w:rStyle w:val="StyleUnderline"/>
        </w:rPr>
        <w:t xml:space="preserve">profits were amassed </w:t>
      </w:r>
      <w:r w:rsidRPr="00DD2D90">
        <w:rPr>
          <w:rStyle w:val="StyleUnderline"/>
          <w:highlight w:val="green"/>
        </w:rPr>
        <w:t>thanks to depressed wages and worsening labor</w:t>
      </w:r>
      <w:r w:rsidRPr="00DD2D90">
        <w:rPr>
          <w:rStyle w:val="StyleUnderline"/>
        </w:rPr>
        <w:t xml:space="preserve"> </w:t>
      </w:r>
      <w:r w:rsidRPr="00DD2D90">
        <w:rPr>
          <w:rStyle w:val="StyleUnderline"/>
          <w:highlight w:val="green"/>
        </w:rPr>
        <w:t>conditions</w:t>
      </w:r>
      <w:r w:rsidRPr="00DD2D90">
        <w:rPr>
          <w:rStyle w:val="StyleUnderline"/>
        </w:rPr>
        <w:t xml:space="preserve">; </w:t>
      </w:r>
      <w:r w:rsidRPr="00DD2D90">
        <w:rPr>
          <w:rStyle w:val="StyleUnderline"/>
          <w:highlight w:val="green"/>
        </w:rPr>
        <w:t>trade and foreign investment practices obstructing and diluting protective regulations</w:t>
      </w:r>
      <w:r w:rsidRPr="00DD2D90">
        <w:rPr>
          <w:rStyle w:val="StyleUnderline"/>
        </w:rPr>
        <w:t xml:space="preserve">; </w:t>
      </w:r>
      <w:r w:rsidRPr="00DD2D90">
        <w:rPr>
          <w:rStyle w:val="StyleUnderline"/>
          <w:highlight w:val="green"/>
        </w:rPr>
        <w:t>illicit financial outflows</w:t>
      </w:r>
      <w:r w:rsidRPr="00DD2D90">
        <w:rPr>
          <w:rStyle w:val="StyleUnderline"/>
        </w:rPr>
        <w:t xml:space="preserve">; </w:t>
      </w:r>
      <w:r w:rsidRPr="00DD2D90">
        <w:rPr>
          <w:rStyle w:val="StyleUnderline"/>
          <w:highlight w:val="green"/>
        </w:rPr>
        <w:t>externalizing</w:t>
      </w:r>
      <w:r w:rsidRPr="00DD2D90">
        <w:rPr>
          <w:rStyle w:val="StyleUnderline"/>
        </w:rPr>
        <w:t xml:space="preserve"> and transferring the social and </w:t>
      </w:r>
      <w:r w:rsidRPr="00DD2D90">
        <w:rPr>
          <w:rStyle w:val="StyleUnderline"/>
          <w:highlight w:val="green"/>
        </w:rPr>
        <w:t>environmental costs</w:t>
      </w:r>
      <w:r w:rsidRPr="00DD2D90">
        <w:rPr>
          <w:rStyle w:val="StyleUnderline"/>
        </w:rPr>
        <w:t xml:space="preserve"> of doing business onto the public and future generations; </w:t>
      </w:r>
      <w:r w:rsidRPr="00DD2D90">
        <w:rPr>
          <w:rStyle w:val="StyleUnderline"/>
          <w:highlight w:val="green"/>
        </w:rPr>
        <w:t>and tacit support for military regimes</w:t>
      </w:r>
      <w:r w:rsidRPr="00DD2D90">
        <w:rPr>
          <w:rStyle w:val="StyleUnderline"/>
        </w:rPr>
        <w:t xml:space="preserve"> to guarantee access to valuable raw materials and commodities</w:t>
      </w:r>
      <w:r w:rsidRPr="00223414">
        <w:rPr>
          <w:sz w:val="16"/>
        </w:rPr>
        <w:t xml:space="preserve">.77 On the eve of launching his foundation, Bill </w:t>
      </w:r>
      <w:r w:rsidRPr="00DD2D90">
        <w:rPr>
          <w:rStyle w:val="StyleUnderline"/>
          <w:highlight w:val="green"/>
        </w:rPr>
        <w:t>Gates’s</w:t>
      </w:r>
      <w:r w:rsidRPr="00DD2D90">
        <w:rPr>
          <w:rStyle w:val="StyleUnderline"/>
        </w:rPr>
        <w:t xml:space="preserve"> </w:t>
      </w:r>
      <w:r w:rsidRPr="00DD2D90">
        <w:rPr>
          <w:rStyle w:val="StyleUnderline"/>
          <w:highlight w:val="green"/>
        </w:rPr>
        <w:t>net worth exceeded</w:t>
      </w:r>
      <w:r w:rsidRPr="00DD2D90">
        <w:rPr>
          <w:rStyle w:val="StyleUnderline"/>
        </w:rPr>
        <w:t xml:space="preserve"> that of </w:t>
      </w:r>
      <w:r w:rsidRPr="00DD2D90">
        <w:rPr>
          <w:rStyle w:val="StyleUnderline"/>
          <w:highlight w:val="green"/>
        </w:rPr>
        <w:t>the</w:t>
      </w:r>
      <w:r w:rsidRPr="00DD2D90">
        <w:rPr>
          <w:rStyle w:val="StyleUnderline"/>
        </w:rPr>
        <w:t xml:space="preserve"> total </w:t>
      </w:r>
      <w:r w:rsidRPr="00DD2D90">
        <w:rPr>
          <w:rStyle w:val="StyleUnderline"/>
          <w:highlight w:val="green"/>
        </w:rPr>
        <w:t>net worth of the</w:t>
      </w:r>
      <w:r w:rsidRPr="00DD2D90">
        <w:rPr>
          <w:rStyle w:val="StyleUnderline"/>
        </w:rPr>
        <w:t xml:space="preserve"> </w:t>
      </w:r>
      <w:r w:rsidRPr="00DD2D90">
        <w:rPr>
          <w:rStyle w:val="StyleUnderline"/>
          <w:highlight w:val="green"/>
        </w:rPr>
        <w:t xml:space="preserve">bottom </w:t>
      </w:r>
      <w:r w:rsidRPr="00DD2D90">
        <w:rPr>
          <w:rStyle w:val="Emphasis"/>
          <w:highlight w:val="green"/>
        </w:rPr>
        <w:t>40 percent</w:t>
      </w:r>
      <w:r w:rsidRPr="00DD2D90">
        <w:rPr>
          <w:rStyle w:val="StyleUnderline"/>
          <w:highlight w:val="green"/>
        </w:rPr>
        <w:t xml:space="preserve"> of the U.S. population</w:t>
      </w:r>
      <w:r w:rsidRPr="00223414">
        <w:rPr>
          <w:sz w:val="16"/>
        </w:rPr>
        <w:t xml:space="preserve">.78 The company he created, and in which he and the BMGF still hold shares, was recently accused of heavily lobbying against reforms that would curtail corporate tax evasion.79 Gates remains the wealthiest of eight </w:t>
      </w:r>
      <w:r w:rsidRPr="00DD2D90">
        <w:rPr>
          <w:rStyle w:val="StyleUnderline"/>
          <w:highlight w:val="green"/>
        </w:rPr>
        <w:t xml:space="preserve">mega-billionaires </w:t>
      </w:r>
      <w:r w:rsidRPr="00DD2D90">
        <w:rPr>
          <w:rStyle w:val="StyleUnderline"/>
        </w:rPr>
        <w:t xml:space="preserve">who </w:t>
      </w:r>
      <w:r w:rsidRPr="00DD2D90">
        <w:rPr>
          <w:rStyle w:val="StyleUnderline"/>
          <w:highlight w:val="green"/>
        </w:rPr>
        <w:t xml:space="preserve">are as rich as the </w:t>
      </w:r>
      <w:r w:rsidRPr="00DD2D90">
        <w:rPr>
          <w:rStyle w:val="Emphasis"/>
          <w:highlight w:val="green"/>
        </w:rPr>
        <w:t>poorest half</w:t>
      </w:r>
      <w:r w:rsidRPr="00DD2D90">
        <w:rPr>
          <w:rStyle w:val="StyleUnderline"/>
          <w:highlight w:val="green"/>
        </w:rPr>
        <w:t xml:space="preserve"> of humanity</w:t>
      </w:r>
      <w:r w:rsidRPr="00223414">
        <w:rPr>
          <w:sz w:val="16"/>
        </w:rPr>
        <w:t xml:space="preserve">.80 Yet </w:t>
      </w:r>
      <w:r w:rsidRPr="00DD2D90">
        <w:rPr>
          <w:rStyle w:val="StyleUnderline"/>
          <w:highlight w:val="green"/>
        </w:rPr>
        <w:t xml:space="preserve">these men are celebrated for </w:t>
      </w:r>
      <w:r w:rsidRPr="00DD2D90">
        <w:rPr>
          <w:rStyle w:val="StyleUnderline"/>
        </w:rPr>
        <w:t xml:space="preserve">their </w:t>
      </w:r>
      <w:r w:rsidRPr="00DD2D90">
        <w:rPr>
          <w:rStyle w:val="StyleUnderline"/>
          <w:highlight w:val="green"/>
        </w:rPr>
        <w:t>philanthropy rather than scrutinized for their business practices</w:t>
      </w:r>
      <w:r w:rsidRPr="00223414">
        <w:rPr>
          <w:sz w:val="16"/>
        </w:rPr>
        <w:t xml:space="preserve">. The tenet that business models can resolve social problems, and are superior to redistributive, collectively deliberated policies and actions developed by elected governments, rests on the belief that the market is best suited to these tasks, despite ample evidence to the contrary. Still, the BMGF’s support of such models and incentives diverges from that of the RF. Although following a business model and under-girding an expanding capitalist system, the RF explicitly called for public health to be just that—in the public sphere. Tax-deductibility of philanthropic donations is an affront to democracy. </w:t>
      </w:r>
      <w:r w:rsidRPr="00DD2D90">
        <w:rPr>
          <w:rStyle w:val="StyleUnderline"/>
        </w:rPr>
        <w:t>The belief that charitable giving can change the world is just another variant of the decidedly undemocratic doctrine that the rich know best. Whereas “governments used to collect billions from tycoons and then decide democratically what to do with it</w:t>
      </w:r>
      <w:r w:rsidRPr="00223414">
        <w:rPr>
          <w:sz w:val="16"/>
        </w:rPr>
        <w:t xml:space="preserve">,”81 today they cede agenda setting for social priorities to the class that already wields undue economic and political power. Applauding and encouraging the munificence of elites will not create equitable, sustainable societies. Ironically, people living on modest incomes are proportionately far more generous than the rich, often donating money and time at considerable personal sacrifice, without receiving comparable recognition or tax breaks for their contributions.82 A century ago, the millions of people involved in social and political struggles for decent, fair societies were far more skeptical than many are today about big philanthropy and its effect on public policy making, including policies about public health. In short, </w:t>
      </w:r>
      <w:r w:rsidRPr="00DD2D90">
        <w:rPr>
          <w:rStyle w:val="StyleUnderline"/>
        </w:rPr>
        <w:t xml:space="preserve">a </w:t>
      </w:r>
      <w:r w:rsidRPr="00DD2D90">
        <w:rPr>
          <w:rStyle w:val="StyleUnderline"/>
          <w:highlight w:val="green"/>
        </w:rPr>
        <w:t>plutocratic</w:t>
      </w:r>
      <w:r w:rsidRPr="00DD2D90">
        <w:rPr>
          <w:rStyle w:val="StyleUnderline"/>
        </w:rPr>
        <w:t xml:space="preserve"> </w:t>
      </w:r>
      <w:r w:rsidRPr="00DD2D90">
        <w:rPr>
          <w:rStyle w:val="StyleUnderline"/>
          <w:highlight w:val="green"/>
        </w:rPr>
        <w:t>health governance system</w:t>
      </w:r>
      <w:r w:rsidRPr="00DD2D90">
        <w:rPr>
          <w:rStyle w:val="StyleUnderline"/>
        </w:rPr>
        <w:t xml:space="preserve"> with </w:t>
      </w:r>
      <w:r w:rsidRPr="00DD2D90">
        <w:rPr>
          <w:rStyle w:val="Emphasis"/>
        </w:rPr>
        <w:t>authoritarian</w:t>
      </w:r>
      <w:r w:rsidRPr="00DD2D90">
        <w:rPr>
          <w:rStyle w:val="StyleUnderline"/>
        </w:rPr>
        <w:t xml:space="preserve"> features </w:t>
      </w:r>
      <w:r w:rsidRPr="00DD2D90">
        <w:rPr>
          <w:rStyle w:val="StyleUnderline"/>
          <w:highlight w:val="green"/>
        </w:rPr>
        <w:t>is</w:t>
      </w:r>
      <w:r w:rsidRPr="00DD2D90">
        <w:rPr>
          <w:rStyle w:val="StyleUnderline"/>
        </w:rPr>
        <w:t xml:space="preserve"> </w:t>
      </w:r>
      <w:r w:rsidRPr="00DD2D90">
        <w:rPr>
          <w:rStyle w:val="StyleUnderline"/>
          <w:highlight w:val="green"/>
        </w:rPr>
        <w:t>becoming entrenched</w:t>
      </w:r>
      <w:r w:rsidRPr="00DD2D90">
        <w:rPr>
          <w:rStyle w:val="StyleUnderline"/>
        </w:rPr>
        <w:t>.</w:t>
      </w:r>
      <w:r w:rsidRPr="00223414">
        <w:rPr>
          <w:sz w:val="16"/>
        </w:rPr>
        <w:t xml:space="preserve"> Fading independent critical media have facilitated the philanthrocapitalist onslaught, with the emergence of an engineered “consensus” claiming that the world’s problems can only be solved through “partnerships” of all “stakeholders.” By contrast, through the 1940s, the RF supported a small number of left-wing advocates of social medicine even as it privileged a medicalized, reductionist approach; the BMGF, however, remains largely impervious to opposing viewpoints. As the premier international health organization of its day, the RF had an overarching purview and was instrumental in establishing the centrality of the field of public health to the realms of economic development, nation-building, diplomacy, scientific diffusion, and capitalism writ large, while institutionalizing lasting, if problematic, patterns of health cooperation. The BMGF, for its part, while reliant on the public sector to deliver many of its technology-focused programs,83 appears largely indifferent to the survival of the “public” in public health. A RICH MAN’S WORLD: MUST IT BE? These many examples demonstrate that </w:t>
      </w:r>
      <w:r w:rsidRPr="00DD2D90">
        <w:rPr>
          <w:rStyle w:val="Emphasis"/>
        </w:rPr>
        <w:t>capitalism trumps philanthropy</w:t>
      </w:r>
      <w:r w:rsidRPr="00223414">
        <w:rPr>
          <w:sz w:val="16"/>
        </w:rPr>
        <w:t xml:space="preserve">—or “love of humankind,” from the word’s ancient Greek roots—making philanthrocapitalism an oxymoronic enterprise indeed. </w:t>
      </w:r>
      <w:r w:rsidRPr="00DD2D90">
        <w:rPr>
          <w:rStyle w:val="StyleUnderline"/>
        </w:rPr>
        <w:t>The</w:t>
      </w:r>
      <w:r w:rsidRPr="00223414">
        <w:rPr>
          <w:sz w:val="16"/>
        </w:rPr>
        <w:t xml:space="preserve"> pivotal, even </w:t>
      </w:r>
      <w:r w:rsidRPr="00DD2D90">
        <w:rPr>
          <w:rStyle w:val="StyleUnderline"/>
        </w:rPr>
        <w:t>nefarious, role it has played in global health depends on gargantuan resources enabled by profiteering of titanic proportions amid relentless</w:t>
      </w:r>
      <w:r w:rsidRPr="00223414">
        <w:rPr>
          <w:sz w:val="16"/>
        </w:rPr>
        <w:t xml:space="preserve"> ideological assaults on redistributive approaches, within a pro- corporate geopolitical climate of dominant, if currently cracking, global </w:t>
      </w:r>
      <w:r w:rsidRPr="00DD2D90">
        <w:rPr>
          <w:rStyle w:val="StyleUnderline"/>
        </w:rPr>
        <w:t>capitalism</w:t>
      </w:r>
      <w:r w:rsidRPr="00223414">
        <w:rPr>
          <w:sz w:val="16"/>
        </w:rPr>
        <w:t xml:space="preserve">. In the twenty-first century, it may still be a rich man’s world, but we need not settle for a rich man’s agenda. Collective activism to overturn philanthrocapitalism’s hold on global health is an urgent necessity. This effort should draw from, and build upon, the resistance to the UN’s promotion of “multi-stakeholder partnerships” and neoliberal global restructuring since the 1990s.84 Those actors who have contributed either unwittingly, or through silent assent, or even with active collaboration to the global health plutocracy also share responsibility in re-democratizing it. Governments and UN agencies need to take their public mandates seriously. Scientists, scholars, activists, civil servants, international organizations’ staff, parliamentarians, journalists, trade unionists, and ethical thinkers of all stripes have a duty to question and counter philanthrocapitalists’ unjustified influence, work together for accountability and democratic decision making, and reclaim a global health agenda based on social justice rather than capital accumulation </w:t>
      </w:r>
    </w:p>
    <w:p w14:paraId="1A6B3235" w14:textId="77777777" w:rsidR="00FA1D49" w:rsidRPr="00223414" w:rsidRDefault="00FA1D49">
      <w:pPr>
        <w:rPr>
          <w:rFonts w:eastAsiaTheme="majorEastAsia" w:cstheme="majorBidi"/>
          <w:b/>
          <w:iCs/>
          <w:sz w:val="16"/>
        </w:rPr>
      </w:pPr>
      <w:r w:rsidRPr="00223414">
        <w:rPr>
          <w:sz w:val="16"/>
        </w:rPr>
        <w:br w:type="page"/>
      </w:r>
    </w:p>
    <w:p w14:paraId="1AE67AC1" w14:textId="473A1602" w:rsidR="00893021" w:rsidRPr="00223414" w:rsidRDefault="00893021" w:rsidP="00893021">
      <w:pPr>
        <w:pStyle w:val="Heading4"/>
        <w:rPr>
          <w:szCs w:val="26"/>
        </w:rPr>
      </w:pPr>
      <w:r w:rsidRPr="00223414">
        <w:rPr>
          <w:szCs w:val="26"/>
        </w:rPr>
        <w:t xml:space="preserve">Aid dependency makes countries extremely vulnerable to external shocks </w:t>
      </w:r>
      <w:r w:rsidR="00EB4730" w:rsidRPr="00223414">
        <w:rPr>
          <w:szCs w:val="26"/>
        </w:rPr>
        <w:t>– this proves why horizontal infrastructure development is key</w:t>
      </w:r>
    </w:p>
    <w:p w14:paraId="17000659" w14:textId="77777777" w:rsidR="00893021" w:rsidRPr="00DD2D90" w:rsidRDefault="00893021" w:rsidP="00893021">
      <w:r w:rsidRPr="00223414">
        <w:rPr>
          <w:b/>
          <w:bCs/>
          <w:sz w:val="26"/>
          <w:szCs w:val="26"/>
        </w:rPr>
        <w:t>Krugman 4-1</w:t>
      </w:r>
      <w:r w:rsidRPr="00DD2D90">
        <w:t xml:space="preserve"> [Allison Krugman, data visuals associate editor for Think Global Health at the Council on Foreign Relations, 4-1-2026, "How the Iran War Is Straining Humanitarian Aid, in Three Charts", Think Global Health, https://www.thinkglobalhealth.org/article/how-the-iran-war-is-straining-humanitarian-aid-in-three-charts]/Kankee</w:t>
      </w:r>
    </w:p>
    <w:p w14:paraId="77003BB3" w14:textId="77777777" w:rsidR="00893021" w:rsidRPr="00223414" w:rsidRDefault="00893021" w:rsidP="00893021">
      <w:pPr>
        <w:rPr>
          <w:sz w:val="16"/>
        </w:rPr>
      </w:pPr>
      <w:r w:rsidRPr="00DD2D90">
        <w:rPr>
          <w:rStyle w:val="StyleUnderline"/>
          <w:highlight w:val="green"/>
        </w:rPr>
        <w:t>The Iran war continues</w:t>
      </w:r>
      <w:r w:rsidRPr="00223414">
        <w:rPr>
          <w:sz w:val="16"/>
        </w:rPr>
        <w:t xml:space="preserve"> to </w:t>
      </w:r>
      <w:r w:rsidRPr="00DD2D90">
        <w:rPr>
          <w:rStyle w:val="StyleUnderline"/>
          <w:highlight w:val="green"/>
        </w:rPr>
        <w:t>choke</w:t>
      </w:r>
      <w:r w:rsidRPr="00223414">
        <w:rPr>
          <w:sz w:val="16"/>
        </w:rPr>
        <w:t xml:space="preserve"> the global delivery of </w:t>
      </w:r>
      <w:r w:rsidRPr="00DD2D90">
        <w:rPr>
          <w:rStyle w:val="StyleUnderline"/>
        </w:rPr>
        <w:t xml:space="preserve">fuel, fertilizer, </w:t>
      </w:r>
      <w:r w:rsidRPr="00DD2D90">
        <w:rPr>
          <w:rStyle w:val="StyleUnderline"/>
          <w:highlight w:val="green"/>
        </w:rPr>
        <w:t>medicines</w:t>
      </w:r>
      <w:r w:rsidRPr="00DD2D90">
        <w:rPr>
          <w:rStyle w:val="StyleUnderline"/>
        </w:rPr>
        <w:t xml:space="preserve">, </w:t>
      </w:r>
      <w:r w:rsidRPr="00DD2D90">
        <w:rPr>
          <w:rStyle w:val="StyleUnderline"/>
          <w:highlight w:val="green"/>
        </w:rPr>
        <w:t>and aid</w:t>
      </w:r>
      <w:r w:rsidRPr="00DD2D90">
        <w:rPr>
          <w:rStyle w:val="StyleUnderline"/>
        </w:rPr>
        <w:t xml:space="preserve"> shipments</w:t>
      </w:r>
      <w:r w:rsidRPr="00223414">
        <w:rPr>
          <w:sz w:val="16"/>
        </w:rPr>
        <w:t xml:space="preserve"> </w:t>
      </w:r>
      <w:r w:rsidRPr="00DD2D90">
        <w:rPr>
          <w:rStyle w:val="StyleUnderline"/>
          <w:highlight w:val="green"/>
        </w:rPr>
        <w:t>transiting</w:t>
      </w:r>
      <w:r w:rsidRPr="00223414">
        <w:rPr>
          <w:sz w:val="16"/>
        </w:rPr>
        <w:t xml:space="preserve"> </w:t>
      </w:r>
      <w:r w:rsidRPr="00DD2D90">
        <w:rPr>
          <w:rStyle w:val="StyleUnderline"/>
          <w:highlight w:val="green"/>
        </w:rPr>
        <w:t>the Middle East</w:t>
      </w:r>
      <w:r w:rsidRPr="00DD2D90">
        <w:rPr>
          <w:rStyle w:val="StyleUnderline"/>
        </w:rPr>
        <w:t xml:space="preserve"> and the Strait of Hormuz</w:t>
      </w:r>
      <w:r w:rsidRPr="00223414">
        <w:rPr>
          <w:sz w:val="16"/>
        </w:rPr>
        <w:t xml:space="preserve">. On March 28, Houthi rebels in Yemen signaled that additional shipping lanes could be under threat, citing </w:t>
      </w:r>
      <w:r w:rsidRPr="00DD2D90">
        <w:rPr>
          <w:rStyle w:val="StyleUnderline"/>
        </w:rPr>
        <w:t>the Bab-el-Mandeb strait, the Red Sea, and the Gulf of Aden</w:t>
      </w:r>
      <w:r w:rsidRPr="00223414">
        <w:rPr>
          <w:sz w:val="16"/>
        </w:rPr>
        <w:t xml:space="preserve"> as potential leverage against the United States and Israel. The disruptions are forcing </w:t>
      </w:r>
      <w:r w:rsidRPr="00DD2D90">
        <w:rPr>
          <w:rStyle w:val="StyleUnderline"/>
        </w:rPr>
        <w:t>humanitarian organizations</w:t>
      </w:r>
      <w:r w:rsidRPr="00223414">
        <w:rPr>
          <w:sz w:val="16"/>
        </w:rPr>
        <w:t xml:space="preserve"> such as the UN World Food Program (WFP) and Save the Children to </w:t>
      </w:r>
      <w:r w:rsidRPr="00DD2D90">
        <w:rPr>
          <w:rStyle w:val="StyleUnderline"/>
        </w:rPr>
        <w:t>reroute humanitarian aid around restricted waterways or over land, add</w:t>
      </w:r>
      <w:r w:rsidRPr="00DD2D90">
        <w:rPr>
          <w:rStyle w:val="StyleUnderline"/>
          <w:highlight w:val="green"/>
        </w:rPr>
        <w:t>ing weeks of delay and millions of dollars to shipping costs</w:t>
      </w:r>
      <w:r w:rsidRPr="00223414">
        <w:rPr>
          <w:sz w:val="16"/>
        </w:rPr>
        <w:t xml:space="preserve">. Because these </w:t>
      </w:r>
      <w:r w:rsidRPr="00DD2D90">
        <w:rPr>
          <w:rStyle w:val="StyleUnderline"/>
        </w:rPr>
        <w:t>financial spikes strain limited budgets, countries that depend on imports</w:t>
      </w:r>
      <w:r w:rsidRPr="00223414">
        <w:rPr>
          <w:sz w:val="16"/>
        </w:rPr>
        <w:t>—including Afghanistan, Somalia, and Sudan—</w:t>
      </w:r>
      <w:r w:rsidRPr="00DD2D90">
        <w:rPr>
          <w:rStyle w:val="StyleUnderline"/>
        </w:rPr>
        <w:t xml:space="preserve">face greater peril as fuel prices drive up the costs of </w:t>
      </w:r>
      <w:r w:rsidRPr="00223414">
        <w:rPr>
          <w:sz w:val="16"/>
        </w:rPr>
        <w:t>food and</w:t>
      </w:r>
      <w:r w:rsidRPr="00DD2D90">
        <w:rPr>
          <w:rStyle w:val="StyleUnderline"/>
        </w:rPr>
        <w:t xml:space="preserve"> medicine</w:t>
      </w:r>
      <w:r w:rsidRPr="00223414">
        <w:rPr>
          <w:sz w:val="16"/>
        </w:rPr>
        <w:t xml:space="preserve">. "The disruptions to shipping have made it much more difficult for us to reach the countries where we're working," said WFP Food Security Director Jean-Martin Bauer. "The example I usually give is how we reach Sudan, the largest operation of ours." Think Global Health created three charts to contextualize what the challenges spawned by the Iran war mean for humanitarian aid operations and the countries that rely on them. Aid Shipments Around Africa According to the WFP, Sudan is the world's largest hunger crisis, 41% of its population facing high levels of acute food insecurity. Parts of the country are experiencing famine conditions, at least 1 in 5 households facing starvation from extreme lack of food. Violence has decimated Sudan's health and sanitation system, fueling outbreaks of gastrointestinal diseases such as cholera. Illustrating the recent disruption to the WFP's operations in Sudan, Bauer described an agreement with a carrier delivering more than 1,700 metric tons of liquid nutritional supplements purchased in India to Port Sudan. Reluctant to sail through the Bab-el-Mandeb strait, the carrier made an alternate journey around the Cape of Good Hope and through the Mediterranean Sea to the Suez Canal. During the Red Sea Crisis, which began in late 2023 when Houthis mounted attacks on commercial ships, transit passing through the Bab-el-Mandeb strait decreased by more than half [PDF] and the number of vessels traveling around the Cape of Good Hope rose by 130%. The WFP rerouted another shipment of rice and biscuits donated by South Korea to Tajikistan around the Cape of Good Hope to Georgia, then by road—encountering delays at border crossings and ferry points—to their destination, a journey that cost an extra three weeks and $500,000. The Iran war is also disrupting Save the Children's shipments to partner countries in the region. The organization told Think Global Health via email that nearly $600,000 of essential medicines bound for 90 primary care facilities in Sudan are stuck in their shipping hub in Dubai. </w:t>
      </w:r>
      <w:r w:rsidRPr="00DD2D90">
        <w:rPr>
          <w:rStyle w:val="StyleUnderline"/>
          <w:highlight w:val="green"/>
        </w:rPr>
        <w:t>The cost of delivering</w:t>
      </w:r>
      <w:r w:rsidRPr="00223414">
        <w:rPr>
          <w:sz w:val="16"/>
        </w:rPr>
        <w:t xml:space="preserve"> $172,000 worth of nutrition </w:t>
      </w:r>
      <w:r w:rsidRPr="00DD2D90">
        <w:rPr>
          <w:rStyle w:val="StyleUnderline"/>
          <w:highlight w:val="green"/>
        </w:rPr>
        <w:t>supplies</w:t>
      </w:r>
      <w:r w:rsidRPr="00223414">
        <w:rPr>
          <w:sz w:val="16"/>
        </w:rPr>
        <w:t xml:space="preserve"> to children and pregnant women in Afghanistan via freight air </w:t>
      </w:r>
      <w:r w:rsidRPr="00DD2D90">
        <w:rPr>
          <w:rStyle w:val="StyleUnderline"/>
          <w:highlight w:val="green"/>
        </w:rPr>
        <w:t>was</w:t>
      </w:r>
      <w:r w:rsidRPr="00223414">
        <w:rPr>
          <w:sz w:val="16"/>
        </w:rPr>
        <w:t xml:space="preserve"> $316,000, nearly </w:t>
      </w:r>
      <w:r w:rsidRPr="00DD2D90">
        <w:rPr>
          <w:rStyle w:val="Emphasis"/>
          <w:highlight w:val="green"/>
        </w:rPr>
        <w:t>double</w:t>
      </w:r>
      <w:r w:rsidRPr="00223414">
        <w:rPr>
          <w:sz w:val="16"/>
          <w:highlight w:val="green"/>
        </w:rPr>
        <w:t xml:space="preserve"> </w:t>
      </w:r>
      <w:r w:rsidRPr="00DD2D90">
        <w:rPr>
          <w:rStyle w:val="StyleUnderline"/>
          <w:highlight w:val="green"/>
        </w:rPr>
        <w:t>the cost of the goods themselves</w:t>
      </w:r>
      <w:r w:rsidRPr="00223414">
        <w:rPr>
          <w:sz w:val="16"/>
        </w:rPr>
        <w:t xml:space="preserve">. "In the Red Sea Crisis a few years ago, when we couldn't have vessels transiting the Red Sea, </w:t>
      </w:r>
      <w:r w:rsidRPr="00DD2D90">
        <w:rPr>
          <w:rStyle w:val="StyleUnderline"/>
        </w:rPr>
        <w:t xml:space="preserve">shipping costs increased by between 15 to </w:t>
      </w:r>
      <w:r w:rsidRPr="00DD2D90">
        <w:rPr>
          <w:rStyle w:val="Emphasis"/>
        </w:rPr>
        <w:t>40%</w:t>
      </w:r>
      <w:r w:rsidRPr="00223414">
        <w:rPr>
          <w:sz w:val="16"/>
        </w:rPr>
        <w:t>," Bauer said. "These are not small increases." Watching Diesel Fuel Prices The Iran war has led the price of diesel to increase faster than that of gasoline, translating to higher transport costs that affect the price of nearly all goods. Diesel dominates in trucks carrying overland shipments of heavy cargo and in many cargo ships. In addition to ballooning the price of shipping for aid organizations, the high cost of diesel is having wide-ranging effects on health-care and food systems across countries, particularly ones that rely on fuel imports. In Somalia, high fuel prices are preventing patients from traveling to access health-care facilities. Fuel is also making it more expensive to keep hospitals operating. A 2025 study found that more than half of low-income countries use diesel generators as a primary source of electricity in hospitals, 35% relying on them completely. Fuel prices have also elevated Somalia's food prices by 20%, given that Somalia imports 90% of its provisions. Somalia also imports nearly one-third of its fertilizers from the Gulf region, straining farmers during planting season. According to Doctors Without Borders, nearly 1 in 3 Somalis already experience acute food insecurity. "</w:t>
      </w:r>
      <w:r w:rsidRPr="00DD2D90">
        <w:rPr>
          <w:rStyle w:val="StyleUnderline"/>
          <w:highlight w:val="green"/>
        </w:rPr>
        <w:t xml:space="preserve">These short-term market reactions are indicative of a </w:t>
      </w:r>
      <w:r w:rsidRPr="00DD2D90">
        <w:rPr>
          <w:rStyle w:val="Emphasis"/>
          <w:highlight w:val="green"/>
        </w:rPr>
        <w:t>high</w:t>
      </w:r>
      <w:r w:rsidRPr="00DD2D90">
        <w:rPr>
          <w:rStyle w:val="StyleUnderline"/>
          <w:highlight w:val="green"/>
        </w:rPr>
        <w:t xml:space="preserve"> level of underlying </w:t>
      </w:r>
      <w:r w:rsidRPr="00DD2D90">
        <w:rPr>
          <w:rStyle w:val="Emphasis"/>
          <w:highlight w:val="green"/>
        </w:rPr>
        <w:t>vulnerability</w:t>
      </w:r>
      <w:r w:rsidRPr="00DD2D90">
        <w:rPr>
          <w:rStyle w:val="StyleUnderline"/>
          <w:highlight w:val="green"/>
        </w:rPr>
        <w:t xml:space="preserve"> to</w:t>
      </w:r>
      <w:r w:rsidRPr="00DD2D90">
        <w:rPr>
          <w:rStyle w:val="StyleUnderline"/>
        </w:rPr>
        <w:t xml:space="preserve"> these types of </w:t>
      </w:r>
      <w:r w:rsidRPr="00DD2D90">
        <w:rPr>
          <w:rStyle w:val="StyleUnderline"/>
          <w:highlight w:val="green"/>
        </w:rPr>
        <w:t>shocks</w:t>
      </w:r>
      <w:r w:rsidRPr="00223414">
        <w:rPr>
          <w:sz w:val="16"/>
        </w:rPr>
        <w:t xml:space="preserve">," said Bauer. "Any item you find in a retail outlet will be basically 15% fuel. If fuel [prices] double, that will have a large impact on the price of a food item. When food prices go up, families will shift to the cheapest available calories and that has an impact on nutrition." Other ripple effects will occur. In the Philippines, where diesel prices have risen 81.6% since the start of the Iran war, private hospitals are contemplating a 5% hospital surcharge to offset the cost of maintaining diesel generators for electricity and importing medicines. Aid Cuts </w:t>
      </w:r>
      <w:r w:rsidRPr="00DD2D90">
        <w:rPr>
          <w:rStyle w:val="StyleUnderline"/>
        </w:rPr>
        <w:t xml:space="preserve">As the Iran war worsens existing health emergencies, humanitarian aid </w:t>
      </w:r>
      <w:r w:rsidRPr="00DD2D90">
        <w:rPr>
          <w:rStyle w:val="StyleUnderline"/>
          <w:highlight w:val="green"/>
        </w:rPr>
        <w:t xml:space="preserve">organizations lack the funding to respond after </w:t>
      </w:r>
      <w:r w:rsidRPr="00DD2D90">
        <w:rPr>
          <w:rStyle w:val="Emphasis"/>
          <w:highlight w:val="green"/>
        </w:rPr>
        <w:t>massive</w:t>
      </w:r>
      <w:r w:rsidRPr="00DD2D90">
        <w:rPr>
          <w:rStyle w:val="StyleUnderline"/>
          <w:highlight w:val="green"/>
        </w:rPr>
        <w:t xml:space="preserve"> aid cuts</w:t>
      </w:r>
      <w:r w:rsidRPr="00DD2D90">
        <w:rPr>
          <w:rStyle w:val="StyleUnderline"/>
        </w:rPr>
        <w:t xml:space="preserve"> disrupted the sector in 2025</w:t>
      </w:r>
      <w:r w:rsidRPr="00223414">
        <w:rPr>
          <w:sz w:val="16"/>
        </w:rPr>
        <w:t xml:space="preserve">. The Institute for Health Metrics and Evaluation estimates that </w:t>
      </w:r>
      <w:r w:rsidRPr="00DD2D90">
        <w:rPr>
          <w:rStyle w:val="StyleUnderline"/>
        </w:rPr>
        <w:t>health-related</w:t>
      </w:r>
      <w:r w:rsidRPr="00223414">
        <w:rPr>
          <w:sz w:val="16"/>
        </w:rPr>
        <w:t xml:space="preserve"> nongovernmental organizations (</w:t>
      </w:r>
      <w:r w:rsidRPr="00DD2D90">
        <w:rPr>
          <w:rStyle w:val="StyleUnderline"/>
          <w:highlight w:val="green"/>
        </w:rPr>
        <w:t>NGOs</w:t>
      </w:r>
      <w:r w:rsidRPr="00223414">
        <w:rPr>
          <w:sz w:val="16"/>
        </w:rPr>
        <w:t xml:space="preserve">) </w:t>
      </w:r>
      <w:r w:rsidRPr="00DD2D90">
        <w:rPr>
          <w:rStyle w:val="StyleUnderline"/>
        </w:rPr>
        <w:t xml:space="preserve">and foundations overall </w:t>
      </w:r>
      <w:r w:rsidRPr="00DD2D90">
        <w:rPr>
          <w:rStyle w:val="StyleUnderline"/>
          <w:highlight w:val="green"/>
        </w:rPr>
        <w:t xml:space="preserve">experienced a </w:t>
      </w:r>
      <w:r w:rsidRPr="00DD2D90">
        <w:rPr>
          <w:rStyle w:val="Emphasis"/>
          <w:highlight w:val="green"/>
        </w:rPr>
        <w:t>14%</w:t>
      </w:r>
      <w:r w:rsidRPr="00DD2D90">
        <w:rPr>
          <w:rStyle w:val="StyleUnderline"/>
          <w:highlight w:val="green"/>
        </w:rPr>
        <w:t xml:space="preserve"> funding cut from 2024 to 2025</w:t>
      </w:r>
      <w:r w:rsidRPr="00223414">
        <w:rPr>
          <w:sz w:val="16"/>
        </w:rPr>
        <w:t xml:space="preserve">, </w:t>
      </w:r>
      <w:r w:rsidRPr="00DD2D90">
        <w:rPr>
          <w:rStyle w:val="StyleUnderline"/>
          <w:highlight w:val="green"/>
        </w:rPr>
        <w:t xml:space="preserve">UN agencies encountered a </w:t>
      </w:r>
      <w:r w:rsidRPr="00DD2D90">
        <w:rPr>
          <w:rStyle w:val="Emphasis"/>
          <w:highlight w:val="green"/>
        </w:rPr>
        <w:t>19%</w:t>
      </w:r>
      <w:r w:rsidRPr="00DD2D90">
        <w:rPr>
          <w:rStyle w:val="StyleUnderline"/>
          <w:highlight w:val="green"/>
        </w:rPr>
        <w:t xml:space="preserve"> cut</w:t>
      </w:r>
      <w:r w:rsidRPr="00223414">
        <w:rPr>
          <w:sz w:val="16"/>
        </w:rPr>
        <w:t xml:space="preserve">. In early 2026, the United States passed a $50-billion foreign affairs package, including $9.4 billion for global health and $5.4 billion for humanitarian assistance, which would include funds to NGOs, including the WFP. It is unclear whether funds will be spent to aid the response to the Iran war. "In 2022 the World Food Program had an income of more than $14 billion that was down to about $6.4 billion last year. Down by more than half in three years," Bauer said. "That means that our programs in places like Sudan cover fewer people. We've had to prioritize and focus on the most acute needs. That means that </w:t>
      </w:r>
      <w:r w:rsidRPr="00DD2D90">
        <w:rPr>
          <w:rStyle w:val="StyleUnderline"/>
          <w:highlight w:val="green"/>
        </w:rPr>
        <w:t xml:space="preserve">there's less of a </w:t>
      </w:r>
      <w:r w:rsidRPr="00DD2D90">
        <w:rPr>
          <w:rStyle w:val="Emphasis"/>
          <w:highlight w:val="green"/>
        </w:rPr>
        <w:t>cushion</w:t>
      </w:r>
      <w:r w:rsidRPr="00DD2D90">
        <w:rPr>
          <w:rStyle w:val="StyleUnderline"/>
        </w:rPr>
        <w:t xml:space="preserve"> to absorb a situation like</w:t>
      </w:r>
      <w:r w:rsidRPr="00223414">
        <w:rPr>
          <w:sz w:val="16"/>
        </w:rPr>
        <w:t xml:space="preserve"> this one." Last year, Save the Children reported that it had terminated 89 of its programs in 40 countries because of funding cuts. As the war stretches on, </w:t>
      </w:r>
      <w:r w:rsidRPr="00DD2D90">
        <w:rPr>
          <w:rStyle w:val="StyleUnderline"/>
        </w:rPr>
        <w:t>the Iran war</w:t>
      </w:r>
      <w:r w:rsidRPr="00223414">
        <w:rPr>
          <w:sz w:val="16"/>
        </w:rPr>
        <w:t xml:space="preserve"> could have a lasting effect on humanitarian crises globally. "Even if everything goes back to normal in terms of shipping and navigation and energy prices, things take a while to get back to normal in the countries we work in," Bauer explained. "We need to be mindful that we're already looking at an extended scenario." </w:t>
      </w:r>
    </w:p>
    <w:p w14:paraId="313197D3" w14:textId="77777777" w:rsidR="00FA1D49" w:rsidRPr="00223414" w:rsidRDefault="00FA1D49">
      <w:pPr>
        <w:rPr>
          <w:rFonts w:eastAsiaTheme="majorEastAsia" w:cstheme="majorBidi"/>
          <w:b/>
          <w:iCs/>
          <w:sz w:val="16"/>
        </w:rPr>
      </w:pPr>
      <w:r w:rsidRPr="00223414">
        <w:rPr>
          <w:sz w:val="16"/>
        </w:rPr>
        <w:br w:type="page"/>
      </w:r>
    </w:p>
    <w:p w14:paraId="71363867" w14:textId="1D71C8D0" w:rsidR="00893021" w:rsidRPr="00223414" w:rsidRDefault="00992437" w:rsidP="00893021">
      <w:pPr>
        <w:pStyle w:val="Heading4"/>
        <w:rPr>
          <w:szCs w:val="26"/>
        </w:rPr>
      </w:pPr>
      <w:r w:rsidRPr="00223414">
        <w:rPr>
          <w:szCs w:val="26"/>
        </w:rPr>
        <w:t xml:space="preserve">Austerity in the Global South </w:t>
      </w:r>
      <w:r w:rsidR="00893021" w:rsidRPr="00223414">
        <w:rPr>
          <w:szCs w:val="26"/>
        </w:rPr>
        <w:t>encourages brain drain – single payer key to solve</w:t>
      </w:r>
    </w:p>
    <w:p w14:paraId="481EC78C" w14:textId="77777777" w:rsidR="00893021" w:rsidRPr="00DD2D90" w:rsidRDefault="00893021" w:rsidP="00893021">
      <w:r w:rsidRPr="00223414">
        <w:rPr>
          <w:b/>
          <w:bCs/>
          <w:sz w:val="26"/>
          <w:szCs w:val="26"/>
        </w:rPr>
        <w:t>Mthunzi 23</w:t>
      </w:r>
      <w:r w:rsidRPr="00DD2D90">
        <w:t xml:space="preserve"> [Lerato Mthunzi, South African healthcare professional, 3-28-2023, "'Brain drain’: Capitalism fails healthcare in SA – NHI is the solution", African, https://theafrican.co.za/health/2023-12-19-brain-drain-capitalism-fails-healthcare-in-sa--nhi-is-the-solution/]/Kankee</w:t>
      </w:r>
    </w:p>
    <w:p w14:paraId="5FDA10B6" w14:textId="77777777" w:rsidR="00893021" w:rsidRPr="00223414" w:rsidRDefault="00893021" w:rsidP="00992437">
      <w:pPr>
        <w:rPr>
          <w:sz w:val="16"/>
        </w:rPr>
      </w:pPr>
      <w:r w:rsidRPr="00223414">
        <w:rPr>
          <w:sz w:val="16"/>
        </w:rPr>
        <w:t xml:space="preserve">As a healthcare professional whose experience is rooted in the public healthcare sector of South Africa, I can sympathise with healthcare professionals who choose to leave the Continent, in order to pursue their career overseas. The phenomenon of ‘brain drain’, which is the emigration of highly skilled professionals from their home country to another, has been a significant concern for many developing nations, including South Africa. According to an article by Health Policy Watch, </w:t>
      </w:r>
      <w:r w:rsidRPr="00DD2D90">
        <w:rPr>
          <w:rStyle w:val="StyleUnderline"/>
        </w:rPr>
        <w:t xml:space="preserve">fifteen of the world’s </w:t>
      </w:r>
      <w:r w:rsidRPr="00DD2D90">
        <w:rPr>
          <w:rStyle w:val="StyleUnderline"/>
          <w:highlight w:val="green"/>
        </w:rPr>
        <w:t>rich</w:t>
      </w:r>
      <w:r w:rsidRPr="00DD2D90">
        <w:rPr>
          <w:rStyle w:val="StyleUnderline"/>
        </w:rPr>
        <w:t xml:space="preserve">est </w:t>
      </w:r>
      <w:r w:rsidRPr="00DD2D90">
        <w:rPr>
          <w:rStyle w:val="StyleUnderline"/>
          <w:highlight w:val="green"/>
        </w:rPr>
        <w:t>countries have</w:t>
      </w:r>
      <w:r w:rsidRPr="00DD2D90">
        <w:rPr>
          <w:rStyle w:val="StyleUnderline"/>
        </w:rPr>
        <w:t xml:space="preserve"> over </w:t>
      </w:r>
      <w:r w:rsidRPr="00DD2D90">
        <w:rPr>
          <w:rStyle w:val="StyleUnderline"/>
          <w:highlight w:val="green"/>
        </w:rPr>
        <w:t>55,000 African doctors</w:t>
      </w:r>
      <w:r w:rsidRPr="00DD2D90">
        <w:rPr>
          <w:rStyle w:val="StyleUnderline"/>
        </w:rPr>
        <w:t xml:space="preserve"> in their healthcare systems</w:t>
      </w:r>
      <w:r w:rsidRPr="00223414">
        <w:rPr>
          <w:sz w:val="16"/>
        </w:rPr>
        <w:t xml:space="preserve">. A report by the World Health Organisation (WHO) which was published last year in the British Medical Journal Global Health and which surveyed 47 </w:t>
      </w:r>
      <w:r w:rsidRPr="00DD2D90">
        <w:rPr>
          <w:rStyle w:val="StyleUnderline"/>
          <w:highlight w:val="green"/>
        </w:rPr>
        <w:t>African countries</w:t>
      </w:r>
      <w:r w:rsidRPr="00223414">
        <w:rPr>
          <w:sz w:val="16"/>
        </w:rPr>
        <w:t>, found that “the region</w:t>
      </w:r>
      <w:r w:rsidRPr="00DD2D90">
        <w:rPr>
          <w:rStyle w:val="StyleUnderline"/>
        </w:rPr>
        <w:t xml:space="preserve"> </w:t>
      </w:r>
      <w:r w:rsidRPr="00DD2D90">
        <w:rPr>
          <w:rStyle w:val="StyleUnderline"/>
          <w:highlight w:val="green"/>
        </w:rPr>
        <w:t>has</w:t>
      </w:r>
      <w:r w:rsidRPr="00DD2D90">
        <w:rPr>
          <w:rStyle w:val="StyleUnderline"/>
        </w:rPr>
        <w:t xml:space="preserve"> a ratio of </w:t>
      </w:r>
      <w:r w:rsidRPr="00DD2D90">
        <w:rPr>
          <w:rStyle w:val="StyleUnderline"/>
          <w:highlight w:val="green"/>
        </w:rPr>
        <w:t>1.55 health workers</w:t>
      </w:r>
      <w:r w:rsidRPr="00223414">
        <w:rPr>
          <w:sz w:val="16"/>
        </w:rPr>
        <w:t xml:space="preserve"> (physicians, nurses and midwives) </w:t>
      </w:r>
      <w:r w:rsidRPr="00DD2D90">
        <w:rPr>
          <w:rStyle w:val="StyleUnderline"/>
          <w:highlight w:val="green"/>
        </w:rPr>
        <w:t>per 1,000</w:t>
      </w:r>
      <w:r w:rsidRPr="00DD2D90">
        <w:rPr>
          <w:rStyle w:val="StyleUnderline"/>
        </w:rPr>
        <w:t xml:space="preserve"> people.</w:t>
      </w:r>
      <w:r w:rsidRPr="00223414">
        <w:rPr>
          <w:sz w:val="16"/>
        </w:rPr>
        <w:t xml:space="preserve"> </w:t>
      </w:r>
      <w:r w:rsidRPr="00DD2D90">
        <w:rPr>
          <w:rStyle w:val="StyleUnderline"/>
        </w:rPr>
        <w:t xml:space="preserve">This is </w:t>
      </w:r>
      <w:r w:rsidRPr="00DD2D90">
        <w:rPr>
          <w:rStyle w:val="StyleUnderline"/>
          <w:highlight w:val="green"/>
        </w:rPr>
        <w:t>below the</w:t>
      </w:r>
      <w:r w:rsidRPr="00DD2D90">
        <w:rPr>
          <w:rStyle w:val="StyleUnderline"/>
        </w:rPr>
        <w:t xml:space="preserve"> </w:t>
      </w:r>
      <w:r w:rsidRPr="00DD2D90">
        <w:rPr>
          <w:rStyle w:val="StyleUnderline"/>
          <w:highlight w:val="green"/>
        </w:rPr>
        <w:t>WHO threshold</w:t>
      </w:r>
      <w:r w:rsidRPr="00DD2D90">
        <w:rPr>
          <w:rStyle w:val="StyleUnderline"/>
        </w:rPr>
        <w:t xml:space="preserve"> density of 4.45 health workers per 1,000 people</w:t>
      </w:r>
      <w:r w:rsidRPr="00223414">
        <w:rPr>
          <w:sz w:val="16"/>
        </w:rPr>
        <w:t xml:space="preserve"> needed to deliver essential health services and achieve universal health coverage.” The report goes on to say that </w:t>
      </w:r>
      <w:r w:rsidRPr="00DD2D90">
        <w:rPr>
          <w:rStyle w:val="StyleUnderline"/>
          <w:highlight w:val="green"/>
        </w:rPr>
        <w:t>there will be a shortage of</w:t>
      </w:r>
      <w:r w:rsidRPr="00DD2D90">
        <w:rPr>
          <w:rStyle w:val="StyleUnderline"/>
        </w:rPr>
        <w:t xml:space="preserve"> ‘</w:t>
      </w:r>
      <w:r w:rsidRPr="00DD2D90">
        <w:rPr>
          <w:rStyle w:val="Emphasis"/>
          <w:highlight w:val="green"/>
        </w:rPr>
        <w:t>6.1 million’</w:t>
      </w:r>
      <w:r w:rsidRPr="00DD2D90">
        <w:rPr>
          <w:rStyle w:val="StyleUnderline"/>
          <w:highlight w:val="green"/>
        </w:rPr>
        <w:t xml:space="preserve"> health workers by 2030</w:t>
      </w:r>
      <w:r w:rsidRPr="00223414">
        <w:rPr>
          <w:sz w:val="16"/>
        </w:rPr>
        <w:t xml:space="preserve">. The consequence for the Continent is that the burden of providing quality healthcare for the masses rests on the shoulders of a handful of men and women who remain behind to serve the local population. The most popular emigration destinations are the UK followed by the US France and then Canada. It is not uncommon for </w:t>
      </w:r>
      <w:r w:rsidRPr="00DD2D90">
        <w:rPr>
          <w:rStyle w:val="StyleUnderline"/>
          <w:highlight w:val="green"/>
        </w:rPr>
        <w:t>wealthier countries</w:t>
      </w:r>
      <w:r w:rsidRPr="00DD2D90">
        <w:rPr>
          <w:rStyle w:val="StyleUnderline"/>
        </w:rPr>
        <w:t xml:space="preserve"> to </w:t>
      </w:r>
      <w:r w:rsidRPr="00DD2D90">
        <w:rPr>
          <w:rStyle w:val="StyleUnderline"/>
          <w:highlight w:val="green"/>
        </w:rPr>
        <w:t>exploit</w:t>
      </w:r>
      <w:r w:rsidRPr="00DD2D90">
        <w:rPr>
          <w:rStyle w:val="StyleUnderline"/>
        </w:rPr>
        <w:t xml:space="preserve"> the </w:t>
      </w:r>
      <w:r w:rsidRPr="00DD2D90">
        <w:rPr>
          <w:rStyle w:val="StyleUnderline"/>
          <w:highlight w:val="green"/>
        </w:rPr>
        <w:t>desperate working conditions</w:t>
      </w:r>
      <w:r w:rsidRPr="00DD2D90">
        <w:rPr>
          <w:rStyle w:val="StyleUnderline"/>
        </w:rPr>
        <w:t xml:space="preserve"> faced by health workers on the African Continent, </w:t>
      </w:r>
      <w:r w:rsidRPr="00DD2D90">
        <w:rPr>
          <w:rStyle w:val="StyleUnderline"/>
          <w:highlight w:val="green"/>
        </w:rPr>
        <w:t>to</w:t>
      </w:r>
      <w:r w:rsidRPr="00DD2D90">
        <w:rPr>
          <w:rStyle w:val="StyleUnderline"/>
        </w:rPr>
        <w:t xml:space="preserve"> recruit them </w:t>
      </w:r>
      <w:r w:rsidRPr="00DD2D90">
        <w:rPr>
          <w:rStyle w:val="StyleUnderline"/>
          <w:highlight w:val="green"/>
        </w:rPr>
        <w:t>to beef up</w:t>
      </w:r>
      <w:r w:rsidRPr="00DD2D90">
        <w:rPr>
          <w:rStyle w:val="StyleUnderline"/>
        </w:rPr>
        <w:t xml:space="preserve"> the </w:t>
      </w:r>
      <w:r w:rsidRPr="00DD2D90">
        <w:rPr>
          <w:rStyle w:val="StyleUnderline"/>
          <w:highlight w:val="green"/>
        </w:rPr>
        <w:t>gaps</w:t>
      </w:r>
      <w:r w:rsidRPr="00DD2D90">
        <w:rPr>
          <w:rStyle w:val="StyleUnderline"/>
        </w:rPr>
        <w:t xml:space="preserve"> in their own health workforce</w:t>
      </w:r>
      <w:r w:rsidRPr="00223414">
        <w:rPr>
          <w:sz w:val="16"/>
        </w:rPr>
        <w:t xml:space="preserve">. Some might say </w:t>
      </w:r>
      <w:r w:rsidRPr="00DD2D90">
        <w:rPr>
          <w:rStyle w:val="StyleUnderline"/>
          <w:highlight w:val="green"/>
        </w:rPr>
        <w:t>this is</w:t>
      </w:r>
      <w:r w:rsidRPr="00DD2D90">
        <w:rPr>
          <w:rStyle w:val="StyleUnderline"/>
        </w:rPr>
        <w:t xml:space="preserve"> another example of </w:t>
      </w:r>
      <w:r w:rsidRPr="00DD2D90">
        <w:rPr>
          <w:rStyle w:val="Emphasis"/>
          <w:highlight w:val="green"/>
        </w:rPr>
        <w:t xml:space="preserve">colonial </w:t>
      </w:r>
      <w:r w:rsidRPr="00DD2D90">
        <w:rPr>
          <w:rStyle w:val="Emphasis"/>
        </w:rPr>
        <w:t>plunder</w:t>
      </w:r>
      <w:r w:rsidRPr="00223414">
        <w:rPr>
          <w:sz w:val="16"/>
        </w:rPr>
        <w:t xml:space="preserve"> </w:t>
      </w:r>
      <w:r w:rsidRPr="00DD2D90">
        <w:rPr>
          <w:rStyle w:val="StyleUnderline"/>
        </w:rPr>
        <w:t xml:space="preserve">because Western Capitalists are </w:t>
      </w:r>
      <w:r w:rsidRPr="00DD2D90">
        <w:rPr>
          <w:rStyle w:val="StyleUnderline"/>
          <w:highlight w:val="green"/>
        </w:rPr>
        <w:t>looting human capital</w:t>
      </w:r>
      <w:r w:rsidRPr="00DD2D90">
        <w:rPr>
          <w:rStyle w:val="StyleUnderline"/>
        </w:rPr>
        <w:t xml:space="preserve"> </w:t>
      </w:r>
      <w:r w:rsidRPr="00DD2D90">
        <w:rPr>
          <w:rStyle w:val="StyleUnderline"/>
          <w:highlight w:val="green"/>
        </w:rPr>
        <w:t>from formerly colonised regions</w:t>
      </w:r>
      <w:r w:rsidRPr="00DD2D90">
        <w:rPr>
          <w:rStyle w:val="StyleUnderline"/>
        </w:rPr>
        <w:t>, to benefit themselves</w:t>
      </w:r>
      <w:r w:rsidRPr="00223414">
        <w:rPr>
          <w:sz w:val="16"/>
        </w:rPr>
        <w:t xml:space="preserve">. South Africa is no exception. The working conditions in public healthcare institutions are shocking to say the least. </w:t>
      </w:r>
      <w:r w:rsidRPr="00DD2D90">
        <w:rPr>
          <w:rStyle w:val="StyleUnderline"/>
        </w:rPr>
        <w:t>The average gross package of a registered nurse in South Africa is</w:t>
      </w:r>
      <w:r w:rsidRPr="00223414">
        <w:rPr>
          <w:sz w:val="16"/>
        </w:rPr>
        <w:t xml:space="preserve"> less than R25,000 </w:t>
      </w:r>
      <w:r w:rsidRPr="00DD2D90">
        <w:rPr>
          <w:rStyle w:val="StyleUnderline"/>
        </w:rPr>
        <w:t>per month</w:t>
      </w:r>
      <w:r w:rsidRPr="00223414">
        <w:rPr>
          <w:sz w:val="16"/>
        </w:rPr>
        <w:t xml:space="preserve">, (approximately </w:t>
      </w:r>
      <w:r w:rsidRPr="00DD2D90">
        <w:rPr>
          <w:rStyle w:val="StyleUnderline"/>
        </w:rPr>
        <w:t>US$1,334.59</w:t>
      </w:r>
      <w:r w:rsidRPr="00223414">
        <w:rPr>
          <w:sz w:val="16"/>
        </w:rPr>
        <w:t xml:space="preserve">). For those who are employed through labour brokers or temporary contracts, it is even less. </w:t>
      </w:r>
      <w:r w:rsidRPr="00DD2D90">
        <w:rPr>
          <w:rStyle w:val="StyleUnderline"/>
        </w:rPr>
        <w:t>Healthcare workers</w:t>
      </w:r>
      <w:r w:rsidRPr="00223414">
        <w:rPr>
          <w:sz w:val="16"/>
        </w:rPr>
        <w:t xml:space="preserve"> who are exploited through labour </w:t>
      </w:r>
      <w:r w:rsidRPr="00DD2D90">
        <w:rPr>
          <w:rStyle w:val="StyleUnderline"/>
        </w:rPr>
        <w:t>brokers are unable to afford housing, vehicle financing and other credit facilities</w:t>
      </w:r>
      <w:r w:rsidRPr="00223414">
        <w:rPr>
          <w:sz w:val="16"/>
        </w:rPr>
        <w:t xml:space="preserve">. Workers are also extremely demoralised because </w:t>
      </w:r>
      <w:r w:rsidRPr="00DD2D90">
        <w:rPr>
          <w:rStyle w:val="StyleUnderline"/>
        </w:rPr>
        <w:t>they work in buildings which are old and falling apart</w:t>
      </w:r>
      <w:r w:rsidRPr="00223414">
        <w:rPr>
          <w:sz w:val="16"/>
        </w:rPr>
        <w:t xml:space="preserve">. </w:t>
      </w:r>
      <w:r w:rsidRPr="00DD2D90">
        <w:rPr>
          <w:rStyle w:val="StyleUnderline"/>
        </w:rPr>
        <w:t>They are forced to work overtime a lot because of severe staff shortages</w:t>
      </w:r>
      <w:r w:rsidRPr="00223414">
        <w:rPr>
          <w:sz w:val="16"/>
        </w:rPr>
        <w:t xml:space="preserve">. </w:t>
      </w:r>
      <w:r w:rsidRPr="00DD2D90">
        <w:rPr>
          <w:rStyle w:val="StyleUnderline"/>
        </w:rPr>
        <w:t>They</w:t>
      </w:r>
      <w:r w:rsidRPr="00223414">
        <w:rPr>
          <w:sz w:val="16"/>
        </w:rPr>
        <w:t xml:space="preserve"> often must </w:t>
      </w:r>
      <w:r w:rsidRPr="00DD2D90">
        <w:rPr>
          <w:rStyle w:val="StyleUnderline"/>
        </w:rPr>
        <w:t>endure verbal abuse from frustrated members of the community who must wait extremely long hours to get treatment</w:t>
      </w:r>
      <w:r w:rsidRPr="00223414">
        <w:rPr>
          <w:sz w:val="16"/>
        </w:rPr>
        <w:t xml:space="preserve">. Therefore, it is unsurprising that every year, thousands of healthcare workers leave our shores to chase better opportunities. However, in addressing this crisis, it is important to understand where the problem starts. </w:t>
      </w:r>
      <w:r w:rsidRPr="00DD2D90">
        <w:rPr>
          <w:rStyle w:val="StyleUnderline"/>
          <w:highlight w:val="green"/>
        </w:rPr>
        <w:t xml:space="preserve">At the </w:t>
      </w:r>
      <w:r w:rsidRPr="00DD2D90">
        <w:rPr>
          <w:rStyle w:val="Emphasis"/>
          <w:highlight w:val="green"/>
        </w:rPr>
        <w:t>centre</w:t>
      </w:r>
      <w:r w:rsidRPr="00DD2D90">
        <w:rPr>
          <w:rStyle w:val="StyleUnderline"/>
        </w:rPr>
        <w:t xml:space="preserve"> of the healthcare crisis</w:t>
      </w:r>
      <w:r w:rsidRPr="00223414">
        <w:rPr>
          <w:sz w:val="16"/>
        </w:rPr>
        <w:t xml:space="preserve"> in South Africa </w:t>
      </w:r>
      <w:r w:rsidRPr="00DD2D90">
        <w:rPr>
          <w:rStyle w:val="StyleUnderline"/>
          <w:highlight w:val="green"/>
        </w:rPr>
        <w:t>is</w:t>
      </w:r>
      <w:r w:rsidRPr="00223414">
        <w:rPr>
          <w:sz w:val="16"/>
        </w:rPr>
        <w:t xml:space="preserve"> the full-scale implementation of </w:t>
      </w:r>
      <w:r w:rsidRPr="00DD2D90">
        <w:rPr>
          <w:rStyle w:val="StyleUnderline"/>
        </w:rPr>
        <w:t>neoliberal</w:t>
      </w:r>
      <w:r w:rsidRPr="00223414">
        <w:rPr>
          <w:sz w:val="16"/>
        </w:rPr>
        <w:t xml:space="preserve"> economic policies and more recently, the implementation of austerity measures. Neoliberalism is characterised by policies such as </w:t>
      </w:r>
      <w:r w:rsidRPr="00DD2D90">
        <w:rPr>
          <w:rStyle w:val="StyleUnderline"/>
          <w:highlight w:val="green"/>
        </w:rPr>
        <w:t>privatisation</w:t>
      </w:r>
      <w:r w:rsidRPr="00223414">
        <w:rPr>
          <w:sz w:val="16"/>
        </w:rPr>
        <w:t xml:space="preserve">, de-regulation, free trade, </w:t>
      </w:r>
      <w:r w:rsidRPr="00DD2D90">
        <w:rPr>
          <w:rStyle w:val="StyleUnderline"/>
          <w:highlight w:val="green"/>
        </w:rPr>
        <w:t>and</w:t>
      </w:r>
      <w:r w:rsidRPr="00223414">
        <w:rPr>
          <w:sz w:val="16"/>
        </w:rPr>
        <w:t xml:space="preserve"> most importantly, </w:t>
      </w:r>
      <w:r w:rsidRPr="00DD2D90">
        <w:rPr>
          <w:rStyle w:val="StyleUnderline"/>
          <w:highlight w:val="green"/>
        </w:rPr>
        <w:t>austerity</w:t>
      </w:r>
      <w:r w:rsidRPr="00223414">
        <w:rPr>
          <w:sz w:val="16"/>
        </w:rPr>
        <w:t xml:space="preserve"> policies through reducing government budget deficits either through spending cuts or tax increases. In some cases, it is a combination of both. Either way, when these policies are applied, the impact on the healthcare system is devastating. The implementation of neoliberalism and austerity measures has had a significant impact on South Africa’s healthcare system. </w:t>
      </w:r>
      <w:r w:rsidRPr="00DD2D90">
        <w:rPr>
          <w:rStyle w:val="StyleUnderline"/>
        </w:rPr>
        <w:t xml:space="preserve">These policies have led to budget cuts resulting in a lack of resources, inadequate infrastructure, and poor working conditions, and therefore </w:t>
      </w:r>
      <w:r w:rsidRPr="00DD2D90">
        <w:rPr>
          <w:rStyle w:val="StyleUnderline"/>
          <w:highlight w:val="green"/>
        </w:rPr>
        <w:t xml:space="preserve">the public healthcare sector is </w:t>
      </w:r>
      <w:r w:rsidRPr="00DD2D90">
        <w:rPr>
          <w:rStyle w:val="Emphasis"/>
          <w:highlight w:val="green"/>
        </w:rPr>
        <w:t>suffocating</w:t>
      </w:r>
      <w:r w:rsidRPr="00DD2D90">
        <w:rPr>
          <w:rStyle w:val="StyleUnderline"/>
          <w:highlight w:val="green"/>
        </w:rPr>
        <w:t xml:space="preserve"> because of a lack of resources</w:t>
      </w:r>
      <w:r w:rsidRPr="00223414">
        <w:rPr>
          <w:sz w:val="16"/>
        </w:rPr>
        <w:t xml:space="preserve">. The </w:t>
      </w:r>
      <w:r w:rsidRPr="00DD2D90">
        <w:rPr>
          <w:rStyle w:val="StyleUnderline"/>
          <w:highlight w:val="green"/>
        </w:rPr>
        <w:t>privatisation</w:t>
      </w:r>
      <w:r w:rsidRPr="00223414">
        <w:rPr>
          <w:sz w:val="16"/>
        </w:rPr>
        <w:t xml:space="preserve"> of healthcare has </w:t>
      </w:r>
      <w:r w:rsidRPr="00DD2D90">
        <w:rPr>
          <w:rStyle w:val="StyleUnderline"/>
          <w:highlight w:val="green"/>
        </w:rPr>
        <w:t>led to the</w:t>
      </w:r>
      <w:r w:rsidRPr="00DD2D90">
        <w:rPr>
          <w:rStyle w:val="StyleUnderline"/>
        </w:rPr>
        <w:t xml:space="preserve"> creation of a </w:t>
      </w:r>
      <w:r w:rsidRPr="00DD2D90">
        <w:rPr>
          <w:rStyle w:val="StyleUnderline"/>
          <w:highlight w:val="green"/>
        </w:rPr>
        <w:t>two-tier</w:t>
      </w:r>
      <w:r w:rsidRPr="00DD2D90">
        <w:rPr>
          <w:rStyle w:val="StyleUnderline"/>
        </w:rPr>
        <w:t xml:space="preserve"> healthcare </w:t>
      </w:r>
      <w:r w:rsidRPr="00DD2D90">
        <w:rPr>
          <w:rStyle w:val="StyleUnderline"/>
          <w:highlight w:val="green"/>
        </w:rPr>
        <w:t>system</w:t>
      </w:r>
      <w:r w:rsidRPr="00DD2D90">
        <w:rPr>
          <w:rStyle w:val="StyleUnderline"/>
        </w:rPr>
        <w:t xml:space="preserve"> where there is an efficient, well-resourced private sector healthcare system which caters only to a tiny wealthy elite and is very expensive</w:t>
      </w:r>
      <w:r w:rsidRPr="00223414">
        <w:rPr>
          <w:sz w:val="16"/>
        </w:rPr>
        <w:t xml:space="preserve">. The </w:t>
      </w:r>
      <w:r w:rsidRPr="00DD2D90">
        <w:rPr>
          <w:rStyle w:val="StyleUnderline"/>
        </w:rPr>
        <w:t>masses</w:t>
      </w:r>
      <w:r w:rsidRPr="00223414">
        <w:rPr>
          <w:sz w:val="16"/>
        </w:rPr>
        <w:t xml:space="preserve">, meanwhile, are forced to </w:t>
      </w:r>
      <w:r w:rsidRPr="00DD2D90">
        <w:rPr>
          <w:rStyle w:val="StyleUnderline"/>
        </w:rPr>
        <w:t>depend on a crumbling healthcare system, which is under-resourced and understaffed</w:t>
      </w:r>
      <w:r w:rsidRPr="00223414">
        <w:rPr>
          <w:sz w:val="16"/>
        </w:rPr>
        <w:t xml:space="preserve"> and is unable to adequately take care of the health needs of the majority of the people. National Treasury has implemented budget cuts that have resulted in a grossly underfunded health sector for many years. The freezing of posts and the inability of the Health Department to fill vacant posts means we have vacancy rates as high as 20 percent in some cases. South Africa has a critical shortage of doctors, with less than one doctor to treat 1,000 patients. The Global Economy reported in 2020 that the average ratio of nurses to patients in South Africa was 1.03 nurses per 1,000 people. In comparison, the world average for nurse-to-patient ratio is “8.71 nurses per 1,000 people”. The non-filling of critical posts leads to dangerously long hours, which means there is a higher likelihood of negligence, thus leading to increased lawsuits and negligence claims against the Department of Health. It also means poor service because the current staff is collapsing under extremely high patient loads. This is exacerbated by frequent power cuts and load shedding which makes the difficult job of saving lives almost impossible. The link between the brain drain and the implementation of neoliberalism and austerity measures in South Africa’s healthcare system is clear. These policies have led to a deterioration of the healthcare system, prompting many healthcare professionals to emigrate, thus exacerbating the healthcare crisis even further. To reinforce the health system, it is critical to address the persistent shortages and poor distribution of the health workforce. South Africa must significantly increase investments in building the health workforce to meet its current and future needs. Strong measures are also needed to boost training and the recruitment of health workers as well as to improve their deployment and measures must be implemented to retain these skills. These measures must include increasing spending for the healthcare sector and an end to austerity. Any attempt to improve service delivery without increasing spending is futile. Such a plan is bound to fail because it is based on the naïve idea that quality service is possible in the absence of resources. It is comparable to buying a car but refusing to pay for petrol to save costs – but somehow, the car must still move. It is an absurd idea which is not rooted in reality. Healthcare is a necessity, not a luxury. The right to healthcare is enshrined in the South African constitution. There is a lot of research that links total health expenditure, public health expenditure, and private health expenditure to positive economic growth. From an economic perspective, being healthy is not only a matter of not having any disease but also having the potential to do productive activities. Workers with better health will be able to perform at a higher level and are less likely to be absent. Healthy individuals also indirectly impact economic growth by raising healthy families which may subsequently create healthier future generations. Besides physical health, mental health is an important part of human well-being as an improvement in individual’s mental state can give an increase in social and economic participation, engagement and connectedness, and work productivity. A healthy population is able to acquire more education and skills. This translates into economic growth directly by increasing labour productivity and decreasing the costs of illnesses. Therefore, the increase in public health expenditures is positively related to economic performance. Spending on health should be seen as investing in the overall positive development of society. The spinoffs are that there are economic benefits because a health society is a society that can contribute meaningfully to economic growth. So now that we have established that </w:t>
      </w:r>
      <w:r w:rsidRPr="00DD2D90">
        <w:rPr>
          <w:rStyle w:val="StyleUnderline"/>
        </w:rPr>
        <w:t>spending on healthcare is a no-brainer</w:t>
      </w:r>
      <w:r w:rsidRPr="00223414">
        <w:rPr>
          <w:sz w:val="16"/>
        </w:rPr>
        <w:t xml:space="preserve"> and we should do it, why is it that our government is refusing to act accordingly? One of the biggest challenges we face is that we must accept that </w:t>
      </w:r>
      <w:r w:rsidRPr="00DD2D90">
        <w:rPr>
          <w:rStyle w:val="StyleUnderline"/>
          <w:highlight w:val="green"/>
        </w:rPr>
        <w:t>South Africa is not a sovereign nation</w:t>
      </w:r>
      <w:r w:rsidRPr="00223414">
        <w:rPr>
          <w:sz w:val="16"/>
        </w:rPr>
        <w:t xml:space="preserve">. </w:t>
      </w:r>
      <w:r w:rsidRPr="00DD2D90">
        <w:rPr>
          <w:rStyle w:val="StyleUnderline"/>
          <w:highlight w:val="green"/>
        </w:rPr>
        <w:t>The governing party is owned</w:t>
      </w:r>
      <w:r w:rsidRPr="00223414">
        <w:rPr>
          <w:sz w:val="16"/>
        </w:rPr>
        <w:t xml:space="preserve"> and controlled </w:t>
      </w:r>
      <w:r w:rsidRPr="00DD2D90">
        <w:rPr>
          <w:rStyle w:val="StyleUnderline"/>
          <w:highlight w:val="green"/>
        </w:rPr>
        <w:t>by</w:t>
      </w:r>
      <w:r w:rsidRPr="00223414">
        <w:rPr>
          <w:sz w:val="16"/>
        </w:rPr>
        <w:t xml:space="preserve"> the banks and </w:t>
      </w:r>
      <w:r w:rsidRPr="00DD2D90">
        <w:rPr>
          <w:rStyle w:val="StyleUnderline"/>
          <w:highlight w:val="green"/>
        </w:rPr>
        <w:t>i</w:t>
      </w:r>
      <w:r w:rsidRPr="00DD2D90">
        <w:rPr>
          <w:rStyle w:val="StyleUnderline"/>
        </w:rPr>
        <w:t xml:space="preserve">nternational </w:t>
      </w:r>
      <w:r w:rsidRPr="00DD2D90">
        <w:rPr>
          <w:rStyle w:val="StyleUnderline"/>
          <w:highlight w:val="green"/>
        </w:rPr>
        <w:t>f</w:t>
      </w:r>
      <w:r w:rsidRPr="00DD2D90">
        <w:rPr>
          <w:rStyle w:val="StyleUnderline"/>
        </w:rPr>
        <w:t xml:space="preserve">inance </w:t>
      </w:r>
      <w:r w:rsidRPr="00DD2D90">
        <w:rPr>
          <w:rStyle w:val="StyleUnderline"/>
          <w:highlight w:val="green"/>
        </w:rPr>
        <w:t>i</w:t>
      </w:r>
      <w:r w:rsidRPr="00DD2D90">
        <w:rPr>
          <w:rStyle w:val="StyleUnderline"/>
        </w:rPr>
        <w:t>nstitutions</w:t>
      </w:r>
      <w:r w:rsidRPr="00223414">
        <w:rPr>
          <w:sz w:val="16"/>
        </w:rPr>
        <w:t xml:space="preserve"> who are </w:t>
      </w:r>
      <w:r w:rsidRPr="00DD2D90">
        <w:rPr>
          <w:rStyle w:val="StyleUnderline"/>
          <w:highlight w:val="green"/>
        </w:rPr>
        <w:t>dictating economic policy</w:t>
      </w:r>
      <w:r w:rsidRPr="00223414">
        <w:rPr>
          <w:sz w:val="16"/>
        </w:rPr>
        <w:t xml:space="preserve">. The same </w:t>
      </w:r>
      <w:r w:rsidRPr="00DD2D90">
        <w:rPr>
          <w:rStyle w:val="StyleUnderline"/>
          <w:highlight w:val="green"/>
        </w:rPr>
        <w:t>countries</w:t>
      </w:r>
      <w:r w:rsidRPr="00223414">
        <w:rPr>
          <w:sz w:val="16"/>
        </w:rPr>
        <w:t xml:space="preserve"> that are </w:t>
      </w:r>
      <w:r w:rsidRPr="00DD2D90">
        <w:rPr>
          <w:rStyle w:val="StyleUnderline"/>
          <w:highlight w:val="green"/>
        </w:rPr>
        <w:t>looting us for our human capital are offering us loans which have conditions that place restrictions on the state on how to prioritise public spending</w:t>
      </w:r>
      <w:r w:rsidRPr="00223414">
        <w:rPr>
          <w:sz w:val="16"/>
        </w:rPr>
        <w:t>. A report published by the National Library of Medicine in June 2019 found that, “</w:t>
      </w:r>
      <w:r w:rsidRPr="00DD2D90">
        <w:rPr>
          <w:rStyle w:val="StyleUnderline"/>
          <w:highlight w:val="green"/>
        </w:rPr>
        <w:t>The</w:t>
      </w:r>
      <w:r w:rsidRPr="00DD2D90">
        <w:rPr>
          <w:rStyle w:val="StyleUnderline"/>
        </w:rPr>
        <w:t xml:space="preserve"> privatisation and </w:t>
      </w:r>
      <w:r w:rsidRPr="00DD2D90">
        <w:rPr>
          <w:rStyle w:val="StyleUnderline"/>
          <w:highlight w:val="green"/>
        </w:rPr>
        <w:t>buying out of African hospitals by foreign companies</w:t>
      </w:r>
      <w:r w:rsidRPr="00DD2D90">
        <w:rPr>
          <w:rStyle w:val="StyleUnderline"/>
        </w:rPr>
        <w:t xml:space="preserve"> in an attempt </w:t>
      </w:r>
      <w:r w:rsidRPr="00DD2D90">
        <w:rPr>
          <w:rStyle w:val="StyleUnderline"/>
          <w:highlight w:val="green"/>
        </w:rPr>
        <w:t>to</w:t>
      </w:r>
      <w:r w:rsidRPr="00DD2D90">
        <w:rPr>
          <w:rStyle w:val="StyleUnderline"/>
        </w:rPr>
        <w:t xml:space="preserve"> ‘help and </w:t>
      </w:r>
      <w:r w:rsidRPr="00DD2D90">
        <w:rPr>
          <w:rStyle w:val="StyleUnderline"/>
          <w:highlight w:val="green"/>
        </w:rPr>
        <w:t>rescue them’ is a capitalist</w:t>
      </w:r>
      <w:r w:rsidRPr="00DD2D90">
        <w:rPr>
          <w:rStyle w:val="StyleUnderline"/>
        </w:rPr>
        <w:t xml:space="preserve"> response that undercuts universal healthcare for Africans by appropriating the language of care and inclusion</w:t>
      </w:r>
      <w:r w:rsidRPr="00223414">
        <w:rPr>
          <w:sz w:val="16"/>
        </w:rPr>
        <w:t xml:space="preserve">. In reality, </w:t>
      </w:r>
      <w:r w:rsidRPr="00DD2D90">
        <w:rPr>
          <w:rStyle w:val="StyleUnderline"/>
        </w:rPr>
        <w:t>this</w:t>
      </w:r>
      <w:r w:rsidRPr="00223414">
        <w:rPr>
          <w:sz w:val="16"/>
        </w:rPr>
        <w:t xml:space="preserve"> ‘</w:t>
      </w:r>
      <w:r w:rsidRPr="00DD2D90">
        <w:rPr>
          <w:rStyle w:val="Emphasis"/>
          <w:highlight w:val="green"/>
        </w:rPr>
        <w:t>white saviour</w:t>
      </w:r>
      <w:r w:rsidRPr="00223414">
        <w:rPr>
          <w:sz w:val="16"/>
          <w:highlight w:val="green"/>
        </w:rPr>
        <w:t xml:space="preserve"> </w:t>
      </w:r>
      <w:r w:rsidRPr="00DD2D90">
        <w:rPr>
          <w:rStyle w:val="StyleUnderline"/>
          <w:highlight w:val="green"/>
        </w:rPr>
        <w:t>approach’</w:t>
      </w:r>
      <w:r w:rsidRPr="00DD2D90">
        <w:rPr>
          <w:rStyle w:val="StyleUnderline"/>
        </w:rPr>
        <w:t xml:space="preserve"> is </w:t>
      </w:r>
      <w:r w:rsidRPr="00DD2D90">
        <w:rPr>
          <w:rStyle w:val="StyleUnderline"/>
          <w:highlight w:val="green"/>
        </w:rPr>
        <w:t>layered with</w:t>
      </w:r>
      <w:r w:rsidRPr="00DD2D90">
        <w:rPr>
          <w:rStyle w:val="StyleUnderline"/>
        </w:rPr>
        <w:t xml:space="preserve"> nothing but racism, </w:t>
      </w:r>
      <w:r w:rsidRPr="00DD2D90">
        <w:rPr>
          <w:rStyle w:val="Emphasis"/>
        </w:rPr>
        <w:t>disempowerment</w:t>
      </w:r>
      <w:r w:rsidRPr="00DD2D90">
        <w:rPr>
          <w:rStyle w:val="StyleUnderline"/>
        </w:rPr>
        <w:t xml:space="preserve">, </w:t>
      </w:r>
      <w:r w:rsidRPr="00DD2D90">
        <w:rPr>
          <w:rStyle w:val="Emphasis"/>
          <w:highlight w:val="green"/>
        </w:rPr>
        <w:t>exploitation</w:t>
      </w:r>
      <w:r w:rsidRPr="00DD2D90">
        <w:rPr>
          <w:rStyle w:val="StyleUnderline"/>
        </w:rPr>
        <w:t xml:space="preserve"> of people</w:t>
      </w:r>
      <w:r w:rsidRPr="00223414">
        <w:rPr>
          <w:sz w:val="16"/>
        </w:rPr>
        <w:t xml:space="preserve">, </w:t>
      </w:r>
      <w:r w:rsidRPr="00DD2D90">
        <w:rPr>
          <w:rStyle w:val="StyleUnderline"/>
        </w:rPr>
        <w:t>and exclusion</w:t>
      </w:r>
      <w:r w:rsidRPr="00223414">
        <w:rPr>
          <w:sz w:val="16"/>
        </w:rPr>
        <w:t xml:space="preserve"> of those who cannot afford those ‘privatised’ services. “Access to health services, therefore, remains both a political as well as a human rights issue that’s closely tied to social justice (Braveman and Gruskin 2003b); but </w:t>
      </w:r>
      <w:r w:rsidRPr="00DD2D90">
        <w:rPr>
          <w:rStyle w:val="StyleUnderline"/>
        </w:rPr>
        <w:t xml:space="preserve">Africa’s colonial history, fuelled by Western greed for her resources, promotes </w:t>
      </w:r>
      <w:r w:rsidRPr="00DD2D90">
        <w:rPr>
          <w:rStyle w:val="Emphasis"/>
        </w:rPr>
        <w:t>discriminatory</w:t>
      </w:r>
      <w:r w:rsidRPr="00DD2D90">
        <w:rPr>
          <w:rStyle w:val="StyleUnderline"/>
        </w:rPr>
        <w:t xml:space="preserve"> policies that continue to impact Africans and their wellbeing</w:t>
      </w:r>
      <w:r w:rsidRPr="00223414">
        <w:rPr>
          <w:sz w:val="16"/>
        </w:rPr>
        <w:t xml:space="preserve">.” So, what this tells you is that </w:t>
      </w:r>
      <w:r w:rsidRPr="00DD2D90">
        <w:rPr>
          <w:rStyle w:val="StyleUnderline"/>
        </w:rPr>
        <w:t>the</w:t>
      </w:r>
      <w:r w:rsidRPr="00223414">
        <w:rPr>
          <w:sz w:val="16"/>
        </w:rPr>
        <w:t xml:space="preserve"> ultimate </w:t>
      </w:r>
      <w:r w:rsidRPr="00DD2D90">
        <w:rPr>
          <w:rStyle w:val="StyleUnderline"/>
        </w:rPr>
        <w:t>cure</w:t>
      </w:r>
      <w:r w:rsidRPr="00223414">
        <w:rPr>
          <w:sz w:val="16"/>
        </w:rPr>
        <w:t xml:space="preserve"> to the disease which has paralysed our healthcare system </w:t>
      </w:r>
      <w:r w:rsidRPr="00DD2D90">
        <w:rPr>
          <w:rStyle w:val="StyleUnderline"/>
        </w:rPr>
        <w:t>is for the state</w:t>
      </w:r>
      <w:r w:rsidRPr="00223414">
        <w:rPr>
          <w:sz w:val="16"/>
        </w:rPr>
        <w:t xml:space="preserve"> to have the courage to act in the interests of the majority of people, and </w:t>
      </w:r>
      <w:r w:rsidRPr="00DD2D90">
        <w:rPr>
          <w:rStyle w:val="StyleUnderline"/>
        </w:rPr>
        <w:t xml:space="preserve">to </w:t>
      </w:r>
      <w:r w:rsidRPr="00DD2D90">
        <w:rPr>
          <w:rStyle w:val="StyleUnderline"/>
          <w:highlight w:val="green"/>
        </w:rPr>
        <w:t>stop implementing policies that benefit the banks and the private</w:t>
      </w:r>
      <w:r w:rsidRPr="00DD2D90">
        <w:rPr>
          <w:rStyle w:val="StyleUnderline"/>
        </w:rPr>
        <w:t xml:space="preserve"> </w:t>
      </w:r>
      <w:r w:rsidRPr="00DD2D90">
        <w:rPr>
          <w:rStyle w:val="StyleUnderline"/>
          <w:highlight w:val="green"/>
        </w:rPr>
        <w:t>sector</w:t>
      </w:r>
      <w:r w:rsidRPr="00223414">
        <w:rPr>
          <w:sz w:val="16"/>
        </w:rPr>
        <w:t xml:space="preserve">. At the same time, </w:t>
      </w:r>
      <w:r w:rsidRPr="00DD2D90">
        <w:rPr>
          <w:rStyle w:val="StyleUnderline"/>
          <w:highlight w:val="green"/>
        </w:rPr>
        <w:t>we must abolish private healthcare</w:t>
      </w:r>
      <w:r w:rsidRPr="00DD2D90">
        <w:rPr>
          <w:rStyle w:val="StyleUnderline"/>
        </w:rPr>
        <w:t xml:space="preserve"> and fast track the implementation of the National Health Insurance</w:t>
      </w:r>
      <w:r w:rsidRPr="00223414">
        <w:rPr>
          <w:sz w:val="16"/>
        </w:rPr>
        <w:t xml:space="preserve">. </w:t>
      </w:r>
      <w:r w:rsidRPr="00DD2D90">
        <w:rPr>
          <w:rStyle w:val="StyleUnderline"/>
        </w:rPr>
        <w:t xml:space="preserve">The </w:t>
      </w:r>
      <w:r w:rsidRPr="00DD2D90">
        <w:rPr>
          <w:rStyle w:val="StyleUnderline"/>
          <w:highlight w:val="green"/>
        </w:rPr>
        <w:t xml:space="preserve">NHI will deal with gross shortage of staff, </w:t>
      </w:r>
      <w:r w:rsidRPr="00DD2D90">
        <w:rPr>
          <w:rStyle w:val="StyleUnderline"/>
        </w:rPr>
        <w:t xml:space="preserve">gross shortage of </w:t>
      </w:r>
      <w:r w:rsidRPr="00DD2D90">
        <w:rPr>
          <w:rStyle w:val="StyleUnderline"/>
          <w:highlight w:val="green"/>
        </w:rPr>
        <w:t>medicine</w:t>
      </w:r>
      <w:r w:rsidRPr="00223414">
        <w:rPr>
          <w:sz w:val="16"/>
          <w:highlight w:val="green"/>
        </w:rPr>
        <w:t xml:space="preserve"> </w:t>
      </w:r>
      <w:r w:rsidRPr="00DD2D90">
        <w:rPr>
          <w:rStyle w:val="StyleUnderline"/>
          <w:highlight w:val="green"/>
        </w:rPr>
        <w:t>and</w:t>
      </w:r>
      <w:r w:rsidRPr="00223414">
        <w:rPr>
          <w:sz w:val="16"/>
        </w:rPr>
        <w:t xml:space="preserve"> it will mean that our </w:t>
      </w:r>
      <w:r w:rsidRPr="00DD2D90">
        <w:rPr>
          <w:rStyle w:val="StyleUnderline"/>
        </w:rPr>
        <w:t xml:space="preserve">healthcare </w:t>
      </w:r>
      <w:r w:rsidRPr="00DD2D90">
        <w:rPr>
          <w:rStyle w:val="StyleUnderline"/>
          <w:highlight w:val="green"/>
        </w:rPr>
        <w:t>facilities</w:t>
      </w:r>
      <w:r w:rsidRPr="00223414">
        <w:rPr>
          <w:sz w:val="16"/>
        </w:rPr>
        <w:t xml:space="preserve"> </w:t>
      </w:r>
      <w:r w:rsidRPr="00DD2D90">
        <w:rPr>
          <w:rStyle w:val="StyleUnderline"/>
        </w:rPr>
        <w:t>and</w:t>
      </w:r>
      <w:r w:rsidRPr="00223414">
        <w:rPr>
          <w:sz w:val="16"/>
        </w:rPr>
        <w:t xml:space="preserve"> the </w:t>
      </w:r>
      <w:r w:rsidRPr="00DD2D90">
        <w:rPr>
          <w:rStyle w:val="StyleUnderline"/>
          <w:highlight w:val="green"/>
        </w:rPr>
        <w:t>standards will drastically improve</w:t>
      </w:r>
      <w:r w:rsidRPr="00223414">
        <w:rPr>
          <w:sz w:val="16"/>
        </w:rPr>
        <w:t>. This is a call which the Health and Allied workers Indaba Trade Union (HAITU) has consistently made. We must abolish the private healthcare system that promotes inequality. One system for all means that all our resources will be channelled to benefit every citizen equally and ensure that no one is left behind.</w:t>
      </w:r>
    </w:p>
    <w:p w14:paraId="767C9D3B" w14:textId="77777777" w:rsidR="00FA1D49" w:rsidRPr="00223414" w:rsidRDefault="00FA1D49">
      <w:pPr>
        <w:rPr>
          <w:rFonts w:eastAsiaTheme="majorEastAsia" w:cstheme="majorBidi"/>
          <w:b/>
          <w:iCs/>
          <w:sz w:val="16"/>
        </w:rPr>
      </w:pPr>
      <w:r w:rsidRPr="00223414">
        <w:rPr>
          <w:sz w:val="16"/>
        </w:rPr>
        <w:br w:type="page"/>
      </w:r>
    </w:p>
    <w:p w14:paraId="71954284" w14:textId="569A3F56" w:rsidR="00D522F3" w:rsidRPr="00223414" w:rsidRDefault="00D522F3" w:rsidP="00D522F3">
      <w:pPr>
        <w:pStyle w:val="Heading4"/>
        <w:rPr>
          <w:szCs w:val="26"/>
        </w:rPr>
      </w:pPr>
      <w:r w:rsidRPr="00223414">
        <w:rPr>
          <w:szCs w:val="26"/>
        </w:rPr>
        <w:t>Markets entrench health poverty in the Global South</w:t>
      </w:r>
      <w:r w:rsidR="00CA152B" w:rsidRPr="00223414">
        <w:rPr>
          <w:szCs w:val="26"/>
        </w:rPr>
        <w:t xml:space="preserve"> – too poor, vertical philanthropy, and IP monopolies</w:t>
      </w:r>
    </w:p>
    <w:p w14:paraId="0625A7C9" w14:textId="28D6DC0A" w:rsidR="00D522F3" w:rsidRPr="00DD2D90" w:rsidRDefault="00D522F3" w:rsidP="00D522F3">
      <w:r w:rsidRPr="00223414">
        <w:rPr>
          <w:b/>
          <w:bCs/>
          <w:sz w:val="26"/>
          <w:szCs w:val="26"/>
        </w:rPr>
        <w:t>Sell and Williams 20</w:t>
      </w:r>
      <w:r w:rsidRPr="00DD2D90">
        <w:t xml:space="preserve"> [Susan K. Sell, </w:t>
      </w:r>
      <w:r w:rsidR="00C52CA4" w:rsidRPr="00DD2D90">
        <w:t xml:space="preserve">researcher at the School of Regulation and Global Governance at The Australian National University, </w:t>
      </w:r>
      <w:r w:rsidRPr="00DD2D90">
        <w:t xml:space="preserve">and Owain D. Williams, </w:t>
      </w:r>
      <w:r w:rsidR="00C52CA4" w:rsidRPr="00DD2D90">
        <w:t xml:space="preserve">researcher at the University of Leeds, </w:t>
      </w:r>
      <w:r w:rsidRPr="00DD2D90">
        <w:t>2020, "Health under capitalism: a global political economy of structural pathogenesis a global political economy of structural pathogenesis on JSTOR", Review of International Political Economy, https://www.jstor.org/stable/26902127?seq=1]/Kankee</w:t>
      </w:r>
    </w:p>
    <w:p w14:paraId="6DA277CC" w14:textId="77777777" w:rsidR="00D522F3" w:rsidRPr="00223414" w:rsidRDefault="00D522F3" w:rsidP="00D522F3">
      <w:pPr>
        <w:rPr>
          <w:sz w:val="16"/>
        </w:rPr>
      </w:pPr>
      <w:r w:rsidRPr="00223414">
        <w:rPr>
          <w:sz w:val="16"/>
        </w:rPr>
        <w:t xml:space="preserve">At times policymakers have publicly intervened to reverse the causal arrow from economic growth to health by prioritizing health investments in infectious disease, sanitation and services to give populations in developing countries a foot up on the ladder of development. The recent Lancet-University of Oslo Commission on Global Governance for Health sharply criticized the ‘growth for better health’ mantras, inverting the relation with powerful economic rationales for the better health for growth and development approach (Ottersen, Frenk, &amp; Horton, 2011; World Health Organization, 2002). Yet deeply embedded beliefs in the primacy of eco- nomic growth over health and development persist and gain even more purchase in times of economic crises, as we have witnessed in many national health systems since 2008. Despite this faith in growth and markets, increasingly the multiple interactions between the market and health exemplify market failure (Williams, 2012). The market fails to deliver access to basic necessities such as medicines, clean water and essential services, where populations are underserved by the private sector and gov- ernments. </w:t>
      </w:r>
      <w:r w:rsidRPr="00DD2D90">
        <w:rPr>
          <w:rStyle w:val="StyleUnderline"/>
        </w:rPr>
        <w:t xml:space="preserve">Water- and soil-borne and </w:t>
      </w:r>
      <w:r w:rsidRPr="00DD2D90">
        <w:rPr>
          <w:rStyle w:val="StyleUnderline"/>
          <w:highlight w:val="green"/>
        </w:rPr>
        <w:t>tropical diseases fail to attract pharma</w:t>
      </w:r>
      <w:r w:rsidRPr="00DD2D90">
        <w:rPr>
          <w:rStyle w:val="StyleUnderline"/>
        </w:rPr>
        <w:t xml:space="preserve">ceutical </w:t>
      </w:r>
      <w:r w:rsidRPr="00DD2D90">
        <w:rPr>
          <w:rStyle w:val="StyleUnderline"/>
          <w:highlight w:val="green"/>
        </w:rPr>
        <w:t>R&amp;D</w:t>
      </w:r>
      <w:r w:rsidRPr="00223414">
        <w:rPr>
          <w:sz w:val="16"/>
        </w:rPr>
        <w:t xml:space="preserve"> </w:t>
      </w:r>
      <w:r w:rsidRPr="00DD2D90">
        <w:rPr>
          <w:rStyle w:val="StyleUnderline"/>
        </w:rPr>
        <w:t>investment</w:t>
      </w:r>
      <w:r w:rsidRPr="00223414">
        <w:rPr>
          <w:sz w:val="16"/>
        </w:rPr>
        <w:t xml:space="preserve"> simply </w:t>
      </w:r>
      <w:r w:rsidRPr="00DD2D90">
        <w:rPr>
          <w:rStyle w:val="StyleUnderline"/>
          <w:highlight w:val="green"/>
        </w:rPr>
        <w:t>because</w:t>
      </w:r>
      <w:r w:rsidRPr="00223414">
        <w:rPr>
          <w:sz w:val="16"/>
        </w:rPr>
        <w:t xml:space="preserve"> the people and </w:t>
      </w:r>
      <w:r w:rsidRPr="00DD2D90">
        <w:rPr>
          <w:rStyle w:val="StyleUnderline"/>
          <w:highlight w:val="green"/>
        </w:rPr>
        <w:t>regions afflicted are</w:t>
      </w:r>
      <w:r w:rsidRPr="00DD2D90">
        <w:rPr>
          <w:rStyle w:val="StyleUnderline"/>
        </w:rPr>
        <w:t xml:space="preserve"> </w:t>
      </w:r>
      <w:r w:rsidRPr="00223414">
        <w:rPr>
          <w:sz w:val="16"/>
        </w:rPr>
        <w:t xml:space="preserve">mostly the world’s poorest; the populations affected by many diseases are simply </w:t>
      </w:r>
      <w:r w:rsidRPr="00DD2D90">
        <w:rPr>
          <w:rStyle w:val="StyleUnderline"/>
          <w:highlight w:val="green"/>
        </w:rPr>
        <w:t>too poor to constitute effective market demand</w:t>
      </w:r>
      <w:r w:rsidRPr="00223414">
        <w:rPr>
          <w:sz w:val="16"/>
        </w:rPr>
        <w:t xml:space="preserve"> that would supply a pull mechanism for their health needs to be met (Fisk &amp; Atun, 2008; Resnik, 2004). At least on the multilateral level, some emergent and ongoing initiatives to intervene in the market to deliver better outcomes in the areas of drug develop- ment and supply of essential medicines show promise (Kaplan, Wirtz, Mantel, &amp; Beatrice, 2013). Ironically, the </w:t>
      </w:r>
      <w:r w:rsidRPr="00DD2D90">
        <w:rPr>
          <w:rStyle w:val="StyleUnderline"/>
        </w:rPr>
        <w:t>funders</w:t>
      </w:r>
      <w:r w:rsidRPr="00223414">
        <w:rPr>
          <w:sz w:val="16"/>
        </w:rPr>
        <w:t xml:space="preserve"> of these initiatives often </w:t>
      </w:r>
      <w:r w:rsidRPr="00DD2D90">
        <w:rPr>
          <w:rStyle w:val="StyleUnderline"/>
        </w:rPr>
        <w:t>are</w:t>
      </w:r>
      <w:r w:rsidRPr="00223414">
        <w:rPr>
          <w:sz w:val="16"/>
        </w:rPr>
        <w:t xml:space="preserve"> </w:t>
      </w:r>
      <w:r w:rsidRPr="00DD2D90">
        <w:rPr>
          <w:rStyle w:val="StyleUnderline"/>
        </w:rPr>
        <w:t>the</w:t>
      </w:r>
      <w:r w:rsidRPr="00223414">
        <w:rPr>
          <w:sz w:val="16"/>
        </w:rPr>
        <w:t xml:space="preserve"> very </w:t>
      </w:r>
      <w:r w:rsidRPr="00DD2D90">
        <w:rPr>
          <w:rStyle w:val="StyleUnderline"/>
        </w:rPr>
        <w:t xml:space="preserve">governments that routinely bolster </w:t>
      </w:r>
      <w:r w:rsidRPr="00DD2D90">
        <w:rPr>
          <w:rStyle w:val="StyleUnderline"/>
          <w:highlight w:val="green"/>
        </w:rPr>
        <w:t>pharma</w:t>
      </w:r>
      <w:r w:rsidRPr="00DD2D90">
        <w:rPr>
          <w:rStyle w:val="StyleUnderline"/>
        </w:rPr>
        <w:t>ceutical manufacturers’ interests in pro- gressively stronger IPR protections</w:t>
      </w:r>
      <w:r w:rsidRPr="00223414">
        <w:rPr>
          <w:sz w:val="16"/>
        </w:rPr>
        <w:t xml:space="preserve"> in various post-TRIPS trade and invest- ment agreements. Institutions: health under global regimes in trade and investment Health is at the center of a range of pivotal global economic sectors, such as phar- maceuticals and insurance, acting to focus interests on new mechanisms for con- trolling regulations and institutions that arbitrate health policy. There is long- standing policy pressure to market-ize and liberalize health and to treat it as a pri- vate and tradable commodity (Labonte et al., 2009). These dynamics are readily discernible across multiple and expanding regimes and spaces of global governance. Private actors working with policymakers in trade and investment regimes have substantially reconfigured health as a transnationally tradable commodity with strong claims of private ownership and investor rights that can be enforced globally (Kay &amp; Williams, 2009). Earlier the paper identified low-hanging regulatory fruit such as skewed agricul- tural subsidies and taxing sugary beverages. However, political and economic power can make obvious fixes impossible. </w:t>
      </w:r>
      <w:r w:rsidRPr="00DD2D90">
        <w:rPr>
          <w:rStyle w:val="StyleUnderline"/>
        </w:rPr>
        <w:t>The institutional</w:t>
      </w:r>
      <w:r w:rsidRPr="00223414">
        <w:rPr>
          <w:sz w:val="16"/>
        </w:rPr>
        <w:t xml:space="preserve"> and regulatory </w:t>
      </w:r>
      <w:r w:rsidRPr="00DD2D90">
        <w:rPr>
          <w:rStyle w:val="StyleUnderline"/>
        </w:rPr>
        <w:t>arrangements</w:t>
      </w:r>
      <w:r w:rsidRPr="00223414">
        <w:rPr>
          <w:sz w:val="16"/>
        </w:rPr>
        <w:t xml:space="preserve"> that underpin global capitalism often </w:t>
      </w:r>
      <w:r w:rsidRPr="00DD2D90">
        <w:rPr>
          <w:rStyle w:val="StyleUnderline"/>
          <w:highlight w:val="green"/>
        </w:rPr>
        <w:t xml:space="preserve">act as </w:t>
      </w:r>
      <w:r w:rsidRPr="00DD2D90">
        <w:rPr>
          <w:rStyle w:val="Emphasis"/>
          <w:highlight w:val="green"/>
        </w:rPr>
        <w:t>multipliers</w:t>
      </w:r>
      <w:r w:rsidRPr="00DD2D90">
        <w:rPr>
          <w:rStyle w:val="StyleUnderline"/>
          <w:highlight w:val="green"/>
        </w:rPr>
        <w:t xml:space="preserve"> for other vectors such as poverty</w:t>
      </w:r>
      <w:r w:rsidRPr="00223414">
        <w:rPr>
          <w:sz w:val="16"/>
        </w:rPr>
        <w:t xml:space="preserve">, further </w:t>
      </w:r>
      <w:r w:rsidRPr="00DD2D90">
        <w:rPr>
          <w:rStyle w:val="Emphasis"/>
          <w:highlight w:val="green"/>
        </w:rPr>
        <w:t>entrenching</w:t>
      </w:r>
      <w:r w:rsidRPr="00223414">
        <w:rPr>
          <w:sz w:val="16"/>
          <w:highlight w:val="green"/>
        </w:rPr>
        <w:t xml:space="preserve"> </w:t>
      </w:r>
      <w:r w:rsidRPr="00DD2D90">
        <w:rPr>
          <w:rStyle w:val="StyleUnderline"/>
          <w:highlight w:val="green"/>
        </w:rPr>
        <w:t>disadvantage</w:t>
      </w:r>
      <w:r w:rsidRPr="00223414">
        <w:rPr>
          <w:sz w:val="16"/>
        </w:rPr>
        <w:t xml:space="preserve"> or adverse structural conditions </w:t>
      </w:r>
      <w:r w:rsidRPr="00DD2D90">
        <w:rPr>
          <w:rStyle w:val="StyleUnderline"/>
          <w:highlight w:val="green"/>
        </w:rPr>
        <w:t>that determine health outcomes</w:t>
      </w:r>
      <w:r w:rsidRPr="00223414">
        <w:rPr>
          <w:sz w:val="16"/>
        </w:rPr>
        <w:t xml:space="preserve">. For example, </w:t>
      </w:r>
      <w:r w:rsidRPr="00DD2D90">
        <w:rPr>
          <w:rStyle w:val="StyleUnderline"/>
        </w:rPr>
        <w:t xml:space="preserve">regimes governing </w:t>
      </w:r>
      <w:r w:rsidRPr="00DD2D90">
        <w:rPr>
          <w:rStyle w:val="StyleUnderline"/>
          <w:highlight w:val="green"/>
        </w:rPr>
        <w:t>i</w:t>
      </w:r>
      <w:r w:rsidRPr="00DD2D90">
        <w:rPr>
          <w:rStyle w:val="StyleUnderline"/>
        </w:rPr>
        <w:t xml:space="preserve">ntellectual </w:t>
      </w:r>
      <w:r w:rsidRPr="00DD2D90">
        <w:rPr>
          <w:rStyle w:val="StyleUnderline"/>
          <w:highlight w:val="green"/>
        </w:rPr>
        <w:t>p</w:t>
      </w:r>
      <w:r w:rsidRPr="00DD2D90">
        <w:rPr>
          <w:rStyle w:val="StyleUnderline"/>
        </w:rPr>
        <w:t>roperty</w:t>
      </w:r>
      <w:r w:rsidRPr="00223414">
        <w:rPr>
          <w:sz w:val="16"/>
        </w:rPr>
        <w:t xml:space="preserve"> </w:t>
      </w:r>
      <w:r w:rsidRPr="00DD2D90">
        <w:rPr>
          <w:rStyle w:val="Emphasis"/>
          <w:highlight w:val="green"/>
        </w:rPr>
        <w:t>exacerbate</w:t>
      </w:r>
      <w:r w:rsidRPr="00223414">
        <w:rPr>
          <w:sz w:val="16"/>
        </w:rPr>
        <w:t xml:space="preserve"> and reinforce </w:t>
      </w:r>
      <w:r w:rsidRPr="00DD2D90">
        <w:rPr>
          <w:rStyle w:val="StyleUnderline"/>
          <w:highlight w:val="green"/>
        </w:rPr>
        <w:t xml:space="preserve">the inability of poor people to afford </w:t>
      </w:r>
      <w:r w:rsidRPr="00DD2D90">
        <w:rPr>
          <w:rStyle w:val="Emphasis"/>
          <w:highlight w:val="green"/>
        </w:rPr>
        <w:t>commodified</w:t>
      </w:r>
      <w:r w:rsidRPr="00DD2D90">
        <w:rPr>
          <w:rStyle w:val="StyleUnderline"/>
        </w:rPr>
        <w:t xml:space="preserve"> </w:t>
      </w:r>
      <w:r w:rsidRPr="00DD2D90">
        <w:rPr>
          <w:rStyle w:val="StyleUnderline"/>
          <w:highlight w:val="green"/>
        </w:rPr>
        <w:t>health tech</w:t>
      </w:r>
      <w:r w:rsidRPr="00DD2D90">
        <w:rPr>
          <w:rStyle w:val="StyleUnderline"/>
        </w:rPr>
        <w:t xml:space="preserve">nologies </w:t>
      </w:r>
      <w:r w:rsidRPr="00DD2D90">
        <w:rPr>
          <w:rStyle w:val="StyleUnderline"/>
          <w:highlight w:val="green"/>
        </w:rPr>
        <w:t>by locking in legal monopolies over drugs as private goods</w:t>
      </w:r>
      <w:r w:rsidRPr="00223414">
        <w:rPr>
          <w:sz w:val="16"/>
        </w:rPr>
        <w:t xml:space="preserve">. The patent regime also cements a system of production of health technologies rooted in pri- vate rights and market-driven access to health, with key determinants of health outcomes for all essentials supplied by transnational corporations across nominally politically segmented global markets. If we are lucky, our </w:t>
      </w:r>
      <w:r w:rsidRPr="00DD2D90">
        <w:rPr>
          <w:rStyle w:val="StyleUnderline"/>
          <w:highlight w:val="green"/>
        </w:rPr>
        <w:t>access</w:t>
      </w:r>
      <w:r w:rsidRPr="00223414">
        <w:rPr>
          <w:sz w:val="16"/>
        </w:rPr>
        <w:t xml:space="preserve"> to them is arbi- trated by social insurance or state interventions in the market, but that </w:t>
      </w:r>
      <w:r w:rsidRPr="00DD2D90">
        <w:rPr>
          <w:rStyle w:val="StyleUnderline"/>
          <w:highlight w:val="green"/>
        </w:rPr>
        <w:t>is unavail- able to</w:t>
      </w:r>
      <w:r w:rsidRPr="00223414">
        <w:rPr>
          <w:sz w:val="16"/>
        </w:rPr>
        <w:t xml:space="preserve"> almost </w:t>
      </w:r>
      <w:r w:rsidRPr="00DD2D90">
        <w:rPr>
          <w:rStyle w:val="Emphasis"/>
          <w:highlight w:val="green"/>
        </w:rPr>
        <w:t>half</w:t>
      </w:r>
      <w:r w:rsidRPr="00223414">
        <w:rPr>
          <w:sz w:val="16"/>
          <w:highlight w:val="green"/>
        </w:rPr>
        <w:t xml:space="preserve"> </w:t>
      </w:r>
      <w:r w:rsidRPr="00DD2D90">
        <w:rPr>
          <w:rStyle w:val="StyleUnderline"/>
          <w:highlight w:val="green"/>
        </w:rPr>
        <w:t>the world’s population</w:t>
      </w:r>
      <w:r w:rsidRPr="00223414">
        <w:rPr>
          <w:sz w:val="16"/>
        </w:rPr>
        <w:t xml:space="preserve">. The deep structures of financialized capitalism map on to the more obvious pol- icy choices that may be more susceptible to actor agency or more feasible targets for change. We can readily see how capitalism and health sit within what IPE scholars refer to as the ‘second image’ of national policies and the interactions between them. This perspective may afford more scope for agency and change to the system and its worst effects on health. This section focuses on the scope for agency at a multilateral level and/or a national level in which social mobilization is already activated and engaged. These policy areas are trade, intellectual property protection, investor-state-dispute-settlement and austerity. Trade The expanded deregulation of markets in trade and investment has had multiple health consequences, connecting producers and consumers in ways that produce both positive and negative health outcomes. While market expansion has increased consumer choice, choice per se may not always be optimal. For instance, in trade policy, we have witnessed the creation of new commodities by regulatory fiat, including physical commodities – and the commodification of objects not previ- ously consumed. We have also seen the inability of certain states to reject com- modities, such as turkey tails and mutton flaps that the exporters themselves would never consume. For example, the aggressive export of US turkey tails to the Pacific Islands (e.g. Micronesia, Samoa and Tonga) illustrates the dynamics of economic concentration, trade liberalization, trade institutions and power asymmetries. All of these have contributed to an epidemic of obesity and diabetes in the Pacific Islands (Singer, 2014, p. 445). Turkey tails are fatty stumps at the end of turkeys’ spines. They have virtually no nutritional value and have been dumped on Pacific Island countries first as ‘foreign aid’ and now as trade commodities. Turkey production, like so many other sectors, has become highly concentrated in industrial farms. As Singer points out, ‘giant agribusiness processors largely control the industry’ (2014, p. 441), the logic of capital accumulation has driven increasing concentration of wealth among a smaller number of producers in this sector. Heavily marketed and aggressively exported, turkey tails (along with other low- quality foodstuffs) have transformed consumption and exacerbated a spike in diet- related non-communicable diseases in recipient countries. In response to health concerns, in 2007 the government of Samoa ‘formally banned the import of turkey tails (unless they were attached to whole birds)’ (Singer, 2014, p. 447). The Samoan government raised the issue at the World Health Organization, where US delegates rejected a trade-based regulatory approach to curbing the exports and emphasized the choice-centric approach encouraging ‘citizens to take responsibility for their own health’ (Gale, 2011, quoted in Singer, 2014, p. 447). The concept of ‘consumer sovereignty’ deflects responsibility away from producers of harm- ful products. The World Trade Organization (WTO) supported the US position. As the Samoan government negotiated its accession to the WTO, the WTO informed the government that its ban on turkey tails violated WTO rules against targeting spe- cific products. Samoa had to drop its ban. Similarly, Tonga was forced to give up its plans to restrict the import of unhealthy mutton flaps from New Zealand as it gained entry into the WTO. Trade liberalization and the creation of new physical (unhealthy) commodities have had a negative impact on public health by prioritiz- ing economic liberalization over regulation to reduce consumption of such com- modities. Thus, </w:t>
      </w:r>
      <w:r w:rsidRPr="00DD2D90">
        <w:rPr>
          <w:rStyle w:val="StyleUnderline"/>
        </w:rPr>
        <w:t xml:space="preserve">capitalism is </w:t>
      </w:r>
      <w:r w:rsidRPr="00DD2D90">
        <w:rPr>
          <w:rStyle w:val="Emphasis"/>
        </w:rPr>
        <w:t>trumping</w:t>
      </w:r>
      <w:r w:rsidRPr="00DD2D90">
        <w:rPr>
          <w:rStyle w:val="StyleUnderline"/>
        </w:rPr>
        <w:t xml:space="preserve"> health priorities</w:t>
      </w:r>
      <w:r w:rsidRPr="00223414">
        <w:rPr>
          <w:sz w:val="16"/>
        </w:rPr>
        <w:t xml:space="preserve">. Intellectual property Capitalism and private economic activity have produced new health technologies and medicines over time, while at the same time binding these welcome develop- ments in health to supply via the global market. This has skewed the provision of health care toward an increasingly biomedical and reductive model at the expense of more holistic approaches including social determinants of health (Tseris, 2017). Privileged approaches that focus on biomedicine and </w:t>
      </w:r>
      <w:r w:rsidRPr="00DD2D90">
        <w:rPr>
          <w:rStyle w:val="StyleUnderline"/>
          <w:highlight w:val="green"/>
        </w:rPr>
        <w:t>silver bullets crowd out popu- lation-level health policies</w:t>
      </w:r>
      <w:r w:rsidRPr="00DD2D90">
        <w:rPr>
          <w:rStyle w:val="StyleUnderline"/>
        </w:rPr>
        <w:t xml:space="preserve"> that address more comprehensive components of health</w:t>
      </w:r>
      <w:r w:rsidRPr="00223414">
        <w:rPr>
          <w:sz w:val="16"/>
        </w:rPr>
        <w:t xml:space="preserve">. Governance constructs these outcomes and is co-produced by the interests in regu- lation and its capture (Glasgow &amp; Schrecker, 2016). The global trade regime has generated deeper and wider bilateral, regional and plurilateral free trade agreements that confer stronger intellectual property rights (IPRs) on medicines, facilitate the liberalization of health services and protect foreign investments from public health-inspired state measures. The United States Trade Representative (USTR) has been very supportive of the agenda of ‘Big Pharma’, as has the EU, in trade negotiations (Wogart, 2006). For instance, WTO-mandated IPRs determine (in TRIPS) the price and conditions of produc- tion of patented health technologies and medicines reflecting texts authored by representatives of pharmaceutical firms (Tyfield, 2008; Wogart, 2006). The 1994 Agreement on Trade-Related Intellectual Property (TRIPs) in the WTO ushered in a new era for health by mandating that states adopt patent pro- tection for pharmaceutical products. This meant that </w:t>
      </w:r>
      <w:r w:rsidRPr="00DD2D90">
        <w:rPr>
          <w:rStyle w:val="StyleUnderline"/>
        </w:rPr>
        <w:t>countries</w:t>
      </w:r>
      <w:r w:rsidRPr="00223414">
        <w:rPr>
          <w:sz w:val="16"/>
        </w:rPr>
        <w:t xml:space="preserve">, such as India, that had refused to offer such protection to contain costs and facilitate generic drug production would now </w:t>
      </w:r>
      <w:r w:rsidRPr="00DD2D90">
        <w:rPr>
          <w:rStyle w:val="StyleUnderline"/>
        </w:rPr>
        <w:t xml:space="preserve">have to offer a 20-year period of exclusive rights to </w:t>
      </w:r>
      <w:r w:rsidRPr="00223414">
        <w:rPr>
          <w:sz w:val="16"/>
        </w:rPr>
        <w:t>non-</w:t>
      </w:r>
      <w:r w:rsidRPr="00DD2D90">
        <w:rPr>
          <w:rStyle w:val="StyleUnderline"/>
        </w:rPr>
        <w:t xml:space="preserve"> </w:t>
      </w:r>
      <w:r w:rsidRPr="00223414">
        <w:rPr>
          <w:sz w:val="16"/>
        </w:rPr>
        <w:t>generic</w:t>
      </w:r>
      <w:r w:rsidRPr="00DD2D90">
        <w:rPr>
          <w:rStyle w:val="StyleUnderline"/>
        </w:rPr>
        <w:t xml:space="preserve"> pharmaceutical drug producers</w:t>
      </w:r>
      <w:r w:rsidRPr="00223414">
        <w:rPr>
          <w:sz w:val="16"/>
        </w:rPr>
        <w:t xml:space="preserve">. </w:t>
      </w:r>
      <w:r w:rsidRPr="00DD2D90">
        <w:rPr>
          <w:rStyle w:val="StyleUnderline"/>
        </w:rPr>
        <w:t>This has contributed to the high costs of medicines</w:t>
      </w:r>
      <w:r w:rsidRPr="00223414">
        <w:rPr>
          <w:sz w:val="16"/>
        </w:rPr>
        <w:t xml:space="preserve">; the stakes cannot be overstated. High prices reduce access to essential health technologies and medicines (Sell, 2003; ’t Hoen, 2009). The intellectual property-health nexus has become so contested that the stron- gest advocates of ever-stronger protections have taken their initiatives to non-trans- parent, non-multilateral forums, knowing that they could not obtain support from them in open multilateral deliberations. Bilateral, regional and plurilateral intellec- tual property, trade and investment agreements contain extended protections for private intellectual property rights and reduced policy space for exercising TRIPs flexibilities for public health (such as compulsory licensing and parallel importation of cheaper patented drugs) (Drahos &amp; Braithwaite, 2002, p. 107; Shadlen, 2005; Singh, 2017, p. 146–148). The distributional implications of IP policy are profound (Benvenisti &amp; Downs, 2004, p. 48). Social mobilization during the HIV/AIDS pandemic in the late 1990s and early 2000s resulted in the World Trade Organization’s Doha Declaration on TRIPs and Access to Medicines to prioritize health over patent rights. Various national gov- ernments, such as Thailand, have pursued compulsory licensing strategies for heart and cancer drugs to produce affordable generics. While policy space has been reduced with TRIPs, and especially TRIPs-Plus provisions, there is still notable scope for agency in this policy space, with continued mobilization and pressure for reform at least offering a means to try to improve currently regressive regulatory architectures. Investment In terms of international investment and health, Investor State Dispute Settlement (ISDS) agreements permit private investors to initiate cases against host states out- side of those states’ domestic courts – avoiding them altogether or appealing domestic court decisions (Diependaele et al., 2017b, p. 5). It is no coincidence that since 1990 with the acceleration of globalization, the number of bilateral invest- ment treaties soared from 463 in 1990 to 3,304 in 2015 (Cutler &amp; Lark, 2017, p. 173; Lencucha, 2017, p. 289). Since 2000 over 600 ISDS cases have been initiated, as compared to only 50 between 1950 and 2000 (Diependaele et al., 2017a, p. 301 at n.117). In recent years, intellectual property (IP) has been redefined as an investment asset under investment agreements that include </w:t>
      </w:r>
      <w:r w:rsidRPr="00DD2D90">
        <w:rPr>
          <w:rStyle w:val="StyleUnderline"/>
        </w:rPr>
        <w:t>ISDS</w:t>
      </w:r>
      <w:r w:rsidRPr="00223414">
        <w:rPr>
          <w:sz w:val="16"/>
        </w:rPr>
        <w:t xml:space="preserve"> provisions (Correa &amp; Vinuales, 2016; Dreyfuss &amp; Frankel, 2015; Ruse-Khan, 2016). Rights holders con- tinue to seek higher and broader levels of IP protection and stricter enforcement by resorting to ‘investment arbitration to litigate international IP issues’ (Gagliani, 2017, p. 346). This </w:t>
      </w:r>
      <w:r w:rsidRPr="00DD2D90">
        <w:rPr>
          <w:rStyle w:val="StyleUnderline"/>
        </w:rPr>
        <w:t>allows private IP rights holders to sue governments for not adequately protecting their ‘investments</w:t>
      </w:r>
      <w:r w:rsidRPr="00223414">
        <w:rPr>
          <w:sz w:val="16"/>
        </w:rPr>
        <w:t>’. Three recent cases have demonstrated the threat that ISDS provisions involving IP as an investment asset may pose to the domestic regulation of public health. The first two cases, the ‘plain packaging’ tobacco disputes with Australia and Uruguay, invoked the intellectual property of trademark as the relevant investment. The third was a patent dispute that Eli Lilly brought against the Canadian govern- ment under the ISDS provisions of the North American Free Trade Agreement. These IP cases directly challenged health regulations. In each of the three cases, the private rights holders, Philip Morris in the trade- mark cases and Eli Lilly in the patent case, did not prevail. Yet the narrowness of the rulings did not constitute a robust deterrent to prevent IP rights holders from continuing down the ISDS route to challenge domestic public health regulations (Diependaele et al., 2017a, p. 304; Dreyfuss &amp; Frankel, 2018, p. 1). In this sense, we may consider ISDS in IP and public health as ‘the camel’s nose inside the tent’ for rights holders to pursue new avenues to extend their rights and challenge domestic regulations that they do not like. High-profile cases can cast a pall over specific types of regulation. Defending one’s regulations in ISDS cases is costly; analysts estimated that the Eli Lilly cases cost the Canadian taxpayers 1.2 million USD, even though Canada ‘won’ (PUBLICCITIZEN, 2017). As Lencucha notes, the procedural cost of ISDS cases is more than five times more than a state-to-state dispute within the WTO (Lencucha, 2017, p. 290). The prospect of costly litigation may persuade other states to drop plans to regulate in cases such as the plain packaging dispute. New Zealand dropped its plain packaging plans in the midst of the Australian-Philip Morris lawsuit.1 The very countries that designed the ISDS system and whose investors benefited from it for many decades are now having second thoughts as it threatens to curb their freedom to regulate for health, labor and environmental purposes (Diependaele et al. 2017a; Bonnitcha, Poulsen, &amp; Waibel 2017, p. 13). The EU, Canada and the USA are now concerned about the trends in ISDS and are engaged in extensive discussions to reform a system that was designed for one purpose and has morphed into a different system altogether. To the extent that firms use ISDS as a strategic tool to challenge or dissuade regulation that would reduce their prof- its, it threatens state regulatory measures to deliver improved health outcomes. Financial governance, austerity and health More recently, economic crises have (re-)inspired neoliberal governance responses to health and rejuvenated the authority of the International Monetary Fund (IMF) (De Vogli, Marmot, &amp; Stuckler, 2013; De Vogli &amp; Birbeck, 2005; Farmer, 2003; Rowden, 2013; Schrecker, 2016a; Stuckler &amp; Basu, 2013) The IMF has acted with revitalized authority to force sharp reductions in spending on health services and salaries in new debtor states, with decisions often backed and facilitated by the EU (Kentikelenis, 2017). In Greece, in the face of the euro crisis, hospital budgets were cut by 40% with 26,000 public health workers’ jobs at risk (Kentikelenis et al., 2011, p. 1457). While mixed national health systems are common in many countries, the state often remains as a stubborn presence and health care provider. Yet governments and multilateral organizations repeatedly emphasize the appeal of private insurers and the private sector as health care providers. Neoliberalism and its implications for health governance are evident in struc- tural adjustment and austerity policies adopted in the wake of debt and financial crises when health budgets are starved to make banks whole (Clark &amp; Heath, 2014; Mooney, 2012; Stuckler &amp; Basu, 2013). Austerity measures in the wake of financial crises in Latin America and South East Asia, and the global financial crisis of 2008 put pressure on publicly funded national health systems. States have responded, either willingly or not, with divestment in health and the opening up the sector to market forces. In some cases, such as the UK, the resultant phases of health service privatization and rolling back of social insurance systems proceed in a piecemeal fashion from non-core services to the heart of the public system, and with attacks on publicly supported financial risk pooling or progressive tax transfers to those in need of health assistance (Pieper, 2018). Policymakers tout the market as a more efficient means of allocating scarce resources for health. There are substantial profits to be made both out of the public purse in collaborative financial and investment relations with the state for health projects, as is the case with the often highly subsidized Public Private Partnerships and Public Private Investment deals in many European countries (Lanas, 2016; Roehrich, Barlow, &amp; Wright, 2014). Multiple economic interests are at play in pri- vatization and state rollbacks; the market for health is substantial, and health- related economic sectors are often hugely profitable. In developing countries, health service firms and private insurers are penetrating burgeoning middle class markets and cherry picking which health services are provided privately (Jasso-Aguilar, Waitzkin, &amp; Landwehr, 2005)). Finally, many of the orthodoxies associated with neoliberalism continue to shape and constrain health policy and regulation, with spending on public health and services attenuated in many countries since the 2008 global financial crisis (Brumby &amp; Verhoeven, 2010). Despite contestation and the presence of welcome alternative policy pathways, we risk neglecting structural and political economic drivers, including economic ideologies, as powerful and often dominant logics operating in and influencing that governance system. Overview of the special issue</w:t>
      </w:r>
    </w:p>
    <w:p w14:paraId="5A150684" w14:textId="77777777" w:rsidR="00FA1D49" w:rsidRPr="00223414" w:rsidRDefault="00FA1D49">
      <w:pPr>
        <w:rPr>
          <w:rFonts w:eastAsiaTheme="majorEastAsia" w:cstheme="majorBidi"/>
          <w:b/>
          <w:iCs/>
          <w:sz w:val="16"/>
        </w:rPr>
      </w:pPr>
      <w:r w:rsidRPr="00223414">
        <w:rPr>
          <w:sz w:val="16"/>
        </w:rPr>
        <w:br w:type="page"/>
      </w:r>
    </w:p>
    <w:p w14:paraId="598D9139" w14:textId="25A8DC38" w:rsidR="00CC49CA" w:rsidRPr="00223414" w:rsidRDefault="00CC49CA" w:rsidP="00CC49CA">
      <w:pPr>
        <w:pStyle w:val="Heading4"/>
        <w:rPr>
          <w:szCs w:val="26"/>
        </w:rPr>
      </w:pPr>
      <w:r w:rsidRPr="00223414">
        <w:rPr>
          <w:szCs w:val="26"/>
        </w:rPr>
        <w:t xml:space="preserve">Profit-motives cause bad innovation priorities that undermine </w:t>
      </w:r>
      <w:r w:rsidR="004518EC" w:rsidRPr="00223414">
        <w:rPr>
          <w:szCs w:val="26"/>
        </w:rPr>
        <w:t>NTD and ABR prevention</w:t>
      </w:r>
    </w:p>
    <w:p w14:paraId="27091E49" w14:textId="77777777" w:rsidR="00CC49CA" w:rsidRPr="00DD2D90" w:rsidRDefault="00CC49CA" w:rsidP="00CC49CA">
      <w:r w:rsidRPr="00223414">
        <w:rPr>
          <w:b/>
          <w:bCs/>
          <w:sz w:val="26"/>
          <w:szCs w:val="26"/>
        </w:rPr>
        <w:t>Roberts 20</w:t>
      </w:r>
      <w:r w:rsidRPr="00DD2D90">
        <w:t xml:space="preserve"> [Michael Roberts, 2020, "Coronavirus, the Economic Crisis and Indian Capitalism", Marxist Studies in Global and Asian Perspectives, https://marxiststudies.blog.yorku.ca/2020/06/coronavirus-the-economic-crisis-and-indian%E2%80%AFcapitalism/]/Kankee</w:t>
      </w:r>
    </w:p>
    <w:p w14:paraId="23DBA38C" w14:textId="77777777" w:rsidR="00CC49CA" w:rsidRPr="00223414" w:rsidRDefault="00CC49CA" w:rsidP="00CC49CA">
      <w:pPr>
        <w:rPr>
          <w:sz w:val="16"/>
        </w:rPr>
      </w:pPr>
      <w:r w:rsidRPr="00223414">
        <w:rPr>
          <w:sz w:val="16"/>
        </w:rPr>
        <w:t xml:space="preserve">At the same time, it is worth considering that over the last 10 or 15 years when these pathogens have become much more serious and spread on a pandemic basis, nothing is really being done to use resources to find out more about them and to prepare the vaccines that could save us from serious illnesses and diseases around the world. Vaccine is obviously the answer but there is no vaccine for this virus. </w:t>
      </w:r>
      <w:r w:rsidRPr="00DD2D90">
        <w:rPr>
          <w:rStyle w:val="StyleUnderline"/>
          <w:highlight w:val="green"/>
        </w:rPr>
        <w:t>A universal vaccine for influenza</w:t>
      </w:r>
      <w:r w:rsidRPr="00223414">
        <w:rPr>
          <w:sz w:val="16"/>
        </w:rPr>
        <w:t>—that is to say, a vaccine that targets the immutable parts of the virus’s surface proteins—</w:t>
      </w:r>
      <w:r w:rsidRPr="00DD2D90">
        <w:rPr>
          <w:rStyle w:val="StyleUnderline"/>
          <w:highlight w:val="green"/>
        </w:rPr>
        <w:t>has been a possibility for decades</w:t>
      </w:r>
      <w:r w:rsidRPr="00DD2D90">
        <w:rPr>
          <w:rStyle w:val="StyleUnderline"/>
        </w:rPr>
        <w:t xml:space="preserve">, </w:t>
      </w:r>
      <w:r w:rsidRPr="00DD2D90">
        <w:rPr>
          <w:rStyle w:val="StyleUnderline"/>
          <w:highlight w:val="green"/>
        </w:rPr>
        <w:t xml:space="preserve">but </w:t>
      </w:r>
      <w:r w:rsidRPr="00DD2D90">
        <w:rPr>
          <w:rStyle w:val="Emphasis"/>
          <w:highlight w:val="green"/>
        </w:rPr>
        <w:t>never</w:t>
      </w:r>
      <w:r w:rsidRPr="00DD2D90">
        <w:rPr>
          <w:rStyle w:val="StyleUnderline"/>
          <w:highlight w:val="green"/>
        </w:rPr>
        <w:t xml:space="preserve"> deemed profitable enough</w:t>
      </w:r>
      <w:r w:rsidRPr="00DD2D90">
        <w:rPr>
          <w:rStyle w:val="StyleUnderline"/>
        </w:rPr>
        <w:t xml:space="preserve"> to be a priority</w:t>
      </w:r>
      <w:r w:rsidRPr="00223414">
        <w:rPr>
          <w:sz w:val="16"/>
        </w:rPr>
        <w:t xml:space="preserve">. </w:t>
      </w:r>
      <w:r w:rsidRPr="00DD2D90">
        <w:rPr>
          <w:rStyle w:val="StyleUnderline"/>
          <w:highlight w:val="green"/>
        </w:rPr>
        <w:t>Big pharma does little research</w:t>
      </w:r>
      <w:r w:rsidRPr="00DD2D90">
        <w:rPr>
          <w:rStyle w:val="StyleUnderline"/>
        </w:rPr>
        <w:t xml:space="preserve"> and development </w:t>
      </w:r>
      <w:r w:rsidRPr="00DD2D90">
        <w:rPr>
          <w:rStyle w:val="StyleUnderline"/>
          <w:highlight w:val="green"/>
        </w:rPr>
        <w:t>of new antibiotics</w:t>
      </w:r>
      <w:r w:rsidRPr="00DD2D90">
        <w:rPr>
          <w:rStyle w:val="StyleUnderline"/>
        </w:rPr>
        <w:t xml:space="preserve"> and antivirals</w:t>
      </w:r>
      <w:r w:rsidRPr="00223414">
        <w:rPr>
          <w:sz w:val="16"/>
        </w:rPr>
        <w:t xml:space="preserve">, although this is what benefits public health. </w:t>
      </w:r>
      <w:r w:rsidRPr="00DD2D90">
        <w:rPr>
          <w:rStyle w:val="StyleUnderline"/>
        </w:rPr>
        <w:t xml:space="preserve">Of the 18 largest US pharmaceutical companies, </w:t>
      </w:r>
      <w:r w:rsidRPr="00DD2D90">
        <w:rPr>
          <w:rStyle w:val="StyleUnderline"/>
          <w:highlight w:val="green"/>
        </w:rPr>
        <w:t xml:space="preserve">15 have </w:t>
      </w:r>
      <w:r w:rsidRPr="00DD2D90">
        <w:rPr>
          <w:rStyle w:val="Emphasis"/>
          <w:highlight w:val="green"/>
        </w:rPr>
        <w:t>totally abandoned</w:t>
      </w:r>
      <w:r w:rsidRPr="00DD2D90">
        <w:rPr>
          <w:rStyle w:val="StyleUnderline"/>
          <w:highlight w:val="green"/>
        </w:rPr>
        <w:t xml:space="preserve"> this</w:t>
      </w:r>
      <w:r w:rsidRPr="00DD2D90">
        <w:rPr>
          <w:rStyle w:val="StyleUnderline"/>
        </w:rPr>
        <w:t xml:space="preserve"> </w:t>
      </w:r>
      <w:r w:rsidRPr="00DD2D90">
        <w:rPr>
          <w:rStyle w:val="StyleUnderline"/>
          <w:highlight w:val="green"/>
        </w:rPr>
        <w:t>field</w:t>
      </w:r>
      <w:r w:rsidRPr="00223414">
        <w:rPr>
          <w:sz w:val="16"/>
        </w:rPr>
        <w:t xml:space="preserve">. </w:t>
      </w:r>
      <w:r w:rsidRPr="00DD2D90">
        <w:rPr>
          <w:rStyle w:val="StyleUnderline"/>
          <w:highlight w:val="green"/>
        </w:rPr>
        <w:t xml:space="preserve">Heart medicines, addictive tranquillizers and treatments for male impotence are the </w:t>
      </w:r>
      <w:r w:rsidRPr="00DD2D90">
        <w:rPr>
          <w:rStyle w:val="Emphasis"/>
          <w:highlight w:val="green"/>
        </w:rPr>
        <w:t>profit leaders</w:t>
      </w:r>
      <w:r w:rsidRPr="00223414">
        <w:rPr>
          <w:sz w:val="16"/>
        </w:rPr>
        <w:t xml:space="preserve"> </w:t>
      </w:r>
      <w:r w:rsidRPr="00DD2D90">
        <w:rPr>
          <w:rStyle w:val="StyleUnderline"/>
          <w:highlight w:val="green"/>
        </w:rPr>
        <w:t>and</w:t>
      </w:r>
      <w:r w:rsidRPr="00223414">
        <w:rPr>
          <w:sz w:val="16"/>
          <w:highlight w:val="green"/>
        </w:rPr>
        <w:t xml:space="preserve"> </w:t>
      </w:r>
      <w:r w:rsidRPr="00DD2D90">
        <w:rPr>
          <w:rStyle w:val="Emphasis"/>
          <w:highlight w:val="green"/>
        </w:rPr>
        <w:t>very little</w:t>
      </w:r>
      <w:r w:rsidRPr="00223414">
        <w:rPr>
          <w:sz w:val="16"/>
          <w:highlight w:val="green"/>
        </w:rPr>
        <w:t xml:space="preserve"> </w:t>
      </w:r>
      <w:r w:rsidRPr="00DD2D90">
        <w:rPr>
          <w:rStyle w:val="StyleUnderline"/>
          <w:highlight w:val="green"/>
        </w:rPr>
        <w:t>attention is given to</w:t>
      </w:r>
      <w:r w:rsidRPr="00DD2D90">
        <w:rPr>
          <w:rStyle w:val="StyleUnderline"/>
        </w:rPr>
        <w:t xml:space="preserve"> </w:t>
      </w:r>
      <w:r w:rsidRPr="00223414">
        <w:rPr>
          <w:sz w:val="16"/>
        </w:rPr>
        <w:t xml:space="preserve">defences against </w:t>
      </w:r>
      <w:r w:rsidRPr="00DD2D90">
        <w:rPr>
          <w:rStyle w:val="StyleUnderline"/>
          <w:highlight w:val="green"/>
        </w:rPr>
        <w:t>hospital infections, emergent diseases and</w:t>
      </w:r>
      <w:r w:rsidRPr="00DD2D90">
        <w:rPr>
          <w:rStyle w:val="StyleUnderline"/>
        </w:rPr>
        <w:t xml:space="preserve"> traditional </w:t>
      </w:r>
      <w:r w:rsidRPr="00DD2D90">
        <w:rPr>
          <w:rStyle w:val="StyleUnderline"/>
          <w:highlight w:val="green"/>
        </w:rPr>
        <w:t>tropical illnesses</w:t>
      </w:r>
      <w:r w:rsidRPr="00223414">
        <w:rPr>
          <w:sz w:val="16"/>
        </w:rPr>
        <w:t xml:space="preserve">. Hence, part of the problem has not only been that the governments did not care, but also that </w:t>
      </w:r>
      <w:r w:rsidRPr="00DD2D90">
        <w:rPr>
          <w:rStyle w:val="StyleUnderline"/>
          <w:highlight w:val="green"/>
        </w:rPr>
        <w:t>research</w:t>
      </w:r>
      <w:r w:rsidRPr="00223414">
        <w:rPr>
          <w:sz w:val="16"/>
        </w:rPr>
        <w:t xml:space="preserve"> has not been </w:t>
      </w:r>
      <w:r w:rsidRPr="00DD2D90">
        <w:rPr>
          <w:rStyle w:val="StyleUnderline"/>
        </w:rPr>
        <w:t xml:space="preserve">done by the big capitalist pharmaceutical companies </w:t>
      </w:r>
      <w:r w:rsidRPr="00223414">
        <w:rPr>
          <w:sz w:val="16"/>
        </w:rPr>
        <w:t>around the world because it</w:t>
      </w:r>
      <w:r w:rsidRPr="00DD2D90">
        <w:rPr>
          <w:rStyle w:val="StyleUnderline"/>
        </w:rPr>
        <w:t xml:space="preserve"> </w:t>
      </w:r>
      <w:r w:rsidRPr="00DD2D90">
        <w:rPr>
          <w:rStyle w:val="StyleUnderline"/>
          <w:highlight w:val="green"/>
        </w:rPr>
        <w:t>is not profitable</w:t>
      </w:r>
      <w:r w:rsidRPr="00DD2D90">
        <w:rPr>
          <w:rStyle w:val="StyleUnderline"/>
        </w:rPr>
        <w:t xml:space="preserve">. </w:t>
      </w:r>
      <w:r w:rsidRPr="00223414">
        <w:rPr>
          <w:sz w:val="16"/>
        </w:rPr>
        <w:t xml:space="preserve">Sober-minded epidemiologists suggest that somewhere between 20% to 60% of the world’s adult population could catch this virus. The death rates are very dependent on the level of lockdown, but is certainly coming in at around about 0.5 to 1% of everybody who is infected probably by the time we get to the end of it. While the exact death rate is not yet clear, the evidence so far does show that the disease kills around about 1%, making it ten times more lethal than the annual flu. </w:t>
      </w:r>
    </w:p>
    <w:p w14:paraId="09BB7AD3" w14:textId="77777777" w:rsidR="00FA1D49" w:rsidRPr="00223414" w:rsidRDefault="00FA1D49">
      <w:pPr>
        <w:rPr>
          <w:rFonts w:eastAsiaTheme="majorEastAsia" w:cstheme="majorBidi"/>
          <w:b/>
          <w:iCs/>
          <w:sz w:val="16"/>
        </w:rPr>
      </w:pPr>
      <w:r w:rsidRPr="00223414">
        <w:rPr>
          <w:sz w:val="16"/>
        </w:rPr>
        <w:br w:type="page"/>
      </w:r>
    </w:p>
    <w:p w14:paraId="5A35E262" w14:textId="73A7DC4D" w:rsidR="00CA3592" w:rsidRPr="00223414" w:rsidRDefault="008D1D1B" w:rsidP="00CA3592">
      <w:pPr>
        <w:pStyle w:val="Heading4"/>
        <w:rPr>
          <w:szCs w:val="26"/>
        </w:rPr>
      </w:pPr>
      <w:r w:rsidRPr="00223414">
        <w:rPr>
          <w:szCs w:val="26"/>
        </w:rPr>
        <w:t>Commercial determinants of health sabotage public health by preventing solutions to NTDs, like universal healthcare, that would decrease their profits</w:t>
      </w:r>
      <w:r w:rsidR="00CA3592" w:rsidRPr="00223414">
        <w:rPr>
          <w:szCs w:val="26"/>
        </w:rPr>
        <w:t xml:space="preserve"> </w:t>
      </w:r>
    </w:p>
    <w:p w14:paraId="603AAFF4" w14:textId="77777777" w:rsidR="00CA3592" w:rsidRPr="00DD2D90" w:rsidRDefault="00CA3592" w:rsidP="00CA3592">
      <w:bookmarkStart w:id="43" w:name="_Hlk226752815"/>
      <w:r w:rsidRPr="00223414">
        <w:rPr>
          <w:b/>
          <w:bCs/>
          <w:sz w:val="26"/>
          <w:szCs w:val="26"/>
        </w:rPr>
        <w:t>Farber et al. 26</w:t>
      </w:r>
      <w:r w:rsidRPr="00DD2D90">
        <w:t xml:space="preserve"> [Reya Farber, researcher at William &amp; Mary Department of Sociology, Rachel Rhee-Feitel, researcher at George Mason and Georgetown University Advanced Biomedical Sciences Program, and Amelia Lewis, researcher at the William &amp; Mary Department of Health Sciences, 3-29-2026, "Negating neglect: social scientific contributions on Neglected Tropical Diseases and global health", SpringerLink, https://link.springer.com/article/10.1186/s12939-026-02824-z]/Kankee</w:t>
      </w:r>
    </w:p>
    <w:bookmarkEnd w:id="43"/>
    <w:p w14:paraId="5B07EDAD" w14:textId="19BC8289" w:rsidR="00CA3592" w:rsidRPr="00223414" w:rsidRDefault="00CA3592" w:rsidP="00CA3592">
      <w:pPr>
        <w:rPr>
          <w:sz w:val="16"/>
        </w:rPr>
      </w:pPr>
      <w:r w:rsidRPr="00223414">
        <w:rPr>
          <w:sz w:val="16"/>
        </w:rPr>
        <w:t xml:space="preserve">IV. Political, Economic, and Commercial Determinants of Neglected Tropical Diseases Social scientists and social epidemiologists have long pinpointed how political conditions, economic factors, and commercial entities impact health outcomes (Birn 2011; Birn et al. 2017; de Lacy Vawdon and Livingstone 2020; Kickbusch et al. 2016; Krieger 2021; Shostak 2023). </w:t>
      </w:r>
      <w:r w:rsidRPr="00DD2D90">
        <w:rPr>
          <w:rStyle w:val="StyleUnderline"/>
          <w:highlight w:val="green"/>
        </w:rPr>
        <w:t>N</w:t>
      </w:r>
      <w:r w:rsidRPr="00DD2D90">
        <w:rPr>
          <w:rStyle w:val="StyleUnderline"/>
        </w:rPr>
        <w:t xml:space="preserve">eglected </w:t>
      </w:r>
      <w:r w:rsidRPr="00DD2D90">
        <w:rPr>
          <w:rStyle w:val="StyleUnderline"/>
          <w:highlight w:val="green"/>
        </w:rPr>
        <w:t>T</w:t>
      </w:r>
      <w:r w:rsidRPr="00DD2D90">
        <w:rPr>
          <w:rStyle w:val="StyleUnderline"/>
        </w:rPr>
        <w:t xml:space="preserve">ropical </w:t>
      </w:r>
      <w:r w:rsidRPr="00DD2D90">
        <w:rPr>
          <w:rStyle w:val="StyleUnderline"/>
          <w:highlight w:val="green"/>
        </w:rPr>
        <w:t>D</w:t>
      </w:r>
      <w:r w:rsidRPr="00DD2D90">
        <w:rPr>
          <w:rStyle w:val="StyleUnderline"/>
        </w:rPr>
        <w:t xml:space="preserve">iseases largely </w:t>
      </w:r>
      <w:r w:rsidRPr="00DD2D90">
        <w:rPr>
          <w:rStyle w:val="StyleUnderline"/>
          <w:highlight w:val="green"/>
        </w:rPr>
        <w:t>affect</w:t>
      </w:r>
      <w:r w:rsidRPr="00223414">
        <w:rPr>
          <w:sz w:val="16"/>
        </w:rPr>
        <w:t xml:space="preserve"> </w:t>
      </w:r>
      <w:r w:rsidRPr="00DD2D90">
        <w:rPr>
          <w:rStyle w:val="StyleUnderline"/>
        </w:rPr>
        <w:t>the world’s poorest</w:t>
      </w:r>
      <w:r w:rsidRPr="00223414">
        <w:rPr>
          <w:sz w:val="16"/>
        </w:rPr>
        <w:t xml:space="preserve"> and most disenfranchised people: </w:t>
      </w:r>
      <w:r w:rsidRPr="00DD2D90">
        <w:rPr>
          <w:rStyle w:val="StyleUnderline"/>
          <w:highlight w:val="green"/>
        </w:rPr>
        <w:t>those</w:t>
      </w:r>
      <w:r w:rsidRPr="00223414">
        <w:rPr>
          <w:sz w:val="16"/>
        </w:rPr>
        <w:t xml:space="preserve"> </w:t>
      </w:r>
      <w:r w:rsidRPr="00DD2D90">
        <w:rPr>
          <w:rStyle w:val="StyleUnderline"/>
        </w:rPr>
        <w:t>who are “</w:t>
      </w:r>
      <w:r w:rsidRPr="00DD2D90">
        <w:rPr>
          <w:rStyle w:val="StyleUnderline"/>
          <w:highlight w:val="green"/>
        </w:rPr>
        <w:t xml:space="preserve">neglected by </w:t>
      </w:r>
      <w:r w:rsidRPr="00DD2D90">
        <w:rPr>
          <w:rStyle w:val="StyleUnderline"/>
        </w:rPr>
        <w:t xml:space="preserve">international </w:t>
      </w:r>
      <w:r w:rsidRPr="00DD2D90">
        <w:rPr>
          <w:rStyle w:val="StyleUnderline"/>
          <w:highlight w:val="green"/>
        </w:rPr>
        <w:t>systems</w:t>
      </w:r>
      <w:r w:rsidRPr="00223414">
        <w:rPr>
          <w:sz w:val="16"/>
        </w:rPr>
        <w:t xml:space="preserve">” and who lack economic resources and political power, including poor people in high-income countries (The End Fund 2024; Hotez 2020). </w:t>
      </w:r>
      <w:r w:rsidRPr="00DD2D90">
        <w:rPr>
          <w:rStyle w:val="StyleUnderline"/>
          <w:highlight w:val="green"/>
        </w:rPr>
        <w:t>N</w:t>
      </w:r>
      <w:r w:rsidRPr="00DD2D90">
        <w:rPr>
          <w:rStyle w:val="StyleUnderline"/>
        </w:rPr>
        <w:t xml:space="preserve">eglected </w:t>
      </w:r>
      <w:r w:rsidRPr="00DD2D90">
        <w:rPr>
          <w:rStyle w:val="StyleUnderline"/>
          <w:highlight w:val="green"/>
        </w:rPr>
        <w:t>T</w:t>
      </w:r>
      <w:r w:rsidRPr="00DD2D90">
        <w:rPr>
          <w:rStyle w:val="StyleUnderline"/>
        </w:rPr>
        <w:t xml:space="preserve">ropical </w:t>
      </w:r>
      <w:r w:rsidRPr="00DD2D90">
        <w:rPr>
          <w:rStyle w:val="StyleUnderline"/>
          <w:highlight w:val="green"/>
        </w:rPr>
        <w:t>D</w:t>
      </w:r>
      <w:r w:rsidRPr="00DD2D90">
        <w:rPr>
          <w:rStyle w:val="StyleUnderline"/>
        </w:rPr>
        <w:t>isease</w:t>
      </w:r>
      <w:r w:rsidRPr="00DD2D90">
        <w:rPr>
          <w:rStyle w:val="StyleUnderline"/>
          <w:highlight w:val="green"/>
        </w:rPr>
        <w:t>s</w:t>
      </w:r>
      <w:r w:rsidRPr="00DD2D90">
        <w:rPr>
          <w:rStyle w:val="StyleUnderline"/>
        </w:rPr>
        <w:t xml:space="preserve"> </w:t>
      </w:r>
      <w:r w:rsidRPr="00DD2D90">
        <w:rPr>
          <w:rStyle w:val="StyleUnderline"/>
          <w:highlight w:val="green"/>
        </w:rPr>
        <w:t xml:space="preserve">are an example of </w:t>
      </w:r>
      <w:r w:rsidRPr="00DD2D90">
        <w:rPr>
          <w:rStyle w:val="Emphasis"/>
          <w:highlight w:val="green"/>
        </w:rPr>
        <w:t>embodied inequity</w:t>
      </w:r>
      <w:r w:rsidRPr="00DD2D90">
        <w:rPr>
          <w:rStyle w:val="StyleUnderline"/>
        </w:rPr>
        <w:t xml:space="preserve"> </w:t>
      </w:r>
      <w:r w:rsidRPr="00DD2D90">
        <w:rPr>
          <w:rStyle w:val="StyleUnderline"/>
          <w:highlight w:val="green"/>
        </w:rPr>
        <w:t>in</w:t>
      </w:r>
      <w:r w:rsidRPr="00223414">
        <w:rPr>
          <w:sz w:val="16"/>
        </w:rPr>
        <w:t xml:space="preserve"> disenfranchised </w:t>
      </w:r>
      <w:r w:rsidRPr="00DD2D90">
        <w:rPr>
          <w:rStyle w:val="StyleUnderline"/>
        </w:rPr>
        <w:t>communities</w:t>
      </w:r>
      <w:r w:rsidRPr="00223414">
        <w:rPr>
          <w:sz w:val="16"/>
        </w:rPr>
        <w:t xml:space="preserve"> worldwide, </w:t>
      </w:r>
      <w:r w:rsidRPr="00DD2D90">
        <w:rPr>
          <w:rStyle w:val="StyleUnderline"/>
        </w:rPr>
        <w:t>demonstrating how</w:t>
      </w:r>
      <w:r w:rsidRPr="00223414">
        <w:rPr>
          <w:sz w:val="16"/>
        </w:rPr>
        <w:t xml:space="preserve"> large-scale societal factors like global </w:t>
      </w:r>
      <w:r w:rsidRPr="00DD2D90">
        <w:rPr>
          <w:rStyle w:val="StyleUnderline"/>
          <w:highlight w:val="green"/>
        </w:rPr>
        <w:t>capitalism</w:t>
      </w:r>
      <w:r w:rsidRPr="00223414">
        <w:rPr>
          <w:sz w:val="16"/>
        </w:rPr>
        <w:t xml:space="preserve"> and political conflict </w:t>
      </w:r>
      <w:r w:rsidRPr="00DD2D90">
        <w:rPr>
          <w:rStyle w:val="StyleUnderline"/>
        </w:rPr>
        <w:t xml:space="preserve">negatively affect </w:t>
      </w:r>
      <w:r w:rsidRPr="00223414">
        <w:rPr>
          <w:sz w:val="16"/>
        </w:rPr>
        <w:t xml:space="preserve">environments, health, and </w:t>
      </w:r>
      <w:r w:rsidRPr="00DD2D90">
        <w:rPr>
          <w:rStyle w:val="StyleUnderline"/>
        </w:rPr>
        <w:t>disease</w:t>
      </w:r>
      <w:r w:rsidRPr="00223414">
        <w:rPr>
          <w:sz w:val="16"/>
        </w:rPr>
        <w:t xml:space="preserve"> </w:t>
      </w:r>
      <w:r w:rsidRPr="00DD2D90">
        <w:rPr>
          <w:rStyle w:val="StyleUnderline"/>
        </w:rPr>
        <w:t>outcomes</w:t>
      </w:r>
      <w:r w:rsidRPr="00223414">
        <w:rPr>
          <w:sz w:val="16"/>
        </w:rPr>
        <w:t xml:space="preserve">. On a macro institutional level, global capitalism is a multifaceted societal determinant of health that impacts Neglected Tropical Disease risk, prevalence, and initiatives (Birn et al. 2017; De Maio 2014; Flynn 2021; Kaup and Austin 2025; Mantilla 2011). Global capitalism broadly refers to a distinct phase of economic development involving neoliberal economic reforms that advance free trade, financial liberalization, deregulation, and privatization (Birn et al. 2017; Sassen 2006). </w:t>
      </w:r>
      <w:r w:rsidRPr="00DD2D90">
        <w:rPr>
          <w:rStyle w:val="StyleUnderline"/>
        </w:rPr>
        <w:t>Global capitalism is</w:t>
      </w:r>
      <w:r w:rsidRPr="00223414">
        <w:rPr>
          <w:sz w:val="16"/>
        </w:rPr>
        <w:t xml:space="preserve"> itself </w:t>
      </w:r>
      <w:r w:rsidRPr="00DD2D90">
        <w:rPr>
          <w:rStyle w:val="StyleUnderline"/>
        </w:rPr>
        <w:t>an extension of colonialism</w:t>
      </w:r>
      <w:r w:rsidRPr="00223414">
        <w:rPr>
          <w:sz w:val="16"/>
        </w:rPr>
        <w:t xml:space="preserve"> (Ciccantell et al. 2025), rooted in extraction, exploitation, and racialized stereotypes and ideologies (Ciccantell et al. 2025; Pirtle 2020). Global capitalism is deterritorialized, meaning its functions are not contained within the boundaries of nation-states; rather, it involves flows of people, resources, goods, and finances across borders (Birn et al. 2017; Sassen 2006). In this context, multinational firms and philanthropies – territorially diffuse and less publicly accountable and regulated – have great effects on health agendas and outcomes worldwide (Birn et al. 2017; Oliveira 2018; Shahvisi 2019). Neoliberal structural adjustment policies imposed by international financial institutions such as the World Bank can have negative effects on health, health care systems, and specifically Neglected Tropical Diseases (Schrecker 2016; Stuckler and Basu 2013). Austerity measures that cut government health expenditures on public health care systems and universal health coverage have deleteriously affected health and health care, as well as NTD funding particularly (Dennehy 2015; Wallace et al. 2018). Given the specific impacts of transnational corporations on health, </w:t>
      </w:r>
      <w:r w:rsidRPr="00DD2D90">
        <w:rPr>
          <w:rStyle w:val="StyleUnderline"/>
        </w:rPr>
        <w:t xml:space="preserve">the </w:t>
      </w:r>
      <w:r w:rsidRPr="00DD2D90">
        <w:rPr>
          <w:rStyle w:val="StyleUnderline"/>
          <w:highlight w:val="green"/>
        </w:rPr>
        <w:t>Commercial Determinants of Health</w:t>
      </w:r>
      <w:r w:rsidRPr="00223414">
        <w:rPr>
          <w:sz w:val="16"/>
        </w:rPr>
        <w:t xml:space="preserve"> (</w:t>
      </w:r>
      <w:r w:rsidRPr="00DD2D90">
        <w:rPr>
          <w:rStyle w:val="StyleUnderline"/>
        </w:rPr>
        <w:t>CDoH</w:t>
      </w:r>
      <w:r w:rsidRPr="00223414">
        <w:rPr>
          <w:sz w:val="16"/>
        </w:rPr>
        <w:t xml:space="preserve">) </w:t>
      </w:r>
      <w:r w:rsidRPr="00DD2D90">
        <w:rPr>
          <w:rStyle w:val="StyleUnderline"/>
        </w:rPr>
        <w:t xml:space="preserve">is a useful framework that </w:t>
      </w:r>
      <w:r w:rsidRPr="00DD2D90">
        <w:rPr>
          <w:rStyle w:val="StyleUnderline"/>
          <w:highlight w:val="green"/>
        </w:rPr>
        <w:t>spotlights how commercial entities</w:t>
      </w:r>
      <w:r w:rsidRPr="00DD2D90">
        <w:rPr>
          <w:rStyle w:val="StyleUnderline"/>
        </w:rPr>
        <w:t xml:space="preserve">, from tobacco companies to fast fashion, </w:t>
      </w:r>
      <w:r w:rsidRPr="00DD2D90">
        <w:rPr>
          <w:rStyle w:val="StyleUnderline"/>
          <w:highlight w:val="green"/>
        </w:rPr>
        <w:t>impact health outcomes</w:t>
      </w:r>
      <w:r w:rsidRPr="00223414">
        <w:rPr>
          <w:sz w:val="16"/>
        </w:rPr>
        <w:t xml:space="preserve"> (de Lacy Vawdon and Livingstone 2020; Kickbusch et al. 2016). However, research on Neglected Tropical Diseases has not explicitly used this framework, which can prove useful in future work. For example, </w:t>
      </w:r>
      <w:r w:rsidRPr="00DD2D90">
        <w:rPr>
          <w:rStyle w:val="StyleUnderline"/>
        </w:rPr>
        <w:t xml:space="preserve">the global </w:t>
      </w:r>
      <w:r w:rsidRPr="00DD2D90">
        <w:rPr>
          <w:rStyle w:val="StyleUnderline"/>
          <w:highlight w:val="green"/>
        </w:rPr>
        <w:t>pharma</w:t>
      </w:r>
      <w:r w:rsidRPr="00DD2D90">
        <w:rPr>
          <w:rStyle w:val="StyleUnderline"/>
        </w:rPr>
        <w:t xml:space="preserve">ceutical industry </w:t>
      </w:r>
      <w:r w:rsidRPr="00DD2D90">
        <w:rPr>
          <w:rStyle w:val="StyleUnderline"/>
          <w:highlight w:val="green"/>
        </w:rPr>
        <w:t>is</w:t>
      </w:r>
      <w:r w:rsidRPr="00DD2D90">
        <w:rPr>
          <w:rStyle w:val="StyleUnderline"/>
        </w:rPr>
        <w:t xml:space="preserve"> </w:t>
      </w:r>
      <w:r w:rsidRPr="00DD2D90">
        <w:rPr>
          <w:rStyle w:val="StyleUnderline"/>
          <w:highlight w:val="green"/>
        </w:rPr>
        <w:t>a</w:t>
      </w:r>
      <w:r w:rsidRPr="00DD2D90">
        <w:rPr>
          <w:rStyle w:val="StyleUnderline"/>
        </w:rPr>
        <w:t xml:space="preserve"> multifaceted commercial </w:t>
      </w:r>
      <w:r w:rsidRPr="00DD2D90">
        <w:rPr>
          <w:rStyle w:val="StyleUnderline"/>
          <w:highlight w:val="green"/>
        </w:rPr>
        <w:t>player in the construction of</w:t>
      </w:r>
      <w:r w:rsidRPr="00DD2D90">
        <w:rPr>
          <w:rStyle w:val="StyleUnderline"/>
        </w:rPr>
        <w:t xml:space="preserve"> </w:t>
      </w:r>
      <w:r w:rsidRPr="00DD2D90">
        <w:rPr>
          <w:rStyle w:val="StyleUnderline"/>
          <w:highlight w:val="green"/>
        </w:rPr>
        <w:t>N</w:t>
      </w:r>
      <w:r w:rsidRPr="00DD2D90">
        <w:rPr>
          <w:rStyle w:val="StyleUnderline"/>
        </w:rPr>
        <w:t xml:space="preserve">eglected </w:t>
      </w:r>
      <w:r w:rsidRPr="00DD2D90">
        <w:rPr>
          <w:rStyle w:val="StyleUnderline"/>
          <w:highlight w:val="green"/>
        </w:rPr>
        <w:t>T</w:t>
      </w:r>
      <w:r w:rsidRPr="00DD2D90">
        <w:rPr>
          <w:rStyle w:val="StyleUnderline"/>
        </w:rPr>
        <w:t xml:space="preserve">ropical </w:t>
      </w:r>
      <w:r w:rsidRPr="00DD2D90">
        <w:rPr>
          <w:rStyle w:val="StyleUnderline"/>
          <w:highlight w:val="green"/>
        </w:rPr>
        <w:t>D</w:t>
      </w:r>
      <w:r w:rsidRPr="00DD2D90">
        <w:rPr>
          <w:rStyle w:val="StyleUnderline"/>
        </w:rPr>
        <w:t>iseases</w:t>
      </w:r>
      <w:r w:rsidRPr="00223414">
        <w:rPr>
          <w:sz w:val="16"/>
        </w:rPr>
        <w:t xml:space="preserve">. On the one hand, we discussed in the previous section how pharmaceutical companies have since the 2012 London Declaration on Neglected Tropical Diseases diligently donated billions of lifesaving treatments to people affected by Neglected Tropical Diseases (Molyneux et al., 2017; WHO 2025). But simultaneously, these for-profit entities also have a legal obligation to shareholders to produce a profit. As a result, </w:t>
      </w:r>
      <w:r w:rsidRPr="00DD2D90">
        <w:rPr>
          <w:rStyle w:val="StyleUnderline"/>
          <w:highlight w:val="green"/>
        </w:rPr>
        <w:t>pharma</w:t>
      </w:r>
      <w:r w:rsidRPr="00DD2D90">
        <w:rPr>
          <w:rStyle w:val="StyleUnderline"/>
        </w:rPr>
        <w:t>ceutical companies</w:t>
      </w:r>
      <w:r w:rsidRPr="00223414">
        <w:rPr>
          <w:sz w:val="16"/>
        </w:rPr>
        <w:t xml:space="preserve"> largely </w:t>
      </w:r>
      <w:r w:rsidRPr="00DD2D90">
        <w:rPr>
          <w:rStyle w:val="StyleUnderline"/>
          <w:highlight w:val="green"/>
        </w:rPr>
        <w:t>focus</w:t>
      </w:r>
      <w:r w:rsidRPr="00223414">
        <w:rPr>
          <w:sz w:val="16"/>
        </w:rPr>
        <w:t xml:space="preserve"> their drug </w:t>
      </w:r>
      <w:r w:rsidRPr="00DD2D90">
        <w:rPr>
          <w:rStyle w:val="StyleUnderline"/>
        </w:rPr>
        <w:t>research</w:t>
      </w:r>
      <w:r w:rsidRPr="00223414">
        <w:rPr>
          <w:sz w:val="16"/>
        </w:rPr>
        <w:t xml:space="preserve"> and development </w:t>
      </w:r>
      <w:r w:rsidRPr="00DD2D90">
        <w:rPr>
          <w:rStyle w:val="StyleUnderline"/>
          <w:highlight w:val="green"/>
        </w:rPr>
        <w:t>on higher-priced, small market “nichebuster” drugs, such as cancer treatments</w:t>
      </w:r>
      <w:r w:rsidRPr="00223414">
        <w:rPr>
          <w:sz w:val="16"/>
        </w:rPr>
        <w:t xml:space="preserve"> (Flynn 2021:4). In this way, </w:t>
      </w:r>
      <w:r w:rsidRPr="00DD2D90">
        <w:rPr>
          <w:rStyle w:val="StyleUnderline"/>
        </w:rPr>
        <w:t xml:space="preserve">the </w:t>
      </w:r>
      <w:r w:rsidRPr="00DD2D90">
        <w:rPr>
          <w:rStyle w:val="StyleUnderline"/>
          <w:highlight w:val="green"/>
        </w:rPr>
        <w:t>corporatization</w:t>
      </w:r>
      <w:r w:rsidRPr="00DD2D90">
        <w:rPr>
          <w:rStyle w:val="StyleUnderline"/>
        </w:rPr>
        <w:t xml:space="preserve"> of biomedicine </w:t>
      </w:r>
      <w:r w:rsidRPr="00DD2D90">
        <w:rPr>
          <w:rStyle w:val="StyleUnderline"/>
          <w:highlight w:val="green"/>
        </w:rPr>
        <w:t>prioritizes</w:t>
      </w:r>
      <w:r w:rsidRPr="00DD2D90">
        <w:rPr>
          <w:rStyle w:val="StyleUnderline"/>
        </w:rPr>
        <w:t xml:space="preserve"> research and interventions for </w:t>
      </w:r>
      <w:r w:rsidRPr="00DD2D90">
        <w:rPr>
          <w:rStyle w:val="StyleUnderline"/>
          <w:highlight w:val="green"/>
        </w:rPr>
        <w:t>more profitable illnesses, while for those “economically neglected disease areas, patients are left to fill in the gaps</w:t>
      </w:r>
      <w:r w:rsidRPr="00223414">
        <w:rPr>
          <w:sz w:val="16"/>
        </w:rPr>
        <w:t xml:space="preserve">” (Foti 2025:3). Through Neglected Tropical Diseases, we see both the benefits of private drug donations as well as the harms of </w:t>
      </w:r>
      <w:r w:rsidRPr="00DD2D90">
        <w:rPr>
          <w:rStyle w:val="StyleUnderline"/>
        </w:rPr>
        <w:t>a profit-driven multinational pharmaceutical industry that mostly prioritizes research and drug development for financial gain</w:t>
      </w:r>
      <w:r w:rsidRPr="00223414">
        <w:rPr>
          <w:sz w:val="16"/>
        </w:rPr>
        <w:t xml:space="preserve">s. Global neoliberal capitalism also impacts health through its effects on environments, including extreme weather events and extreme temperatures (Birn et al. 2017). In a somewhat straightforward example, global warming and increased rainfall have exacerbated the spread of the Aedes mosquito, the vector for dengue fever (Reed and McKerrow 2018:313). Additionally, transnational corporations can negatively affect environmental health, leading to issues like pollution and water contamination that then increase risks for Neglected Tropical Diseases (Flynn 2021:3). Akin to the </w:t>
      </w:r>
      <w:r w:rsidRPr="00DD2D90">
        <w:rPr>
          <w:rStyle w:val="StyleUnderline"/>
        </w:rPr>
        <w:t>WHO’s One Health approach</w:t>
      </w:r>
      <w:r w:rsidRPr="00223414">
        <w:rPr>
          <w:sz w:val="16"/>
        </w:rPr>
        <w:t xml:space="preserve">, social scientific work has </w:t>
      </w:r>
      <w:r w:rsidRPr="00DD2D90">
        <w:rPr>
          <w:rStyle w:val="StyleUnderline"/>
        </w:rPr>
        <w:t>parsed</w:t>
      </w:r>
      <w:r w:rsidRPr="00223414">
        <w:rPr>
          <w:sz w:val="16"/>
        </w:rPr>
        <w:t xml:space="preserve"> </w:t>
      </w:r>
      <w:r w:rsidRPr="00DD2D90">
        <w:rPr>
          <w:rStyle w:val="StyleUnderline"/>
        </w:rPr>
        <w:t>the</w:t>
      </w:r>
      <w:r w:rsidRPr="00223414">
        <w:rPr>
          <w:sz w:val="16"/>
        </w:rPr>
        <w:t xml:space="preserve"> webs of </w:t>
      </w:r>
      <w:r w:rsidRPr="00DD2D90">
        <w:rPr>
          <w:rStyle w:val="StyleUnderline"/>
        </w:rPr>
        <w:t>connections between</w:t>
      </w:r>
      <w:r w:rsidRPr="00223414">
        <w:rPr>
          <w:sz w:val="16"/>
        </w:rPr>
        <w:t xml:space="preserve"> transmission pathways of </w:t>
      </w:r>
      <w:r w:rsidRPr="00DD2D90">
        <w:rPr>
          <w:rStyle w:val="StyleUnderline"/>
        </w:rPr>
        <w:t>NTDs and</w:t>
      </w:r>
      <w:r w:rsidRPr="00223414">
        <w:rPr>
          <w:sz w:val="16"/>
        </w:rPr>
        <w:t xml:space="preserve"> </w:t>
      </w:r>
      <w:r w:rsidRPr="00DD2D90">
        <w:rPr>
          <w:rStyle w:val="StyleUnderline"/>
        </w:rPr>
        <w:t>socioenvironmental variables</w:t>
      </w:r>
      <w:r w:rsidRPr="00223414">
        <w:rPr>
          <w:sz w:val="16"/>
        </w:rPr>
        <w:t xml:space="preserve">, such as political, cultural, and economic processes across local and global scales, as well as time. The simultaneous analysis of social and ecological processes identifies synergistic interactions (Shostak 2023), and further interdisciplinary research can help tailor context-specific interventions for Neglected Tropical Diseases. Neoliberalism within the global health field is also a factor that structures Neglected Tropical Diseases and their interventions (Mantilla 2011:122-23). While the WHO once advocated for primary health care for all people, the rise of private philanthropies such as the Gates Foundation have put forth their own more selective global health agendas through “philanthrocapitalism” (Birn 2014). As discussed in the previous section, </w:t>
      </w:r>
      <w:r w:rsidRPr="00DD2D90">
        <w:rPr>
          <w:rStyle w:val="StyleUnderline"/>
        </w:rPr>
        <w:t>the philanthropic approach often has a narrower disease focus and prioritizes technical solutions, rather than addressing root causes of health or strengthening health systems overall</w:t>
      </w:r>
      <w:r w:rsidRPr="00223414">
        <w:rPr>
          <w:sz w:val="16"/>
        </w:rPr>
        <w:t xml:space="preserve"> (Zhou 2021). On the political level, research has analyzed the links between Neglected Tropical Diseases, conflict, and political terror (Hotez 2017; Palmer et al. 2014). Research has found that nations under conflict or with governments near collapse have the highest prevalence of ten NTDs (Reed and McKerrow 2018:325 citing Hotez 2017). In another study focusing on the incidence of visceral leishmaniasis – a neglected disease transmitted through sandfly vectors – it found that incidence was significantly greater in countries experiencing high conflict-terror (Berry and Berrang-Ford 2016). This was facilitated by the migration of vulnerable populations into overcrowded conditions with increased human-vector interactions. Political terror is often accompanied by social instability and the breakdown of public health systems, becoming an even greater predictor for disease. Such findings demonstrate how instability, war, and conflict affect health and disease (Carlton-Ford and Boop 2010; Harris and White 2019:11-12; Jacobsen et al. 2025:4; Petersen et al. 2026:5). To summarize, </w:t>
      </w:r>
      <w:r w:rsidRPr="00DD2D90">
        <w:rPr>
          <w:rStyle w:val="StyleUnderline"/>
        </w:rPr>
        <w:t>Neglected Tropical Diseases disproportionately impact politically and economically marginalized people due to global economic conditions, including transnational corporations, structural adjustment policies, and</w:t>
      </w:r>
      <w:r w:rsidRPr="00223414">
        <w:rPr>
          <w:sz w:val="16"/>
        </w:rPr>
        <w:t xml:space="preserve"> the vast and uneven negative effects of </w:t>
      </w:r>
      <w:r w:rsidRPr="00DD2D90">
        <w:rPr>
          <w:rStyle w:val="StyleUnderline"/>
        </w:rPr>
        <w:t>capitalism</w:t>
      </w:r>
      <w:r w:rsidRPr="00223414">
        <w:rPr>
          <w:sz w:val="16"/>
        </w:rPr>
        <w:t xml:space="preserve"> on environments. Such arrangements are rooted in colonial dynamics, as the ensuing “</w:t>
      </w:r>
      <w:r w:rsidRPr="00DD2D90">
        <w:rPr>
          <w:rStyle w:val="StyleUnderline"/>
          <w:highlight w:val="green"/>
        </w:rPr>
        <w:t>moral and economic inequalities shore up neglect</w:t>
      </w:r>
      <w:r w:rsidRPr="00223414">
        <w:rPr>
          <w:sz w:val="16"/>
        </w:rPr>
        <w:t xml:space="preserve">” (Shahvisi 2019:233; see also Oliveira 2018). In addition, </w:t>
      </w:r>
      <w:r w:rsidRPr="00DD2D90">
        <w:rPr>
          <w:rStyle w:val="StyleUnderline"/>
        </w:rPr>
        <w:t>global capitalism has negatively affected public health care</w:t>
      </w:r>
      <w:r w:rsidRPr="00223414">
        <w:rPr>
          <w:sz w:val="16"/>
        </w:rPr>
        <w:t xml:space="preserve"> systems and health care </w:t>
      </w:r>
      <w:r w:rsidRPr="00DD2D90">
        <w:rPr>
          <w:rStyle w:val="StyleUnderline"/>
        </w:rPr>
        <w:t>access</w:t>
      </w:r>
      <w:r w:rsidRPr="00223414">
        <w:rPr>
          <w:sz w:val="16"/>
        </w:rPr>
        <w:t xml:space="preserve">, </w:t>
      </w:r>
      <w:r w:rsidRPr="00DD2D90">
        <w:rPr>
          <w:rStyle w:val="StyleUnderline"/>
        </w:rPr>
        <w:t>NTD programs and funding, as well as global clinical research and investment</w:t>
      </w:r>
      <w:r w:rsidRPr="00223414">
        <w:rPr>
          <w:sz w:val="16"/>
        </w:rPr>
        <w:t xml:space="preserve"> in interventions. On the political level, conflict, weak governments, and displacement can exacerbate neglected diseases and human suffering. In the next section, we focus on how Neglected Disease interventions unfold in different country settings and communities, illuminating core tensions and opportunities regarding how global health work is done and who gets to decide this is so. V. Tensions in Global Health Work and the Role of Community Engagement</w:t>
      </w:r>
    </w:p>
    <w:p w14:paraId="21E7144D" w14:textId="77777777" w:rsidR="00FA1D49" w:rsidRPr="00223414" w:rsidRDefault="00FA1D49">
      <w:pPr>
        <w:rPr>
          <w:rFonts w:eastAsiaTheme="majorEastAsia" w:cstheme="majorBidi"/>
          <w:b/>
          <w:iCs/>
          <w:sz w:val="16"/>
        </w:rPr>
      </w:pPr>
      <w:r w:rsidRPr="00223414">
        <w:rPr>
          <w:sz w:val="16"/>
        </w:rPr>
        <w:br w:type="page"/>
      </w:r>
    </w:p>
    <w:p w14:paraId="00BE508C" w14:textId="7863A613" w:rsidR="00914D4F" w:rsidRPr="00223414" w:rsidRDefault="00914D4F" w:rsidP="00914D4F">
      <w:pPr>
        <w:pStyle w:val="Heading4"/>
        <w:rPr>
          <w:szCs w:val="26"/>
        </w:rPr>
      </w:pPr>
      <w:r w:rsidRPr="00223414">
        <w:rPr>
          <w:szCs w:val="26"/>
        </w:rPr>
        <w:t>Universal healthcare is key to solving NTDs</w:t>
      </w:r>
    </w:p>
    <w:p w14:paraId="2024AB3B" w14:textId="77777777" w:rsidR="00914D4F" w:rsidRPr="00DD2D90" w:rsidRDefault="00914D4F" w:rsidP="00914D4F">
      <w:r w:rsidRPr="00223414">
        <w:rPr>
          <w:b/>
          <w:bCs/>
          <w:sz w:val="26"/>
          <w:szCs w:val="26"/>
        </w:rPr>
        <w:t>Engels and Zhou 26</w:t>
      </w:r>
      <w:r w:rsidRPr="00DD2D90">
        <w:t xml:space="preserve"> [Dirk Engels, Swedish doctor with a PhD in parasitology and former director of the WHO Department of Control of Neglected Tropical Diseases, and Xiao-Nong Zhou, researcher at the National Key Laboratory of Intelligent Tracking and Forecasting for Infectious Diseases and the WHO Centre for Tropical Diseases as well as an educator at the School of Global Health at the Chinese Center for Tropical Diseases Research, 2026, "Confronting neglected tropical diseases: a moral and strategic imperative for global equity", PubMed Central (PMC), https://pmc.ncbi.nlm.nih.gov/articles/PMC12857154/]/Kankee</w:t>
      </w:r>
    </w:p>
    <w:p w14:paraId="39C9BBE5" w14:textId="77777777" w:rsidR="00914D4F" w:rsidRPr="00223414" w:rsidRDefault="00914D4F" w:rsidP="00914D4F">
      <w:pPr>
        <w:rPr>
          <w:sz w:val="16"/>
        </w:rPr>
      </w:pPr>
      <w:r w:rsidRPr="00223414">
        <w:rPr>
          <w:sz w:val="16"/>
        </w:rPr>
        <w:t xml:space="preserve">Abstract This editorial, published on the occasion of the World Neglected Tropical Diseases Day in 2026, highlights the persistent and pressing issue of neglected tropical diseases (NTDs) and their impact on global health equity. It argues that addressing NTDs is not only a moral imperative but also a strategic necessity for achieving global health security and advancing the Sustainable Development Goals (SDGs). The editorial emphasizes the need for integrating NTD control strategies with the SDGs to leverage synergies and maximize impact. For instance, improving water and sanitation (SDG 6) directly contributes to the prevention of schistosomiasis. Additionally, the Pandemic Agreement, co-signed by member countries of World Health Organization in 2025, provides an opportunity to mainstream NTDs into health security planning, ensuring resilience against future outbreaks. The editorial concludes by calling for sustained action and increased investment in research and development, One Health approaches, and policy coherence to embed NTDs in pandemic preparedness and universal health coverage agendas. </w:t>
      </w:r>
      <w:r w:rsidRPr="00DD2D90">
        <w:rPr>
          <w:rStyle w:val="StyleUnderline"/>
          <w:highlight w:val="green"/>
        </w:rPr>
        <w:t xml:space="preserve">Achieving a future free from </w:t>
      </w:r>
      <w:r w:rsidRPr="00DD2D90">
        <w:rPr>
          <w:rStyle w:val="StyleUnderline"/>
        </w:rPr>
        <w:t xml:space="preserve">NTDs </w:t>
      </w:r>
      <w:r w:rsidRPr="00DD2D90">
        <w:rPr>
          <w:rStyle w:val="StyleUnderline"/>
          <w:highlight w:val="green"/>
        </w:rPr>
        <w:t>is</w:t>
      </w:r>
      <w:r w:rsidRPr="00DD2D90">
        <w:rPr>
          <w:rStyle w:val="StyleUnderline"/>
        </w:rPr>
        <w:t xml:space="preserve"> possible</w:t>
      </w:r>
      <w:r w:rsidRPr="00223414">
        <w:rPr>
          <w:sz w:val="16"/>
        </w:rPr>
        <w:t xml:space="preserve">, </w:t>
      </w:r>
      <w:r w:rsidRPr="00DD2D90">
        <w:rPr>
          <w:rStyle w:val="StyleUnderline"/>
        </w:rPr>
        <w:t>but</w:t>
      </w:r>
      <w:r w:rsidRPr="00223414">
        <w:rPr>
          <w:sz w:val="16"/>
        </w:rPr>
        <w:t xml:space="preserve"> it </w:t>
      </w:r>
      <w:r w:rsidRPr="00DD2D90">
        <w:rPr>
          <w:rStyle w:val="StyleUnderline"/>
          <w:highlight w:val="green"/>
        </w:rPr>
        <w:t>requires</w:t>
      </w:r>
      <w:r w:rsidRPr="00223414">
        <w:rPr>
          <w:sz w:val="16"/>
        </w:rPr>
        <w:t xml:space="preserve"> unwavering commitment, collaboration, and </w:t>
      </w:r>
      <w:r w:rsidRPr="00DD2D90">
        <w:rPr>
          <w:rStyle w:val="StyleUnderline"/>
          <w:highlight w:val="green"/>
        </w:rPr>
        <w:t>equitable resource allocation</w:t>
      </w:r>
      <w:r w:rsidRPr="00223414">
        <w:rPr>
          <w:sz w:val="16"/>
        </w:rPr>
        <w:t>. Introduction Neglected tropical diseases (</w:t>
      </w:r>
      <w:r w:rsidRPr="00DD2D90">
        <w:rPr>
          <w:rStyle w:val="StyleUnderline"/>
        </w:rPr>
        <w:t>NTDs</w:t>
      </w:r>
      <w:r w:rsidRPr="00223414">
        <w:rPr>
          <w:sz w:val="16"/>
        </w:rPr>
        <w:t xml:space="preserve">) </w:t>
      </w:r>
      <w:r w:rsidRPr="00DD2D90">
        <w:rPr>
          <w:rStyle w:val="StyleUnderline"/>
        </w:rPr>
        <w:t xml:space="preserve">persist as a </w:t>
      </w:r>
      <w:r w:rsidRPr="00DD2D90">
        <w:rPr>
          <w:rStyle w:val="Emphasis"/>
        </w:rPr>
        <w:t>glaring inequity</w:t>
      </w:r>
      <w:r w:rsidRPr="00DD2D90">
        <w:rPr>
          <w:rStyle w:val="StyleUnderline"/>
        </w:rPr>
        <w:t xml:space="preserve"> in global health,</w:t>
      </w:r>
      <w:r w:rsidRPr="00223414">
        <w:rPr>
          <w:sz w:val="16"/>
        </w:rPr>
        <w:t xml:space="preserve"> </w:t>
      </w:r>
      <w:r w:rsidRPr="00DD2D90">
        <w:rPr>
          <w:rStyle w:val="StyleUnderline"/>
        </w:rPr>
        <w:t xml:space="preserve">afflicting over </w:t>
      </w:r>
      <w:r w:rsidRPr="00DD2D90">
        <w:rPr>
          <w:rStyle w:val="Emphasis"/>
        </w:rPr>
        <w:t>1.7 billion</w:t>
      </w:r>
      <w:r w:rsidRPr="00DD2D90">
        <w:rPr>
          <w:rStyle w:val="StyleUnderline"/>
        </w:rPr>
        <w:t xml:space="preserve"> people annually in impoverished tropical and subtropical</w:t>
      </w:r>
      <w:r w:rsidRPr="00223414">
        <w:rPr>
          <w:sz w:val="16"/>
        </w:rPr>
        <w:t xml:space="preserve"> </w:t>
      </w:r>
      <w:r w:rsidRPr="00DD2D90">
        <w:rPr>
          <w:rStyle w:val="StyleUnderline"/>
        </w:rPr>
        <w:t>regions</w:t>
      </w:r>
      <w:r w:rsidRPr="00223414">
        <w:rPr>
          <w:sz w:val="16"/>
        </w:rPr>
        <w:t xml:space="preserve">. These </w:t>
      </w:r>
      <w:r w:rsidRPr="00DD2D90">
        <w:rPr>
          <w:rStyle w:val="StyleUnderline"/>
        </w:rPr>
        <w:t>diseases</w:t>
      </w:r>
      <w:r w:rsidRPr="00223414">
        <w:rPr>
          <w:sz w:val="16"/>
        </w:rPr>
        <w:t xml:space="preserve">, encompassing 21 World Health Organization (WHO)-classified infections [1, 2], </w:t>
      </w:r>
      <w:r w:rsidRPr="00DD2D90">
        <w:rPr>
          <w:rStyle w:val="StyleUnderline"/>
        </w:rPr>
        <w:t xml:space="preserve">remain </w:t>
      </w:r>
      <w:r w:rsidRPr="00DD2D90">
        <w:rPr>
          <w:rStyle w:val="Emphasis"/>
        </w:rPr>
        <w:t>underprioritized</w:t>
      </w:r>
      <w:r w:rsidRPr="00223414">
        <w:rPr>
          <w:sz w:val="16"/>
        </w:rPr>
        <w:t xml:space="preserve"> </w:t>
      </w:r>
      <w:r w:rsidRPr="00DD2D90">
        <w:rPr>
          <w:rStyle w:val="StyleUnderline"/>
        </w:rPr>
        <w:t xml:space="preserve">despite their </w:t>
      </w:r>
      <w:r w:rsidRPr="00DD2D90">
        <w:rPr>
          <w:rStyle w:val="Emphasis"/>
        </w:rPr>
        <w:t>devastating</w:t>
      </w:r>
      <w:r w:rsidRPr="00DD2D90">
        <w:rPr>
          <w:rStyle w:val="StyleUnderline"/>
        </w:rPr>
        <w:t xml:space="preserve"> health and socioeconomic</w:t>
      </w:r>
      <w:r w:rsidRPr="00223414">
        <w:rPr>
          <w:sz w:val="16"/>
        </w:rPr>
        <w:t xml:space="preserve"> </w:t>
      </w:r>
      <w:r w:rsidRPr="00DD2D90">
        <w:rPr>
          <w:rStyle w:val="StyleUnderline"/>
        </w:rPr>
        <w:t>impacts</w:t>
      </w:r>
      <w:r w:rsidRPr="00223414">
        <w:rPr>
          <w:sz w:val="16"/>
        </w:rPr>
        <w:t xml:space="preserve">. This editorial synthesizes the current landscape of NTDs, highlighting their intersection with poverty, their evolving epidemiology, and their critical role in global health security frameworks [3]. As we mark World Neglected Tropical Diseases Day in 2026, renewed commitment is needed to align NTD control with the second WHO Roadmap for NTD (2021–2030) and emergent Pandemic Agreement, ensuring these diseases are no longer sidelined in the pursuit of universal health coverage (UHC) and sustainable development [1, 4]. Defining the challenge NTDs are a heterogeneous group of infections unified by their predilection for marginalized populations. Their persistence is fueled by poverty-related factors, including inadequate sanitation, limited healthcare access, and environmental conditions that facilitate transmission [5]. Unlike high-mortality epidemics, NTDs often cause chronic disability, such as blindness from trachoma, limb disfigurement from leprosy, or lymphatic filariasis-induced elephantiasis, perpetuating cycles of lost productivity and social exclusion. The WHO list spans protozoan (e.g., Chagas disease), helminthic (e.g., schistosomiasis), bacterial (e.g., Buruli ulcer), viral (e.g., dengue), and ectoparasitic (e.g., scabies) infections. Notably, several NTDs, including dengue and other arbovirus diseases and rabies, exhibit epidemic/pandemic potential, bridging the gap between neglected diseases and global health security agendas [6]. Epidemiological and socioeconomic burden Geographically, NTDs cluster in 149 countries, with sub-Saharan Africa, South Asia, and Latin America bearing the highest burdens. </w:t>
      </w:r>
      <w:r w:rsidRPr="00DD2D90">
        <w:rPr>
          <w:rStyle w:val="StyleUnderline"/>
        </w:rPr>
        <w:t>Vulnerable groups</w:t>
      </w:r>
      <w:r w:rsidRPr="00223414">
        <w:rPr>
          <w:sz w:val="16"/>
        </w:rPr>
        <w:t xml:space="preserve">, including rural populations, urban slum dwellers, and indigenous communities, </w:t>
      </w:r>
      <w:r w:rsidRPr="00DD2D90">
        <w:rPr>
          <w:rStyle w:val="StyleUnderline"/>
        </w:rPr>
        <w:t>face compounded risks due to healthcare access barriers</w:t>
      </w:r>
      <w:r w:rsidRPr="00223414">
        <w:rPr>
          <w:sz w:val="16"/>
        </w:rPr>
        <w:t xml:space="preserve">. Gender disparities further exacerbate impacts, women and children are disproportionately affected, exemplified by girls contracting schistosomiasis during water-fetching chores. The socioeconomic toll is far-reaching: </w:t>
      </w:r>
      <w:r w:rsidRPr="00DD2D90">
        <w:rPr>
          <w:rStyle w:val="StyleUnderline"/>
          <w:highlight w:val="green"/>
        </w:rPr>
        <w:t xml:space="preserve">NTDs cost afflicted households </w:t>
      </w:r>
      <w:r w:rsidRPr="00DD2D90">
        <w:rPr>
          <w:rStyle w:val="StyleUnderline"/>
        </w:rPr>
        <w:t>an estimated 20–</w:t>
      </w:r>
      <w:r w:rsidRPr="00DD2D90">
        <w:rPr>
          <w:rStyle w:val="Emphasis"/>
          <w:highlight w:val="green"/>
        </w:rPr>
        <w:t>30%</w:t>
      </w:r>
      <w:r w:rsidRPr="00DD2D90">
        <w:rPr>
          <w:rStyle w:val="StyleUnderline"/>
          <w:highlight w:val="green"/>
        </w:rPr>
        <w:t xml:space="preserve"> of annual income</w:t>
      </w:r>
      <w:r w:rsidRPr="00223414">
        <w:rPr>
          <w:sz w:val="16"/>
        </w:rPr>
        <w:t xml:space="preserve">, </w:t>
      </w:r>
      <w:r w:rsidRPr="00DD2D90">
        <w:rPr>
          <w:rStyle w:val="Emphasis"/>
          <w:highlight w:val="green"/>
        </w:rPr>
        <w:t>trapping</w:t>
      </w:r>
      <w:r w:rsidRPr="00DD2D90">
        <w:rPr>
          <w:rStyle w:val="StyleUnderline"/>
          <w:highlight w:val="green"/>
        </w:rPr>
        <w:t xml:space="preserve"> generations in poverty</w:t>
      </w:r>
      <w:r w:rsidRPr="00DD2D90">
        <w:rPr>
          <w:rStyle w:val="StyleUnderline"/>
        </w:rPr>
        <w:t xml:space="preserve">. </w:t>
      </w:r>
      <w:r w:rsidRPr="00DD2D90">
        <w:rPr>
          <w:rStyle w:val="StyleUnderline"/>
          <w:highlight w:val="green"/>
        </w:rPr>
        <w:t>Stigma</w:t>
      </w:r>
      <w:r w:rsidRPr="00DD2D90">
        <w:rPr>
          <w:rStyle w:val="StyleUnderline"/>
        </w:rPr>
        <w:t xml:space="preserve"> associated with disfigurement or disability further </w:t>
      </w:r>
      <w:r w:rsidRPr="00DD2D90">
        <w:rPr>
          <w:rStyle w:val="StyleUnderline"/>
          <w:highlight w:val="green"/>
        </w:rPr>
        <w:t>isolates patients, limiting</w:t>
      </w:r>
      <w:r w:rsidRPr="00DD2D90">
        <w:rPr>
          <w:rStyle w:val="StyleUnderline"/>
        </w:rPr>
        <w:t xml:space="preserve"> education and </w:t>
      </w:r>
      <w:r w:rsidRPr="00DD2D90">
        <w:rPr>
          <w:rStyle w:val="StyleUnderline"/>
          <w:highlight w:val="green"/>
        </w:rPr>
        <w:t>employment opportunities</w:t>
      </w:r>
      <w:r w:rsidRPr="00223414">
        <w:rPr>
          <w:sz w:val="16"/>
        </w:rPr>
        <w:t xml:space="preserve"> [6]. Integration into global health frameworks The Ending the neglect to attain the Sustainable Development Goals: a road map for neglected tropical diseases 2021–2030, issued by WHO, marks a paradigm shift, targeting the elimination of at least one NTD in 100 countries and a 90% reduction in disability-adjusted life years (DALYs) [1]. Key strategies include mass drug administration (e.g., for lymphatic filariasis), vector control (e.g., insecticide-treated nets for Chagas disease), and WASH (Water, Sanitation, and Hygiene) interventions. Crucially, the roadmap emphasizes One Health approaches for zoonotic NTDs like rabies, acknowledging the interplay of human, animal, and environmental health [4]. Simultaneously, the Pandemic Agreement, issued by WHO at the 2025 World Health Assembly and agreed by all member countries, presents an opportunity to mainstream NTDs into health security planning. Strengthening surveillance for zoonotic NTDs (e.g., leishmaniasis), ensuring equitable access to diagnostics, and safeguarding NTD programmes from resource diversion during pandemics are critical steps. The COVID-19 pandemic underscored how neglecting endemic diseases during crises widens health disparities, it is a lesson that must inform future policies [7]. Persisting barriers and emerging opportunities Despite progress in the global NTD programmes, formidable challenges endure. Funding remains precarious, with many programmes reliant on volatile donor support, as the year 2025 has demonstrated. Climate change is expanding vector habitats of Aedes mosquitoes which are carriers of dengue and other arboviruses, that now thrive in previously unaffected regions [8]. Drug resistance looms as a threat, particularly for leishmaniasis [9]. Yet, innovative solutions are emerging. Integrating NTD control with the Sustainable Development Goals (SDGs) leverages synergies, for instance, schistosomiasis prevention aligns with SDG 6 (clean water). Digital tools, such as AI-driven disease mapping and mobile health platforms, enhance surveillance in resource-limited settings. Public-private partnerships, exemplified by the important medicine donations that have allowed countries to bring preventive treatment activities to scale, have proven to be a sustainable global intervention resulting in NTD eliminations in 58 countries, that have been able to achieve elimination of 84 NTDs at the national level up to October 2025 [10]. Conclusion: a call for sustained action NTDs are not intractable, they are diseases of neglect, amenable to proven interventions. In order to consolidate current achievements and further advance them, </w:t>
      </w:r>
      <w:r w:rsidRPr="00DD2D90">
        <w:rPr>
          <w:rStyle w:val="StyleUnderline"/>
          <w:highlight w:val="green"/>
        </w:rPr>
        <w:t>the scientific community must advocate for</w:t>
      </w:r>
      <w:r w:rsidRPr="00223414">
        <w:rPr>
          <w:sz w:val="16"/>
        </w:rPr>
        <w:t xml:space="preserve"> three priorities: (i) increased investment in research and development for novel diagnostics, treatments, and vaccines, coupled with </w:t>
      </w:r>
      <w:r w:rsidRPr="00DD2D90">
        <w:rPr>
          <w:rStyle w:val="StyleUnderline"/>
          <w:highlight w:val="green"/>
        </w:rPr>
        <w:t>health system strengthening</w:t>
      </w:r>
      <w:r w:rsidRPr="00223414">
        <w:rPr>
          <w:sz w:val="16"/>
        </w:rPr>
        <w:t xml:space="preserve">; (ii) One Health integration to address zoonotic spillovers and climate-driven transmission shifts; and (iii) policy coherence to embed NTDs in pandemic preparedness </w:t>
      </w:r>
      <w:r w:rsidRPr="00DD2D90">
        <w:rPr>
          <w:rStyle w:val="StyleUnderline"/>
          <w:highlight w:val="green"/>
        </w:rPr>
        <w:t>and UHC</w:t>
      </w:r>
      <w:r w:rsidRPr="00223414">
        <w:rPr>
          <w:sz w:val="16"/>
        </w:rPr>
        <w:t xml:space="preserve"> agendas. As we commemorate World Neglected Tropical Diseases Day, let us reaffirm that </w:t>
      </w:r>
      <w:r w:rsidRPr="00DD2D90">
        <w:rPr>
          <w:rStyle w:val="StyleUnderline"/>
          <w:highlight w:val="green"/>
        </w:rPr>
        <w:t xml:space="preserve">eliminating these diseases is not merely a </w:t>
      </w:r>
      <w:r w:rsidRPr="00DD2D90">
        <w:rPr>
          <w:rStyle w:val="Emphasis"/>
          <w:highlight w:val="green"/>
        </w:rPr>
        <w:t>moral obligation</w:t>
      </w:r>
      <w:r w:rsidRPr="00DD2D90">
        <w:rPr>
          <w:rStyle w:val="StyleUnderline"/>
          <w:highlight w:val="green"/>
        </w:rPr>
        <w:t xml:space="preserve"> but a </w:t>
      </w:r>
      <w:r w:rsidRPr="00DD2D90">
        <w:rPr>
          <w:rStyle w:val="Emphasis"/>
          <w:highlight w:val="green"/>
        </w:rPr>
        <w:t>strategic imperative</w:t>
      </w:r>
      <w:r w:rsidRPr="00DD2D90">
        <w:rPr>
          <w:rStyle w:val="StyleUnderline"/>
          <w:highlight w:val="green"/>
        </w:rPr>
        <w:t xml:space="preserve"> for global health </w:t>
      </w:r>
      <w:r w:rsidRPr="00DD2D90">
        <w:rPr>
          <w:rStyle w:val="StyleUnderline"/>
        </w:rPr>
        <w:t>security</w:t>
      </w:r>
      <w:r w:rsidRPr="00223414">
        <w:rPr>
          <w:sz w:val="16"/>
        </w:rPr>
        <w:t xml:space="preserve">. </w:t>
      </w:r>
      <w:r w:rsidRPr="00DD2D90">
        <w:rPr>
          <w:rStyle w:val="StyleUnderline"/>
        </w:rPr>
        <w:t>The</w:t>
      </w:r>
      <w:r w:rsidRPr="00223414">
        <w:rPr>
          <w:sz w:val="16"/>
        </w:rPr>
        <w:t xml:space="preserve"> </w:t>
      </w:r>
      <w:r w:rsidRPr="00DD2D90">
        <w:rPr>
          <w:rStyle w:val="StyleUnderline"/>
          <w:highlight w:val="green"/>
        </w:rPr>
        <w:t>tools exist while</w:t>
      </w:r>
      <w:r w:rsidRPr="00DD2D90">
        <w:rPr>
          <w:rStyle w:val="StyleUnderline"/>
        </w:rPr>
        <w:t xml:space="preserve"> the </w:t>
      </w:r>
      <w:r w:rsidRPr="00DD2D90">
        <w:rPr>
          <w:rStyle w:val="StyleUnderline"/>
          <w:highlight w:val="green"/>
        </w:rPr>
        <w:t>missing ingredients</w:t>
      </w:r>
      <w:r w:rsidRPr="00DD2D90">
        <w:rPr>
          <w:rStyle w:val="StyleUnderline"/>
        </w:rPr>
        <w:t xml:space="preserve"> are political will and equitable resource allocation</w:t>
      </w:r>
      <w:r w:rsidRPr="00223414">
        <w:rPr>
          <w:sz w:val="16"/>
        </w:rPr>
        <w:t>. A future free from NTDs is achievable, but only through unwavering, collaborative action.</w:t>
      </w:r>
    </w:p>
    <w:p w14:paraId="314C5D85" w14:textId="77777777" w:rsidR="00FA1D49" w:rsidRPr="00223414" w:rsidRDefault="00FA1D49">
      <w:pPr>
        <w:rPr>
          <w:rFonts w:eastAsiaTheme="majorEastAsia" w:cstheme="majorBidi"/>
          <w:b/>
          <w:iCs/>
          <w:sz w:val="16"/>
        </w:rPr>
      </w:pPr>
      <w:r w:rsidRPr="00223414">
        <w:rPr>
          <w:sz w:val="16"/>
        </w:rPr>
        <w:br w:type="page"/>
      </w:r>
    </w:p>
    <w:p w14:paraId="18D411E9" w14:textId="390288F1" w:rsidR="003D2F14" w:rsidRPr="00223414" w:rsidRDefault="003D2F14" w:rsidP="003D2F14">
      <w:pPr>
        <w:pStyle w:val="Heading4"/>
        <w:rPr>
          <w:szCs w:val="26"/>
        </w:rPr>
      </w:pPr>
      <w:r w:rsidRPr="00223414">
        <w:rPr>
          <w:szCs w:val="26"/>
        </w:rPr>
        <w:t>African NTDs are in crisis due to aid cuts – states must reject donor reliance and use the NHS to solve NTDs themselves</w:t>
      </w:r>
    </w:p>
    <w:p w14:paraId="1ABFC44E" w14:textId="77777777" w:rsidR="003D2F14" w:rsidRPr="00DD2D90" w:rsidRDefault="003D2F14" w:rsidP="003D2F14">
      <w:r w:rsidRPr="00223414">
        <w:rPr>
          <w:b/>
          <w:bCs/>
          <w:sz w:val="26"/>
          <w:szCs w:val="26"/>
        </w:rPr>
        <w:t>Shawa et al. 25</w:t>
      </w:r>
      <w:r w:rsidRPr="00DD2D90">
        <w:t xml:space="preserve"> [Tamara Sheila Shawa, Diwe Ekweremadu, Irenee Umulisa, Tessy M. Karimba, Julio Rokotonirina, Melanie Renshaw &amp; Francisca Mutapi, 05-21-2025, “Breaking the cycle of neglected diseases,” Nature Africa, https://www.nature.com/articles/d44148-025-00218-x]/Kankee</w:t>
      </w:r>
    </w:p>
    <w:p w14:paraId="47F3EF1F" w14:textId="7429637B" w:rsidR="00FA1D49" w:rsidRPr="00223414" w:rsidRDefault="003D2F14">
      <w:pPr>
        <w:rPr>
          <w:sz w:val="16"/>
        </w:rPr>
      </w:pPr>
      <w:r w:rsidRPr="00223414">
        <w:rPr>
          <w:sz w:val="16"/>
        </w:rPr>
        <w:t xml:space="preserve"> Reversal of progress </w:t>
      </w:r>
      <w:r w:rsidRPr="00DD2D90">
        <w:rPr>
          <w:rStyle w:val="StyleUnderline"/>
          <w:highlight w:val="green"/>
        </w:rPr>
        <w:t>Cuts in US</w:t>
      </w:r>
      <w:r w:rsidRPr="00DD2D90">
        <w:rPr>
          <w:rStyle w:val="StyleUnderline"/>
        </w:rPr>
        <w:t xml:space="preserve"> overseas</w:t>
      </w:r>
      <w:r w:rsidRPr="00223414">
        <w:rPr>
          <w:sz w:val="16"/>
        </w:rPr>
        <w:t xml:space="preserve"> </w:t>
      </w:r>
      <w:r w:rsidRPr="00DD2D90">
        <w:rPr>
          <w:rStyle w:val="StyleUnderline"/>
          <w:highlight w:val="green"/>
        </w:rPr>
        <w:t>aid</w:t>
      </w:r>
      <w:r w:rsidRPr="00223414">
        <w:rPr>
          <w:sz w:val="16"/>
        </w:rPr>
        <w:t xml:space="preserve">, </w:t>
      </w:r>
      <w:r w:rsidRPr="00DD2D90">
        <w:rPr>
          <w:rStyle w:val="StyleUnderline"/>
          <w:highlight w:val="green"/>
        </w:rPr>
        <w:t>following</w:t>
      </w:r>
      <w:r w:rsidRPr="00223414">
        <w:rPr>
          <w:sz w:val="16"/>
        </w:rPr>
        <w:t xml:space="preserve"> the earlier </w:t>
      </w:r>
      <w:r w:rsidRPr="00DD2D90">
        <w:rPr>
          <w:rStyle w:val="StyleUnderline"/>
          <w:highlight w:val="green"/>
        </w:rPr>
        <w:t>termination of the UK</w:t>
      </w:r>
      <w:r w:rsidRPr="00DD2D90">
        <w:rPr>
          <w:rStyle w:val="StyleUnderline"/>
        </w:rPr>
        <w:t xml:space="preserve">’s ASCEND </w:t>
      </w:r>
      <w:r w:rsidRPr="00DD2D90">
        <w:rPr>
          <w:rStyle w:val="StyleUnderline"/>
          <w:highlight w:val="green"/>
        </w:rPr>
        <w:t>programme</w:t>
      </w:r>
      <w:r w:rsidRPr="00DD2D90">
        <w:rPr>
          <w:rStyle w:val="StyleUnderline"/>
        </w:rPr>
        <w:t xml:space="preserve"> in 2021</w:t>
      </w:r>
      <w:r w:rsidRPr="00223414">
        <w:rPr>
          <w:sz w:val="16"/>
        </w:rPr>
        <w:t xml:space="preserve">, </w:t>
      </w:r>
      <w:r w:rsidRPr="00DD2D90">
        <w:rPr>
          <w:rStyle w:val="StyleUnderline"/>
          <w:highlight w:val="green"/>
        </w:rPr>
        <w:t>are</w:t>
      </w:r>
      <w:r w:rsidRPr="00223414">
        <w:rPr>
          <w:sz w:val="16"/>
        </w:rPr>
        <w:t xml:space="preserve"> more than budgetary adjustments. They are </w:t>
      </w:r>
      <w:r w:rsidRPr="00DD2D90">
        <w:rPr>
          <w:rStyle w:val="Emphasis"/>
          <w:highlight w:val="green"/>
        </w:rPr>
        <w:t>a warning bell</w:t>
      </w:r>
      <w:r w:rsidRPr="00223414">
        <w:rPr>
          <w:sz w:val="16"/>
        </w:rPr>
        <w:t xml:space="preserve">. </w:t>
      </w:r>
      <w:r w:rsidRPr="00DD2D90">
        <w:rPr>
          <w:rStyle w:val="StyleUnderline"/>
        </w:rPr>
        <w:t>Without</w:t>
      </w:r>
      <w:r w:rsidRPr="00223414">
        <w:rPr>
          <w:sz w:val="16"/>
        </w:rPr>
        <w:t xml:space="preserve"> a decisive pivot toward </w:t>
      </w:r>
      <w:r w:rsidRPr="00DD2D90">
        <w:rPr>
          <w:rStyle w:val="StyleUnderline"/>
        </w:rPr>
        <w:t xml:space="preserve">domestic financing, </w:t>
      </w:r>
      <w:r w:rsidRPr="00DD2D90">
        <w:rPr>
          <w:rStyle w:val="StyleUnderline"/>
          <w:highlight w:val="green"/>
        </w:rPr>
        <w:t xml:space="preserve">Africa risks reversing </w:t>
      </w:r>
      <w:r w:rsidRPr="00DD2D90">
        <w:rPr>
          <w:rStyle w:val="Emphasis"/>
          <w:highlight w:val="green"/>
        </w:rPr>
        <w:t>decades</w:t>
      </w:r>
      <w:r w:rsidRPr="00DD2D90">
        <w:rPr>
          <w:rStyle w:val="StyleUnderline"/>
          <w:highlight w:val="green"/>
        </w:rPr>
        <w:t xml:space="preserve"> of hard-won progress against NTDs</w:t>
      </w:r>
      <w:r w:rsidRPr="00223414">
        <w:rPr>
          <w:sz w:val="16"/>
        </w:rPr>
        <w:t>. Our recent analysis, covering 55 member states, commissioned by the African Union, finds 28 AU member states reported having functional NTD programmes, with only ten countries (36%) receiving some local government funding. Of these, Tunisia is the only country with an NTD control programme fully funded from domestic resources. Most of the countries (six) commitless than 10% of domestic health funding to NTDs. The remaining 18 countries (</w:t>
      </w:r>
      <w:r w:rsidRPr="00DD2D90">
        <w:rPr>
          <w:rStyle w:val="StyleUnderline"/>
          <w:highlight w:val="green"/>
        </w:rPr>
        <w:t>64%</w:t>
      </w:r>
      <w:r w:rsidRPr="00DD2D90">
        <w:rPr>
          <w:rStyle w:val="StyleUnderline"/>
        </w:rPr>
        <w:t xml:space="preserve">) </w:t>
      </w:r>
      <w:r w:rsidRPr="00DD2D90">
        <w:rPr>
          <w:rStyle w:val="StyleUnderline"/>
          <w:highlight w:val="green"/>
        </w:rPr>
        <w:t>rely heavily on external</w:t>
      </w:r>
      <w:r w:rsidRPr="00223414">
        <w:rPr>
          <w:sz w:val="16"/>
        </w:rPr>
        <w:t xml:space="preserve"> </w:t>
      </w:r>
      <w:r w:rsidRPr="00DD2D90">
        <w:rPr>
          <w:rStyle w:val="StyleUnderline"/>
          <w:highlight w:val="green"/>
        </w:rPr>
        <w:t>donors</w:t>
      </w:r>
      <w:r w:rsidRPr="00223414">
        <w:rPr>
          <w:sz w:val="16"/>
        </w:rPr>
        <w:t xml:space="preserve">. Already </w:t>
      </w:r>
      <w:r w:rsidRPr="00DD2D90">
        <w:rPr>
          <w:rStyle w:val="StyleUnderline"/>
          <w:highlight w:val="green"/>
        </w:rPr>
        <w:t>funding cuts</w:t>
      </w:r>
      <w:r w:rsidRPr="00DD2D90">
        <w:rPr>
          <w:rStyle w:val="StyleUnderline"/>
        </w:rPr>
        <w:t xml:space="preserve"> </w:t>
      </w:r>
      <w:r w:rsidRPr="00DD2D90">
        <w:rPr>
          <w:rStyle w:val="StyleUnderline"/>
          <w:highlight w:val="green"/>
        </w:rPr>
        <w:t>have led to staff layoffs</w:t>
      </w:r>
      <w:r w:rsidRPr="00DD2D90">
        <w:rPr>
          <w:rStyle w:val="StyleUnderline"/>
        </w:rPr>
        <w:t xml:space="preserve">, </w:t>
      </w:r>
      <w:r w:rsidRPr="00DD2D90">
        <w:rPr>
          <w:rStyle w:val="StyleUnderline"/>
          <w:highlight w:val="green"/>
        </w:rPr>
        <w:t>and the suspension of drug distribution campaigns</w:t>
      </w:r>
      <w:r w:rsidRPr="00DD2D90">
        <w:rPr>
          <w:rStyle w:val="StyleUnderline"/>
        </w:rPr>
        <w:t xml:space="preserve">, </w:t>
      </w:r>
      <w:r w:rsidRPr="00DD2D90">
        <w:rPr>
          <w:rStyle w:val="StyleUnderline"/>
          <w:highlight w:val="green"/>
        </w:rPr>
        <w:t>impacting</w:t>
      </w:r>
      <w:r w:rsidRPr="00DD2D90">
        <w:rPr>
          <w:rStyle w:val="StyleUnderline"/>
        </w:rPr>
        <w:t xml:space="preserve"> more than </w:t>
      </w:r>
      <w:r w:rsidRPr="00DD2D90">
        <w:rPr>
          <w:rStyle w:val="Emphasis"/>
          <w:highlight w:val="green"/>
        </w:rPr>
        <w:t>142 million</w:t>
      </w:r>
      <w:r w:rsidRPr="00DD2D90">
        <w:rPr>
          <w:rStyle w:val="StyleUnderline"/>
          <w:highlight w:val="green"/>
        </w:rPr>
        <w:t xml:space="preserve"> people</w:t>
      </w:r>
      <w:r w:rsidRPr="00DD2D90">
        <w:rPr>
          <w:rStyle w:val="StyleUnderline"/>
        </w:rPr>
        <w:t xml:space="preserve"> in 26 countries</w:t>
      </w:r>
      <w:r w:rsidRPr="00223414">
        <w:rPr>
          <w:sz w:val="16"/>
        </w:rPr>
        <w:t xml:space="preserve">. There is now a danger of drugs expiring in warehouses, and the end of Water, Sanitation and Hygiene (WASH) projects!, many of which were USAID-supported. </w:t>
      </w:r>
      <w:r w:rsidRPr="00DD2D90">
        <w:rPr>
          <w:rStyle w:val="StyleUnderline"/>
        </w:rPr>
        <w:t>This moment</w:t>
      </w:r>
      <w:r w:rsidRPr="00223414">
        <w:rPr>
          <w:sz w:val="16"/>
        </w:rPr>
        <w:t xml:space="preserve"> also </w:t>
      </w:r>
      <w:r w:rsidRPr="00DD2D90">
        <w:rPr>
          <w:rStyle w:val="StyleUnderline"/>
        </w:rPr>
        <w:t>presents an oppor tunity for African nations to reclaim agency over their NTD agenda</w:t>
      </w:r>
      <w:r w:rsidRPr="00223414">
        <w:rPr>
          <w:sz w:val="16"/>
        </w:rPr>
        <w:t xml:space="preserve">s as per WHO NTD Roadmap 3rd pillar, </w:t>
      </w:r>
      <w:r w:rsidRPr="00DD2D90">
        <w:rPr>
          <w:rStyle w:val="StyleUnderline"/>
        </w:rPr>
        <w:t>for driving country ownership and leadership for NTD control programmes indefinitely</w:t>
      </w:r>
      <w:r w:rsidRPr="00223414">
        <w:rPr>
          <w:sz w:val="16"/>
        </w:rPr>
        <w:t xml:space="preserve">. Domestic financing as a test of political will </w:t>
      </w:r>
      <w:r w:rsidRPr="00DD2D90">
        <w:rPr>
          <w:rStyle w:val="StyleUnderline"/>
          <w:highlight w:val="green"/>
        </w:rPr>
        <w:t>Donor dependency</w:t>
      </w:r>
      <w:r w:rsidRPr="00223414">
        <w:rPr>
          <w:sz w:val="16"/>
        </w:rPr>
        <w:t xml:space="preserve"> has long been a double-edged sword. While catalysing action, italso </w:t>
      </w:r>
      <w:r w:rsidRPr="00DD2D90">
        <w:rPr>
          <w:rStyle w:val="StyleUnderline"/>
          <w:highlight w:val="green"/>
        </w:rPr>
        <w:t xml:space="preserve">breeds </w:t>
      </w:r>
      <w:r w:rsidRPr="00DD2D90">
        <w:rPr>
          <w:rStyle w:val="Emphasis"/>
          <w:highlight w:val="green"/>
        </w:rPr>
        <w:t>vulnerability</w:t>
      </w:r>
      <w:r w:rsidRPr="00223414">
        <w:rPr>
          <w:sz w:val="16"/>
        </w:rPr>
        <w:t xml:space="preserve">. </w:t>
      </w:r>
      <w:r w:rsidRPr="00DD2D90">
        <w:rPr>
          <w:rStyle w:val="StyleUnderline"/>
        </w:rPr>
        <w:t xml:space="preserve">As donor priorities shift, often unpredictably, </w:t>
      </w:r>
      <w:r w:rsidRPr="00DD2D90">
        <w:rPr>
          <w:rStyle w:val="StyleUnderline"/>
          <w:highlight w:val="green"/>
        </w:rPr>
        <w:t xml:space="preserve">countries without domestic buffers are left </w:t>
      </w:r>
      <w:r w:rsidRPr="00DD2D90">
        <w:rPr>
          <w:rStyle w:val="Emphasis"/>
          <w:highlight w:val="green"/>
        </w:rPr>
        <w:t>scrambling</w:t>
      </w:r>
      <w:r w:rsidRPr="00223414">
        <w:rPr>
          <w:sz w:val="16"/>
        </w:rPr>
        <w:t xml:space="preserve">. </w:t>
      </w:r>
      <w:r w:rsidRPr="00DD2D90">
        <w:rPr>
          <w:rStyle w:val="StyleUnderline"/>
          <w:highlight w:val="green"/>
        </w:rPr>
        <w:t>The AU</w:t>
      </w:r>
      <w:r w:rsidRPr="00223414">
        <w:rPr>
          <w:sz w:val="16"/>
        </w:rPr>
        <w:t xml:space="preserve">’s 2025 Roadmap to 2030 and beyond, adopted this year, recognizes this. It </w:t>
      </w:r>
      <w:r w:rsidRPr="00DD2D90">
        <w:rPr>
          <w:rStyle w:val="StyleUnderline"/>
          <w:highlight w:val="green"/>
        </w:rPr>
        <w:t>frames health</w:t>
      </w:r>
      <w:r w:rsidRPr="00DD2D90">
        <w:rPr>
          <w:rStyle w:val="StyleUnderline"/>
        </w:rPr>
        <w:t xml:space="preserve"> not as charity, but </w:t>
      </w:r>
      <w:r w:rsidRPr="00DD2D90">
        <w:rPr>
          <w:rStyle w:val="StyleUnderline"/>
          <w:highlight w:val="green"/>
        </w:rPr>
        <w:t xml:space="preserve">as a </w:t>
      </w:r>
      <w:r w:rsidRPr="00DD2D90">
        <w:rPr>
          <w:rStyle w:val="Emphasis"/>
          <w:highlight w:val="green"/>
        </w:rPr>
        <w:t>pillar</w:t>
      </w:r>
      <w:r w:rsidRPr="00DD2D90">
        <w:rPr>
          <w:rStyle w:val="StyleUnderline"/>
          <w:highlight w:val="green"/>
        </w:rPr>
        <w:t xml:space="preserve"> of</w:t>
      </w:r>
      <w:r w:rsidRPr="00DD2D90">
        <w:rPr>
          <w:rStyle w:val="StyleUnderline"/>
        </w:rPr>
        <w:t xml:space="preserve"> continental development, </w:t>
      </w:r>
      <w:r w:rsidRPr="00DD2D90">
        <w:rPr>
          <w:rStyle w:val="StyleUnderline"/>
          <w:highlight w:val="green"/>
        </w:rPr>
        <w:t>health security, and economic resilience</w:t>
      </w:r>
      <w:r w:rsidRPr="00223414">
        <w:rPr>
          <w:sz w:val="16"/>
        </w:rPr>
        <w:t xml:space="preserve">. Tunisia’s domestic funding of NTD control demonstrates that </w:t>
      </w:r>
      <w:r w:rsidRPr="00DD2D90">
        <w:rPr>
          <w:rStyle w:val="StyleUnderline"/>
          <w:highlight w:val="green"/>
        </w:rPr>
        <w:t>where there is political will, there is fiscal space and where NTDs are prioritized, sustainable control is within reach</w:t>
      </w:r>
      <w:r w:rsidRPr="00223414">
        <w:rPr>
          <w:sz w:val="16"/>
        </w:rPr>
        <w:t xml:space="preserve">. Why the stakes are rising Climate change, urbanization, and conflict are reshaping </w:t>
      </w:r>
      <w:r w:rsidRPr="00DD2D90">
        <w:rPr>
          <w:rStyle w:val="StyleUnderline"/>
        </w:rPr>
        <w:t>NTD</w:t>
      </w:r>
      <w:r w:rsidRPr="00223414">
        <w:rPr>
          <w:sz w:val="16"/>
        </w:rPr>
        <w:t xml:space="preserve"> epidemiology, leading to new outbreaks and expanding disease ranges. In Morocco, for instance, cutaneous leishmaniasis2, already prevalent, has </w:t>
      </w:r>
      <w:r w:rsidRPr="00DD2D90">
        <w:rPr>
          <w:rStyle w:val="StyleUnderline"/>
        </w:rPr>
        <w:t>surged to 43% insome areas</w:t>
      </w:r>
      <w:r w:rsidRPr="00223414">
        <w:rPr>
          <w:sz w:val="16"/>
        </w:rPr>
        <w:t xml:space="preserve">, driven by ecological and socio-political shifts. This emphasises the fact that </w:t>
      </w:r>
      <w:r w:rsidRPr="00DD2D90">
        <w:rPr>
          <w:rStyle w:val="StyleUnderline"/>
        </w:rPr>
        <w:t xml:space="preserve">the burden of </w:t>
      </w:r>
      <w:r w:rsidRPr="00DD2D90">
        <w:rPr>
          <w:rStyle w:val="StyleUnderline"/>
          <w:highlight w:val="green"/>
        </w:rPr>
        <w:t>NTDs</w:t>
      </w:r>
      <w:r w:rsidRPr="00DD2D90">
        <w:rPr>
          <w:rStyle w:val="StyleUnderline"/>
        </w:rPr>
        <w:t xml:space="preserve"> is notjust medical but social, economic, and generational. The </w:t>
      </w:r>
      <w:r w:rsidRPr="00DD2D90">
        <w:rPr>
          <w:rStyle w:val="StyleUnderline"/>
          <w:highlight w:val="green"/>
        </w:rPr>
        <w:t>burden compromises school attendance, reduces productivity, deepens stigma, causes disability and disproportionately affects women and children</w:t>
      </w:r>
      <w:r w:rsidRPr="00223414">
        <w:rPr>
          <w:sz w:val="16"/>
        </w:rPr>
        <w:t xml:space="preserve">. </w:t>
      </w:r>
      <w:r w:rsidRPr="00DD2D90">
        <w:rPr>
          <w:rStyle w:val="StyleUnderline"/>
        </w:rPr>
        <w:t xml:space="preserve">These </w:t>
      </w:r>
      <w:r w:rsidRPr="00DD2D90">
        <w:rPr>
          <w:rStyle w:val="StyleUnderline"/>
          <w:highlight w:val="green"/>
        </w:rPr>
        <w:t>compounding crises make it</w:t>
      </w:r>
      <w:r w:rsidRPr="00DD2D90">
        <w:rPr>
          <w:rStyle w:val="StyleUnderline"/>
        </w:rPr>
        <w:t xml:space="preserve"> even more </w:t>
      </w:r>
      <w:r w:rsidRPr="00DD2D90">
        <w:rPr>
          <w:rStyle w:val="StyleUnderline"/>
          <w:highlight w:val="green"/>
        </w:rPr>
        <w:t>imperative for</w:t>
      </w:r>
      <w:r w:rsidRPr="00DD2D90">
        <w:rPr>
          <w:rStyle w:val="StyleUnderline"/>
        </w:rPr>
        <w:t xml:space="preserve"> </w:t>
      </w:r>
      <w:r w:rsidRPr="00DD2D90">
        <w:rPr>
          <w:rStyle w:val="StyleUnderline"/>
          <w:highlight w:val="green"/>
        </w:rPr>
        <w:t>Africa</w:t>
      </w:r>
      <w:r w:rsidRPr="00DD2D90">
        <w:rPr>
          <w:rStyle w:val="StyleUnderline"/>
        </w:rPr>
        <w:t xml:space="preserve">n countries </w:t>
      </w:r>
      <w:r w:rsidRPr="00DD2D90">
        <w:rPr>
          <w:rStyle w:val="StyleUnderline"/>
          <w:highlight w:val="green"/>
        </w:rPr>
        <w:t>to mainstream NTDs into national health systems</w:t>
      </w:r>
      <w:r w:rsidRPr="00DD2D90">
        <w:rPr>
          <w:rStyle w:val="StyleUnderline"/>
        </w:rPr>
        <w:t xml:space="preserve">, </w:t>
      </w:r>
      <w:r w:rsidRPr="00DD2D90">
        <w:rPr>
          <w:rStyle w:val="StyleUnderline"/>
          <w:highlight w:val="green"/>
        </w:rPr>
        <w:t>rather than silo them as donor-funded anomalies</w:t>
      </w:r>
      <w:r w:rsidRPr="00223414">
        <w:rPr>
          <w:sz w:val="16"/>
        </w:rPr>
        <w:t xml:space="preserve">. Integrated financing models—linking NTD budgets to education, WASH, and primary healthcare—can stretch limited funds while building systemic resilience. Domestic financing does not mean governments must go it alone. Innovative mechanisms are emerging. Public- private partnerships (PPPs), corporate social responsibility (CSR) initiatives from firms, and investmentin local manufacturing can allreduce costs and improve access. Recognizing NTD champions at national and community levels can also elevate the political visibility of these diseases, spurring budgetary prioritization. Tools like the ALMA continental scorecard can help drive programme domestication by tracking funding trends and programmatic impactand holding governments accountable while incentivizing progress. Perhaps the most critical transformation is conceptual. </w:t>
      </w:r>
      <w:r w:rsidRPr="00DD2D90">
        <w:rPr>
          <w:rStyle w:val="StyleUnderline"/>
        </w:rPr>
        <w:t>Financing NTDs mustbe seen not as a burden, butas an investment? in human capital, in educational attainment, in economic productivity</w:t>
      </w:r>
      <w:r w:rsidRPr="00223414">
        <w:rPr>
          <w:sz w:val="16"/>
        </w:rPr>
        <w:t xml:space="preserve">. </w:t>
      </w:r>
      <w:r w:rsidRPr="00DD2D90">
        <w:rPr>
          <w:rStyle w:val="StyleUnderline"/>
        </w:rPr>
        <w:t>Every</w:t>
      </w:r>
      <w:r w:rsidRPr="00223414">
        <w:rPr>
          <w:sz w:val="16"/>
        </w:rPr>
        <w:t xml:space="preserve"> </w:t>
      </w:r>
      <w:r w:rsidRPr="00DD2D90">
        <w:rPr>
          <w:rStyle w:val="StyleUnderline"/>
        </w:rPr>
        <w:t>dollar spent</w:t>
      </w:r>
      <w:r w:rsidRPr="00223414">
        <w:rPr>
          <w:sz w:val="16"/>
        </w:rPr>
        <w:t xml:space="preserve"> on preventing schistosomiasis or lymphatic filariasis translat</w:t>
      </w:r>
      <w:r w:rsidRPr="00DD2D90">
        <w:rPr>
          <w:rStyle w:val="StyleUnderline"/>
        </w:rPr>
        <w:t>es into hours of school regained, livelihoods protected, and health systems unburdened</w:t>
      </w:r>
      <w:r w:rsidRPr="00223414">
        <w:rPr>
          <w:sz w:val="16"/>
        </w:rPr>
        <w:t xml:space="preserve">. This reframing aligns with Agenda 2063’s vision of a healthier, self-reliant continent. The control and elimination of </w:t>
      </w:r>
      <w:r w:rsidRPr="00DD2D90">
        <w:rPr>
          <w:rStyle w:val="StyleUnderline"/>
        </w:rPr>
        <w:t>NTDs</w:t>
      </w:r>
      <w:r w:rsidRPr="00223414">
        <w:rPr>
          <w:sz w:val="16"/>
        </w:rPr>
        <w:t xml:space="preserve"> must not be a footnote </w:t>
      </w:r>
      <w:r w:rsidRPr="00DD2D90">
        <w:rPr>
          <w:rStyle w:val="StyleUnderline"/>
        </w:rPr>
        <w:t>in Africa’s developmentstory</w:t>
      </w:r>
      <w:r w:rsidRPr="00223414">
        <w:rPr>
          <w:sz w:val="16"/>
        </w:rPr>
        <w:t xml:space="preserve">. It </w:t>
      </w:r>
      <w:r w:rsidRPr="00DD2D90">
        <w:rPr>
          <w:rStyle w:val="StyleUnderline"/>
        </w:rPr>
        <w:t xml:space="preserve">is a </w:t>
      </w:r>
      <w:r w:rsidRPr="00DD2D90">
        <w:rPr>
          <w:rStyle w:val="Emphasis"/>
        </w:rPr>
        <w:t>core chapter</w:t>
      </w:r>
      <w:r w:rsidRPr="00223414">
        <w:rPr>
          <w:sz w:val="16"/>
        </w:rPr>
        <w:t xml:space="preserve">. African scientists, programme managers, and policy leaders are doing more with less, championing locally relevant solutions and community-driven approaches. As of May 2025 56 countries, mostly in Africa, have eliminated atleast one NTD globally, including Togo (four NTDs) and Benin, Ghana (three NTDs). At aside event led by the AU on the margins of the 78th World Health Assemblyon, May 21st, 2025, six of the nine endemic countries signed alandmark Memorandum of Understanding to eliminate visceral leishmaniasis and endorsed a Call for Action to promote cross-border collaboration and accelerate progress towards the elimination targets setfor NTDs. </w:t>
      </w:r>
      <w:r w:rsidRPr="00DD2D90">
        <w:rPr>
          <w:rStyle w:val="StyleUnderline"/>
        </w:rPr>
        <w:t>Achieving this is going to require</w:t>
      </w:r>
      <w:r w:rsidRPr="00223414">
        <w:rPr>
          <w:sz w:val="16"/>
        </w:rPr>
        <w:t xml:space="preserve"> sustained and dedicated financing, </w:t>
      </w:r>
      <w:r w:rsidRPr="00DD2D90">
        <w:rPr>
          <w:rStyle w:val="StyleUnderline"/>
        </w:rPr>
        <w:t>moving from donor dependence to proactive national ownership</w:t>
      </w:r>
      <w:r w:rsidRPr="00223414">
        <w:rPr>
          <w:sz w:val="16"/>
        </w:rPr>
        <w:t xml:space="preserve"> bolstered by partnerships and </w:t>
      </w:r>
      <w:r w:rsidRPr="00DD2D90">
        <w:rPr>
          <w:rStyle w:val="StyleUnderline"/>
        </w:rPr>
        <w:t>not</w:t>
      </w:r>
      <w:r w:rsidRPr="00223414">
        <w:rPr>
          <w:sz w:val="16"/>
        </w:rPr>
        <w:t xml:space="preserve"> </w:t>
      </w:r>
      <w:r w:rsidRPr="00DD2D90">
        <w:rPr>
          <w:rStyle w:val="StyleUnderline"/>
        </w:rPr>
        <w:t>patronage</w:t>
      </w:r>
      <w:r w:rsidRPr="00223414">
        <w:rPr>
          <w:sz w:val="16"/>
        </w:rPr>
        <w:t xml:space="preserve">. </w:t>
      </w:r>
      <w:r w:rsidR="00FA1D49" w:rsidRPr="00223414">
        <w:rPr>
          <w:sz w:val="16"/>
        </w:rPr>
        <w:br w:type="page"/>
      </w:r>
    </w:p>
    <w:p w14:paraId="6A9F346E" w14:textId="59AC743B" w:rsidR="00893021" w:rsidRPr="00223414" w:rsidRDefault="00893021" w:rsidP="00893021">
      <w:pPr>
        <w:pStyle w:val="Heading4"/>
        <w:rPr>
          <w:szCs w:val="26"/>
        </w:rPr>
      </w:pPr>
      <w:r w:rsidRPr="00223414">
        <w:rPr>
          <w:szCs w:val="26"/>
        </w:rPr>
        <w:t xml:space="preserve">Neglected tropical diseases </w:t>
      </w:r>
      <w:r w:rsidR="003D2F14" w:rsidRPr="00223414">
        <w:rPr>
          <w:szCs w:val="26"/>
        </w:rPr>
        <w:t xml:space="preserve">rates are </w:t>
      </w:r>
      <w:r w:rsidRPr="00223414">
        <w:rPr>
          <w:szCs w:val="26"/>
        </w:rPr>
        <w:t>exploding</w:t>
      </w:r>
      <w:r w:rsidR="003D2F14" w:rsidRPr="00223414">
        <w:rPr>
          <w:szCs w:val="26"/>
        </w:rPr>
        <w:t xml:space="preserve"> due to</w:t>
      </w:r>
      <w:r w:rsidRPr="00223414">
        <w:rPr>
          <w:szCs w:val="26"/>
        </w:rPr>
        <w:t xml:space="preserve"> USAID cuts.</w:t>
      </w:r>
      <w:r w:rsidR="003D2F14" w:rsidRPr="00223414">
        <w:rPr>
          <w:szCs w:val="26"/>
        </w:rPr>
        <w:t xml:space="preserve"> This h</w:t>
      </w:r>
      <w:r w:rsidRPr="00223414">
        <w:rPr>
          <w:szCs w:val="26"/>
        </w:rPr>
        <w:t>arm</w:t>
      </w:r>
      <w:r w:rsidR="003D2F14" w:rsidRPr="00223414">
        <w:rPr>
          <w:szCs w:val="26"/>
        </w:rPr>
        <w:t>s</w:t>
      </w:r>
      <w:r w:rsidRPr="00223414">
        <w:rPr>
          <w:szCs w:val="26"/>
        </w:rPr>
        <w:t xml:space="preserve"> Global South development</w:t>
      </w:r>
    </w:p>
    <w:p w14:paraId="78AB57FE" w14:textId="77777777" w:rsidR="00893021" w:rsidRPr="00DD2D90" w:rsidRDefault="00893021" w:rsidP="00893021">
      <w:r w:rsidRPr="00223414">
        <w:rPr>
          <w:b/>
          <w:bCs/>
          <w:sz w:val="26"/>
          <w:szCs w:val="26"/>
        </w:rPr>
        <w:t>Lambert 25</w:t>
      </w:r>
      <w:r w:rsidRPr="00DD2D90">
        <w:t xml:space="preserve"> [Jonathan Lambert, correspondent for NPR's Science Desk with a </w:t>
      </w:r>
      <w:proofErr w:type="gramStart"/>
      <w:r w:rsidRPr="00DD2D90">
        <w:t>Master's</w:t>
      </w:r>
      <w:proofErr w:type="gramEnd"/>
      <w:r w:rsidRPr="00DD2D90">
        <w:t xml:space="preserve"> degree in neurobiology and behavior at Cornell University, 12-9-2025, "The fight to beat neglected tropical diseases was going well. 2025 could change that", NPR, https://www.npr.org/sections/goats-and-soda/2025/12/10/g-s1-101411/neglected-tropical-diseases-usaid-cuts]/Kankee</w:t>
      </w:r>
    </w:p>
    <w:p w14:paraId="605BAB06" w14:textId="77777777" w:rsidR="00893021" w:rsidRPr="00223414" w:rsidRDefault="00893021" w:rsidP="00893021">
      <w:pPr>
        <w:rPr>
          <w:sz w:val="16"/>
        </w:rPr>
      </w:pPr>
      <w:r w:rsidRPr="00223414">
        <w:rPr>
          <w:sz w:val="16"/>
        </w:rPr>
        <w:t xml:space="preserve">Around 2018, Diango Tounkara started having trouble seeing at night. "I didn't know what was wrong," she says in Bambara, a language spoken in her native Mali. "It was getting worse and worse by the day." Eventually, a doctor told her she had trachoma, the leading infectious cause of blindness. Chlamydia trachomatis, a bacterium, causes the eyelids to swell and scar. Eventually, eyelashes can turn inward, and their continuous raking across the cornea leads to vision loss. Tounkara's problems suggested that had already started. But the 51-year-old's problems ended in 2022, thanks to a program financed by the United States Agency for International Development. USAID paid for her antibiotic treatment and surgery to turn back her eyelashes as part of the agency's effort to fight a group of debilitating conditions known as "neglected tropical diseases," or NTDs, like trachoma. "If this wasn't done on time, I'd be sitting at home as a blind person," she says. In fact, Tounkara had long known about trachoma. For about two decades, her job has been to distribute drugs in local communities to treat and prevent </w:t>
      </w:r>
      <w:r w:rsidRPr="00DD2D90">
        <w:rPr>
          <w:rStyle w:val="StyleUnderline"/>
          <w:highlight w:val="green"/>
        </w:rPr>
        <w:t>NTDS</w:t>
      </w:r>
      <w:r w:rsidRPr="00223414">
        <w:rPr>
          <w:sz w:val="16"/>
        </w:rPr>
        <w:t xml:space="preserve">. That work, funded by USAID, has paid off. In 2023, Mali eliminated trachoma. It's also close to snuffing out lymphatic filariasis — a disease that causes debilitating swelling of body parts — and is fighting several others. That </w:t>
      </w:r>
      <w:r w:rsidRPr="00DD2D90">
        <w:rPr>
          <w:rStyle w:val="StyleUnderline"/>
          <w:highlight w:val="green"/>
        </w:rPr>
        <w:t>progress is</w:t>
      </w:r>
      <w:r w:rsidRPr="00DD2D90">
        <w:rPr>
          <w:rStyle w:val="StyleUnderline"/>
        </w:rPr>
        <w:t xml:space="preserve"> </w:t>
      </w:r>
      <w:r w:rsidRPr="00223414">
        <w:rPr>
          <w:sz w:val="16"/>
        </w:rPr>
        <w:t>now</w:t>
      </w:r>
      <w:r w:rsidRPr="00DD2D90">
        <w:rPr>
          <w:rStyle w:val="StyleUnderline"/>
        </w:rPr>
        <w:t xml:space="preserve"> </w:t>
      </w:r>
      <w:r w:rsidRPr="00DD2D90">
        <w:rPr>
          <w:rStyle w:val="Emphasis"/>
          <w:highlight w:val="green"/>
        </w:rPr>
        <w:t>under threat</w:t>
      </w:r>
      <w:r w:rsidRPr="00223414">
        <w:rPr>
          <w:sz w:val="16"/>
        </w:rPr>
        <w:t xml:space="preserve">. In January, the </w:t>
      </w:r>
      <w:r w:rsidRPr="00DD2D90">
        <w:rPr>
          <w:rStyle w:val="StyleUnderline"/>
          <w:highlight w:val="green"/>
        </w:rPr>
        <w:t>Trump</w:t>
      </w:r>
      <w:r w:rsidRPr="00223414">
        <w:rPr>
          <w:sz w:val="16"/>
        </w:rPr>
        <w:t xml:space="preserve"> </w:t>
      </w:r>
      <w:r w:rsidRPr="00DD2D90">
        <w:rPr>
          <w:rStyle w:val="StyleUnderline"/>
        </w:rPr>
        <w:t xml:space="preserve">administration </w:t>
      </w:r>
      <w:r w:rsidRPr="00DD2D90">
        <w:rPr>
          <w:rStyle w:val="StyleUnderline"/>
          <w:highlight w:val="green"/>
        </w:rPr>
        <w:t>cut funding to USAID's</w:t>
      </w:r>
      <w:r w:rsidRPr="00DD2D90">
        <w:rPr>
          <w:rStyle w:val="StyleUnderline"/>
        </w:rPr>
        <w:t xml:space="preserve"> </w:t>
      </w:r>
      <w:r w:rsidRPr="00DD2D90">
        <w:rPr>
          <w:rStyle w:val="StyleUnderline"/>
          <w:highlight w:val="green"/>
        </w:rPr>
        <w:t>n</w:t>
      </w:r>
      <w:r w:rsidRPr="00DD2D90">
        <w:rPr>
          <w:rStyle w:val="StyleUnderline"/>
        </w:rPr>
        <w:t xml:space="preserve">eglected </w:t>
      </w:r>
      <w:r w:rsidRPr="00DD2D90">
        <w:rPr>
          <w:rStyle w:val="StyleUnderline"/>
          <w:highlight w:val="green"/>
        </w:rPr>
        <w:t>t</w:t>
      </w:r>
      <w:r w:rsidRPr="00DD2D90">
        <w:rPr>
          <w:rStyle w:val="StyleUnderline"/>
        </w:rPr>
        <w:t xml:space="preserve">ropical </w:t>
      </w:r>
      <w:r w:rsidRPr="00DD2D90">
        <w:rPr>
          <w:rStyle w:val="StyleUnderline"/>
          <w:highlight w:val="green"/>
        </w:rPr>
        <w:t>d</w:t>
      </w:r>
      <w:r w:rsidRPr="00DD2D90">
        <w:rPr>
          <w:rStyle w:val="StyleUnderline"/>
        </w:rPr>
        <w:t xml:space="preserve">iseases </w:t>
      </w:r>
      <w:r w:rsidRPr="00DD2D90">
        <w:rPr>
          <w:rStyle w:val="StyleUnderline"/>
          <w:highlight w:val="green"/>
        </w:rPr>
        <w:t>program</w:t>
      </w:r>
      <w:r w:rsidRPr="00223414">
        <w:rPr>
          <w:sz w:val="16"/>
        </w:rPr>
        <w:t xml:space="preserve">. "We were planning to go meet the communities when we heard about the freeze," Tounkara says. Now she's out of work. "I felt totally deceived," she says. Mamadou Coulibaly, who coordinates several NTD elimination programs for Mali's Ministry of Health, felt similarly. "It was like a thunderbolt," he says. "This </w:t>
      </w:r>
      <w:r w:rsidRPr="00DD2D90">
        <w:rPr>
          <w:rStyle w:val="StyleUnderline"/>
        </w:rPr>
        <w:t>lack of financing has</w:t>
      </w:r>
      <w:r w:rsidRPr="00223414">
        <w:rPr>
          <w:sz w:val="16"/>
        </w:rPr>
        <w:t xml:space="preserve"> </w:t>
      </w:r>
      <w:r w:rsidRPr="00DD2D90">
        <w:rPr>
          <w:rStyle w:val="Emphasis"/>
          <w:highlight w:val="green"/>
        </w:rPr>
        <w:t>completely stopped</w:t>
      </w:r>
      <w:r w:rsidRPr="00223414">
        <w:rPr>
          <w:sz w:val="16"/>
        </w:rPr>
        <w:t xml:space="preserve"> our activities," he says. That includes work to help rid communities of diseases but also routine </w:t>
      </w:r>
      <w:r w:rsidRPr="00DD2D90">
        <w:rPr>
          <w:rStyle w:val="StyleUnderline"/>
          <w:highlight w:val="green"/>
        </w:rPr>
        <w:t>testing</w:t>
      </w:r>
      <w:r w:rsidRPr="00DD2D90">
        <w:rPr>
          <w:rStyle w:val="StyleUnderline"/>
        </w:rPr>
        <w:t xml:space="preserve"> after treatment</w:t>
      </w:r>
      <w:r w:rsidRPr="00223414">
        <w:rPr>
          <w:sz w:val="16"/>
        </w:rPr>
        <w:t xml:space="preserve"> to ensure that a disease is actually gone. </w:t>
      </w:r>
      <w:r w:rsidRPr="00DD2D90">
        <w:rPr>
          <w:rStyle w:val="StyleUnderline"/>
        </w:rPr>
        <w:t>USAID</w:t>
      </w:r>
      <w:r w:rsidRPr="00223414">
        <w:rPr>
          <w:sz w:val="16"/>
        </w:rPr>
        <w:t xml:space="preserve"> had </w:t>
      </w:r>
      <w:r w:rsidRPr="00DD2D90">
        <w:rPr>
          <w:rStyle w:val="StyleUnderline"/>
        </w:rPr>
        <w:t>paid for diagnostic testing kits to do that monitoring</w:t>
      </w:r>
      <w:r w:rsidRPr="00223414">
        <w:rPr>
          <w:sz w:val="16"/>
        </w:rPr>
        <w:t xml:space="preserve"> — </w:t>
      </w:r>
      <w:r w:rsidRPr="00DD2D90">
        <w:rPr>
          <w:rStyle w:val="StyleUnderline"/>
        </w:rPr>
        <w:t>and helped pay people to administer the tests</w:t>
      </w:r>
      <w:r w:rsidRPr="00223414">
        <w:rPr>
          <w:sz w:val="16"/>
        </w:rPr>
        <w:t xml:space="preserve">. Without those staffers, </w:t>
      </w:r>
      <w:r w:rsidRPr="00DD2D90">
        <w:rPr>
          <w:rStyle w:val="StyleUnderline"/>
        </w:rPr>
        <w:t>the tests are sitting in warehouses</w:t>
      </w:r>
      <w:r w:rsidRPr="00223414">
        <w:rPr>
          <w:sz w:val="16"/>
        </w:rPr>
        <w:t xml:space="preserve">, Coulibaly says, </w:t>
      </w:r>
      <w:r w:rsidRPr="00DD2D90">
        <w:rPr>
          <w:rStyle w:val="StyleUnderline"/>
        </w:rPr>
        <w:t xml:space="preserve">set to </w:t>
      </w:r>
      <w:r w:rsidRPr="00DD2D90">
        <w:rPr>
          <w:rStyle w:val="Emphasis"/>
        </w:rPr>
        <w:t>expire</w:t>
      </w:r>
      <w:r w:rsidRPr="00223414">
        <w:rPr>
          <w:sz w:val="16"/>
        </w:rPr>
        <w:t xml:space="preserve"> in February. "We've looked for partners left and right, but as of today, we still haven't found any secure funding," he says. That could pave the way for eliminated diseases like trachoma to come back — in Mali, and more than a dozen other countries USAID worked with. "</w:t>
      </w:r>
      <w:r w:rsidRPr="00DD2D90">
        <w:rPr>
          <w:rStyle w:val="StyleUnderline"/>
          <w:highlight w:val="green"/>
        </w:rPr>
        <w:t>These</w:t>
      </w:r>
      <w:r w:rsidRPr="00DD2D90">
        <w:rPr>
          <w:rStyle w:val="StyleUnderline"/>
        </w:rPr>
        <w:t xml:space="preserve"> are </w:t>
      </w:r>
      <w:r w:rsidRPr="00DD2D90">
        <w:rPr>
          <w:rStyle w:val="StyleUnderline"/>
          <w:highlight w:val="green"/>
        </w:rPr>
        <w:t>diseases</w:t>
      </w:r>
      <w:r w:rsidRPr="00DD2D90">
        <w:rPr>
          <w:rStyle w:val="StyleUnderline"/>
        </w:rPr>
        <w:t xml:space="preserve"> that </w:t>
      </w:r>
      <w:r w:rsidRPr="00DD2D90">
        <w:rPr>
          <w:rStyle w:val="StyleUnderline"/>
          <w:highlight w:val="green"/>
        </w:rPr>
        <w:t xml:space="preserve">make someone </w:t>
      </w:r>
      <w:r w:rsidRPr="00DD2D90">
        <w:rPr>
          <w:rStyle w:val="Emphasis"/>
          <w:highlight w:val="green"/>
        </w:rPr>
        <w:t>completely</w:t>
      </w:r>
      <w:r w:rsidRPr="00DD2D90">
        <w:rPr>
          <w:rStyle w:val="Emphasis"/>
        </w:rPr>
        <w:t xml:space="preserve"> invalid</w:t>
      </w:r>
      <w:r w:rsidRPr="00DD2D90">
        <w:rPr>
          <w:rStyle w:val="StyleUnderline"/>
        </w:rPr>
        <w:t xml:space="preserve">, like they're </w:t>
      </w:r>
      <w:r w:rsidRPr="00DD2D90">
        <w:rPr>
          <w:rStyle w:val="Emphasis"/>
          <w:highlight w:val="green"/>
        </w:rPr>
        <w:t>unable to work</w:t>
      </w:r>
      <w:r w:rsidRPr="00DD2D90">
        <w:rPr>
          <w:rStyle w:val="StyleUnderline"/>
        </w:rPr>
        <w:t xml:space="preserve">, </w:t>
      </w:r>
      <w:r w:rsidRPr="00DD2D90">
        <w:rPr>
          <w:rStyle w:val="StyleUnderline"/>
          <w:highlight w:val="green"/>
        </w:rPr>
        <w:t xml:space="preserve">and have a </w:t>
      </w:r>
      <w:r w:rsidRPr="00DD2D90">
        <w:rPr>
          <w:rStyle w:val="Emphasis"/>
          <w:highlight w:val="green"/>
        </w:rPr>
        <w:t>very heavy</w:t>
      </w:r>
      <w:r w:rsidRPr="00DD2D90">
        <w:rPr>
          <w:rStyle w:val="StyleUnderline"/>
          <w:highlight w:val="green"/>
        </w:rPr>
        <w:t xml:space="preserve"> impact on </w:t>
      </w:r>
      <w:r w:rsidRPr="00DD2D90">
        <w:rPr>
          <w:rStyle w:val="StyleUnderline"/>
        </w:rPr>
        <w:t xml:space="preserve">the </w:t>
      </w:r>
      <w:r w:rsidRPr="00DD2D90">
        <w:rPr>
          <w:rStyle w:val="StyleUnderline"/>
          <w:highlight w:val="green"/>
        </w:rPr>
        <w:t>development</w:t>
      </w:r>
      <w:r w:rsidRPr="00DD2D90">
        <w:rPr>
          <w:rStyle w:val="StyleUnderline"/>
        </w:rPr>
        <w:t xml:space="preserve"> of the country</w:t>
      </w:r>
      <w:r w:rsidRPr="00223414">
        <w:rPr>
          <w:sz w:val="16"/>
        </w:rPr>
        <w:t xml:space="preserve">," says Coulibaly. That's </w:t>
      </w:r>
      <w:r w:rsidRPr="00DD2D90">
        <w:rPr>
          <w:rStyle w:val="StyleUnderline"/>
          <w:highlight w:val="green"/>
        </w:rPr>
        <w:t>especially</w:t>
      </w:r>
      <w:r w:rsidRPr="00DD2D90">
        <w:rPr>
          <w:rStyle w:val="StyleUnderline"/>
        </w:rPr>
        <w:t xml:space="preserve"> true </w:t>
      </w:r>
      <w:r w:rsidRPr="00DD2D90">
        <w:rPr>
          <w:rStyle w:val="StyleUnderline"/>
          <w:highlight w:val="green"/>
        </w:rPr>
        <w:t>in lower-resource areas where it's harder to live with a disability</w:t>
      </w:r>
      <w:r w:rsidRPr="00223414">
        <w:rPr>
          <w:sz w:val="16"/>
        </w:rPr>
        <w:t xml:space="preserve">. "We are going to take a step back," he says. A list of 21 </w:t>
      </w:r>
      <w:r w:rsidRPr="00DD2D90">
        <w:rPr>
          <w:rStyle w:val="StyleUnderline"/>
          <w:highlight w:val="green"/>
        </w:rPr>
        <w:t>N</w:t>
      </w:r>
      <w:r w:rsidRPr="00DD2D90">
        <w:rPr>
          <w:rStyle w:val="StyleUnderline"/>
        </w:rPr>
        <w:t xml:space="preserve">eglected </w:t>
      </w:r>
      <w:r w:rsidRPr="00DD2D90">
        <w:rPr>
          <w:rStyle w:val="StyleUnderline"/>
          <w:highlight w:val="green"/>
        </w:rPr>
        <w:t>t</w:t>
      </w:r>
      <w:r w:rsidRPr="00DD2D90">
        <w:rPr>
          <w:rStyle w:val="StyleUnderline"/>
        </w:rPr>
        <w:t xml:space="preserve">ropical </w:t>
      </w:r>
      <w:r w:rsidRPr="00DD2D90">
        <w:rPr>
          <w:rStyle w:val="StyleUnderline"/>
          <w:highlight w:val="green"/>
        </w:rPr>
        <w:t>d</w:t>
      </w:r>
      <w:r w:rsidRPr="00DD2D90">
        <w:rPr>
          <w:rStyle w:val="StyleUnderline"/>
        </w:rPr>
        <w:t>iseases</w:t>
      </w:r>
      <w:r w:rsidRPr="00223414">
        <w:rPr>
          <w:sz w:val="16"/>
        </w:rPr>
        <w:t xml:space="preserve"> got their name because they </w:t>
      </w:r>
      <w:r w:rsidRPr="00DD2D90">
        <w:rPr>
          <w:rStyle w:val="StyleUnderline"/>
        </w:rPr>
        <w:t>tend to be overlooked in global health efforts</w:t>
      </w:r>
      <w:r w:rsidRPr="00223414">
        <w:rPr>
          <w:sz w:val="16"/>
        </w:rPr>
        <w:t xml:space="preserve">. There are 21 diseases in the category, including onchocerciasis or river blindness, schistosomiasis, a snail-borne infection that causes fever and diarrhea, and cysticercosis, caused by tapeworms that can infect the brain. </w:t>
      </w:r>
      <w:r w:rsidRPr="00DD2D90">
        <w:rPr>
          <w:rStyle w:val="StyleUnderline"/>
        </w:rPr>
        <w:t xml:space="preserve">They </w:t>
      </w:r>
      <w:r w:rsidRPr="00DD2D90">
        <w:rPr>
          <w:rStyle w:val="StyleUnderline"/>
          <w:highlight w:val="green"/>
        </w:rPr>
        <w:t>affect</w:t>
      </w:r>
      <w:r w:rsidRPr="00DD2D90">
        <w:rPr>
          <w:rStyle w:val="StyleUnderline"/>
        </w:rPr>
        <w:t xml:space="preserve"> more than </w:t>
      </w:r>
      <w:r w:rsidRPr="00DD2D90">
        <w:rPr>
          <w:rStyle w:val="Emphasis"/>
          <w:highlight w:val="green"/>
        </w:rPr>
        <w:t>1 billion</w:t>
      </w:r>
      <w:r w:rsidRPr="00DD2D90">
        <w:rPr>
          <w:rStyle w:val="StyleUnderline"/>
          <w:highlight w:val="green"/>
        </w:rPr>
        <w:t xml:space="preserve"> people</w:t>
      </w:r>
      <w:r w:rsidRPr="00DD2D90">
        <w:rPr>
          <w:rStyle w:val="StyleUnderline"/>
        </w:rPr>
        <w:t xml:space="preserve"> and can cause profound disability</w:t>
      </w:r>
      <w:r w:rsidRPr="00223414">
        <w:rPr>
          <w:sz w:val="16"/>
        </w:rPr>
        <w:t xml:space="preserve">. And they've been around for a long time. "You can go back and see examples of these diseases in hieroglyphics," says Emily Wainwright, who led the USAID NTD program's strategy until she was fired in January. But </w:t>
      </w:r>
      <w:r w:rsidRPr="00DD2D90">
        <w:rPr>
          <w:rStyle w:val="StyleUnderline"/>
          <w:highlight w:val="green"/>
        </w:rPr>
        <w:t>because NTDs usually aren't lethal and tend to impact the most marginalized populations, they've not gotten the same</w:t>
      </w:r>
      <w:r w:rsidRPr="00223414">
        <w:rPr>
          <w:sz w:val="16"/>
        </w:rPr>
        <w:t xml:space="preserve"> attention — or </w:t>
      </w:r>
      <w:r w:rsidRPr="00DD2D90">
        <w:rPr>
          <w:rStyle w:val="StyleUnderline"/>
          <w:highlight w:val="green"/>
        </w:rPr>
        <w:t>dollars</w:t>
      </w:r>
      <w:r w:rsidRPr="00223414">
        <w:rPr>
          <w:sz w:val="16"/>
        </w:rPr>
        <w:t xml:space="preserve"> — </w:t>
      </w:r>
      <w:r w:rsidRPr="00DD2D90">
        <w:rPr>
          <w:rStyle w:val="StyleUnderline"/>
          <w:highlight w:val="green"/>
        </w:rPr>
        <w:t>as bigger killers</w:t>
      </w:r>
      <w:r w:rsidRPr="00223414">
        <w:rPr>
          <w:sz w:val="16"/>
        </w:rPr>
        <w:t xml:space="preserve"> like HIV or malaria. But the diseases weren't neglected by a group of researchers who in the early 2000s began hatching a plan for what would become USAID's NTD program. "A group of scientists went to the Hill and made the point that there is a known strategy in treating communities that are infected," says Wainwright. "You go in, treat them once a year and if you do it for a set number of years, you can either eliminate or control the disease." In 2006, USAID's NTD program officially launched with bipartisan support and a budget of just $15 million. That's not enough to buy the huge quantities of drugs necessary to flood a region and treat people. But pharmaceutical companies were offering to donate the drugs provided they get distributed. USAID also helps countries monitor areas after treatment. "The program is built off of the private, public partnership with pharma companies, who donate the medicines to the countries and the U.S. program," says Lisa Rotondo, a global health consultant who worked on a variety of USAID-funded NTD programs. Since the NTD launch, pharmaceutical companies have donated more than $31 billion in medicines. They did so under the assumption that the U.S. would support countries in delivering them, says Rotondo, so they didn't go to waste. Even though the money came from the U.S., it was largely locals in affected countries, like Tounkara, who got the medicines to those in need, going door-to-door. Folks in the communities knew the burden of these diseases and were usually excited by the campaigns, says Tounkara. "It is a kind of celebration before the campaign starts." In just under 20 years, USAID's NTD program has made a significant dent in these diseases. With about a billion in taxpayer funds over that time, the program treated 1.7 billion people and eliminated at least one NTD in 14 different countries. "When the program started, the idea of eliminating a disease was aspirational," says Wainwright. Before the cuts, she says about a dozen more countries were on track to eliminate another NTD over the next few years. "I think it was one of the most effective and cost-efficient programs that USAID has ever had," says Angela Weaver, vice president of neglected tropical diseases at Helen Keller Intl, a nonprofit that had received USAID funds to help countries eliminate NTDs. That's backed up by research suggesting the approach can treat NTDs for less than 50 cents a person. Last year, the NTD program's budget was $114 million. "It's a rounding error for the bigger global health budgets, but those are still U.S. taxpayer dollars.," Weaver says. "To see that just wiped away is really devastating." A definite "farewell" </w:t>
      </w:r>
      <w:r w:rsidRPr="00DD2D90">
        <w:rPr>
          <w:rStyle w:val="StyleUnderline"/>
          <w:highlight w:val="green"/>
        </w:rPr>
        <w:t>Countries</w:t>
      </w:r>
      <w:r w:rsidRPr="00223414">
        <w:rPr>
          <w:sz w:val="16"/>
        </w:rPr>
        <w:t xml:space="preserve"> </w:t>
      </w:r>
      <w:r w:rsidRPr="00DD2D90">
        <w:rPr>
          <w:rStyle w:val="StyleUnderline"/>
        </w:rPr>
        <w:t>that</w:t>
      </w:r>
      <w:r w:rsidRPr="00223414">
        <w:rPr>
          <w:sz w:val="16"/>
        </w:rPr>
        <w:t xml:space="preserve"> have </w:t>
      </w:r>
      <w:r w:rsidRPr="00DD2D90">
        <w:rPr>
          <w:rStyle w:val="StyleUnderline"/>
        </w:rPr>
        <w:t xml:space="preserve">relied on funding </w:t>
      </w:r>
      <w:r w:rsidRPr="00DD2D90">
        <w:rPr>
          <w:rStyle w:val="StyleUnderline"/>
          <w:highlight w:val="green"/>
        </w:rPr>
        <w:t xml:space="preserve">are </w:t>
      </w:r>
      <w:r w:rsidRPr="00DD2D90">
        <w:rPr>
          <w:rStyle w:val="Emphasis"/>
          <w:highlight w:val="green"/>
        </w:rPr>
        <w:t>struggling</w:t>
      </w:r>
      <w:r w:rsidRPr="00DD2D90">
        <w:rPr>
          <w:rStyle w:val="StyleUnderline"/>
          <w:highlight w:val="green"/>
        </w:rPr>
        <w:t xml:space="preserve"> to keep</w:t>
      </w:r>
      <w:r w:rsidRPr="00DD2D90">
        <w:rPr>
          <w:rStyle w:val="StyleUnderline"/>
        </w:rPr>
        <w:t xml:space="preserve"> </w:t>
      </w:r>
      <w:r w:rsidRPr="00223414">
        <w:rPr>
          <w:sz w:val="16"/>
        </w:rPr>
        <w:t>these</w:t>
      </w:r>
      <w:r w:rsidRPr="00DD2D90">
        <w:rPr>
          <w:rStyle w:val="StyleUnderline"/>
        </w:rPr>
        <w:t xml:space="preserve"> </w:t>
      </w:r>
      <w:r w:rsidRPr="00DD2D90">
        <w:rPr>
          <w:rStyle w:val="StyleUnderline"/>
          <w:highlight w:val="green"/>
        </w:rPr>
        <w:t>programs going</w:t>
      </w:r>
      <w:r w:rsidRPr="00DD2D90">
        <w:rPr>
          <w:rStyle w:val="StyleUnderline"/>
        </w:rPr>
        <w:t xml:space="preserve">. </w:t>
      </w:r>
      <w:r w:rsidRPr="00223414">
        <w:rPr>
          <w:sz w:val="16"/>
        </w:rPr>
        <w:t xml:space="preserve">In Mali, "we're currently in the process of mobilizing domestic resources and seeking financing from various sources," says Coulibaly. "We are able to obtain some money, but it's just going to be insufficient," he says, since </w:t>
      </w:r>
      <w:r w:rsidRPr="00DD2D90">
        <w:rPr>
          <w:rStyle w:val="StyleUnderline"/>
          <w:highlight w:val="green"/>
        </w:rPr>
        <w:t>the U.S.</w:t>
      </w:r>
      <w:r w:rsidRPr="00DD2D90">
        <w:rPr>
          <w:rStyle w:val="StyleUnderline"/>
        </w:rPr>
        <w:t xml:space="preserve"> had </w:t>
      </w:r>
      <w:r w:rsidRPr="00DD2D90">
        <w:rPr>
          <w:rStyle w:val="StyleUnderline"/>
          <w:highlight w:val="green"/>
        </w:rPr>
        <w:t xml:space="preserve">provided roughly </w:t>
      </w:r>
      <w:r w:rsidRPr="00DD2D90">
        <w:rPr>
          <w:rStyle w:val="Emphasis"/>
          <w:highlight w:val="green"/>
        </w:rPr>
        <w:t>90%</w:t>
      </w:r>
      <w:r w:rsidRPr="00DD2D90">
        <w:rPr>
          <w:rStyle w:val="StyleUnderline"/>
          <w:highlight w:val="green"/>
        </w:rPr>
        <w:t xml:space="preserve"> of the funds used to fight NTDs</w:t>
      </w:r>
      <w:r w:rsidRPr="00DD2D90">
        <w:rPr>
          <w:rStyle w:val="StyleUnderline"/>
        </w:rPr>
        <w:t xml:space="preserve"> in Mali. </w:t>
      </w:r>
      <w:r w:rsidRPr="00223414">
        <w:rPr>
          <w:sz w:val="16"/>
        </w:rPr>
        <w:t xml:space="preserve">"I worry that </w:t>
      </w:r>
      <w:r w:rsidRPr="00DD2D90">
        <w:rPr>
          <w:rStyle w:val="StyleUnderline"/>
        </w:rPr>
        <w:t>neglected tropical diseases are going to be even more neglected</w:t>
      </w:r>
      <w:r w:rsidRPr="00223414">
        <w:rPr>
          <w:sz w:val="16"/>
        </w:rPr>
        <w:t xml:space="preserve">," says Weaver. Foreign aid cuts have impacted other disease programs too, from HIV to malaria. "Countries now have fewer resources, and they're going to have to make really difficult decisions," she says. Non-profits like Helen Keller are trying to drum up additional support, with some success. But </w:t>
      </w:r>
      <w:r w:rsidRPr="00DD2D90">
        <w:rPr>
          <w:rStyle w:val="StyleUnderline"/>
        </w:rPr>
        <w:t>without the stability of federal funds, they've been forced to scale back</w:t>
      </w:r>
      <w:r w:rsidRPr="00223414">
        <w:rPr>
          <w:sz w:val="16"/>
        </w:rPr>
        <w:t xml:space="preserve"> their activities. "The beauty of the USAID support was that it was consistent," says Weaver. "We might be able to fill some of the gaps this year, but what about next year? That's where I'm really concerned." After the tumultuous dismantling of USAID, there was some hope that the U.S. would resume funding at least some of these NTD programs through the State Department, since both Republicans and Democrats have supported the effort in the past. But in September, the Trump administration released its 40-page America First Global Health Strategy with no mention of neglected tropical diseases. In response to an NPR request for comment on the rationale for cutting funds for NTD programs and whether any such programs were still being supported, a USAID spokesperson responded via email with a screenshot of an NPR story headlined Farewell to USAID: Reflections on the agency that President Trump dismantled and a statement — "What do you think farewell meant?"</w:t>
      </w:r>
    </w:p>
    <w:p w14:paraId="4FB0EB7B" w14:textId="77777777" w:rsidR="00FA1D49" w:rsidRPr="00223414" w:rsidRDefault="00FA1D49">
      <w:pPr>
        <w:rPr>
          <w:rFonts w:eastAsiaTheme="majorEastAsia" w:cstheme="majorBidi"/>
          <w:b/>
          <w:iCs/>
          <w:sz w:val="16"/>
        </w:rPr>
      </w:pPr>
      <w:r w:rsidRPr="00223414">
        <w:rPr>
          <w:sz w:val="16"/>
        </w:rPr>
        <w:br w:type="page"/>
      </w:r>
    </w:p>
    <w:p w14:paraId="24F0A74A" w14:textId="733191BD" w:rsidR="00893021" w:rsidRPr="00223414" w:rsidRDefault="00FA1D49" w:rsidP="00893021">
      <w:pPr>
        <w:pStyle w:val="Heading4"/>
        <w:rPr>
          <w:szCs w:val="26"/>
        </w:rPr>
      </w:pPr>
      <w:r w:rsidRPr="00223414">
        <w:rPr>
          <w:szCs w:val="26"/>
        </w:rPr>
        <w:t>Reducing the c</w:t>
      </w:r>
      <w:r w:rsidR="00893021" w:rsidRPr="00223414">
        <w:rPr>
          <w:szCs w:val="26"/>
        </w:rPr>
        <w:t xml:space="preserve">ost of treatment </w:t>
      </w:r>
      <w:r w:rsidRPr="00223414">
        <w:rPr>
          <w:szCs w:val="26"/>
        </w:rPr>
        <w:t xml:space="preserve">is </w:t>
      </w:r>
      <w:r w:rsidR="00893021" w:rsidRPr="00223414">
        <w:rPr>
          <w:szCs w:val="26"/>
        </w:rPr>
        <w:t xml:space="preserve">key </w:t>
      </w:r>
      <w:r w:rsidR="00B41444" w:rsidRPr="00223414">
        <w:rPr>
          <w:szCs w:val="26"/>
        </w:rPr>
        <w:t>to preventing NTDs</w:t>
      </w:r>
    </w:p>
    <w:p w14:paraId="3F4E92E1" w14:textId="77777777" w:rsidR="00893021" w:rsidRPr="00DD2D90" w:rsidRDefault="00893021" w:rsidP="00893021">
      <w:r w:rsidRPr="00223414">
        <w:rPr>
          <w:b/>
          <w:bCs/>
          <w:sz w:val="26"/>
          <w:szCs w:val="26"/>
        </w:rPr>
        <w:t>Farber et al. 26</w:t>
      </w:r>
      <w:r w:rsidRPr="00DD2D90">
        <w:t xml:space="preserve"> [Reya Farber, researcher at William &amp; Mary Department of Sociology, Rachel Rhee-Feitel, researcher at George Mason and Georgetown University Advanced Biomedical Sciences Program, and Amelia Lewis, researcher at the William &amp; Mary Department of Health Sciences, 3-29-2026, "Negating neglect: social scientific contributions on Neglected Tropical Diseases and global health", SpringerLink, https://link.springer.com/article/10.1186/s12939-026-02824-z]/Kankee</w:t>
      </w:r>
    </w:p>
    <w:p w14:paraId="4465A924" w14:textId="77777777" w:rsidR="00893021" w:rsidRPr="00223414" w:rsidRDefault="00893021" w:rsidP="00893021">
      <w:pPr>
        <w:rPr>
          <w:sz w:val="16"/>
        </w:rPr>
      </w:pPr>
      <w:r w:rsidRPr="00223414">
        <w:rPr>
          <w:sz w:val="16"/>
        </w:rPr>
        <w:t xml:space="preserve">VI. Disease Management, Socioeconomic Barriers, and Illness Experiences We have so far elucidated some of the macro political and economic factors that undergird Neglected Tropical Diseases, as well as meso-level dynamics between global health organizations, in-country stakeholders, and community members. In this last section, our attention shifts to more micro-level experiences with treatment decision-making, socioeconomic status, health care access, and stigma. We now discuss specific themes about lay versus biomedical knowledge, traditional medicine, and the intersections of socioeconomic status and geographic location. Rich evidence has shown how disease management is negotiated at the individual and community levels, highlighting how people’s lived experiences and </w:t>
      </w:r>
      <w:r w:rsidRPr="00DD2D90">
        <w:rPr>
          <w:rStyle w:val="StyleUnderline"/>
          <w:highlight w:val="green"/>
        </w:rPr>
        <w:t>structural conditions are central</w:t>
      </w:r>
      <w:r w:rsidRPr="00DD2D90">
        <w:rPr>
          <w:rStyle w:val="StyleUnderline"/>
        </w:rPr>
        <w:t xml:space="preserve"> to understanding illness experiences</w:t>
      </w:r>
      <w:r w:rsidRPr="00223414">
        <w:rPr>
          <w:sz w:val="16"/>
        </w:rPr>
        <w:t xml:space="preserve"> and real-world disease control outcomes. For instance, in an ethnographic study about how Bolivian migrant women living in Catalonia experience and evaluate Chagas disease treatments, particularly parasiticidal drugs like Benznidazole and Nifurtimox, the conflicts between biomedical and lay knowledge are clear, with the latter involving “practices shaped by sociocultural contexts” (Garcia 2025:2). Treatment efficacy is not simply determined by clinical trials, but rather shaped through everyday life, cultural beliefs, precarious working conditions, and patient-doctor relationships. Many women expressed deep skepticism of pharmaceuticals, while others experienced side effects so severe that they stopped treatment altogether. While biomedical systems see treatment efficacy in technical terms, patients judged treatment efficacy based on whether it improved their daily life and helped them continue working. For the women in this study, treatment side effects could jeopardize income and stability, especially in informal or unprotected jobs like domestic care work. In this case, women often blended biomedical care with traditional practices, such as using onion juice to cleanse one’s blood along with pharmaceuticals. The use of traditional medicine, by itself or in tandem with pharmaceutical drugs, is a fascinating theme ripe for future research. Social scientific work has also delved into important questions about treatment access and the intersections with place and socioeconomic status (Forsyth 2015; Hailemichael et al. 2024). </w:t>
      </w:r>
      <w:r w:rsidRPr="00DD2D90">
        <w:rPr>
          <w:rStyle w:val="StyleUnderline"/>
        </w:rPr>
        <w:t>Barriers to NTD prevention and treatment in rural communities include the cost of treatment</w:t>
      </w:r>
      <w:r w:rsidRPr="00223414">
        <w:rPr>
          <w:sz w:val="16"/>
        </w:rPr>
        <w:t xml:space="preserve">, geographical location, and local understandings (Forsyth 2015). </w:t>
      </w:r>
      <w:r w:rsidRPr="00DD2D90">
        <w:rPr>
          <w:rStyle w:val="StyleUnderline"/>
        </w:rPr>
        <w:t>Patients from rural and impoverished communities are less likely to seek any form of treatment because of the cost alone</w:t>
      </w:r>
      <w:r w:rsidRPr="00223414">
        <w:rPr>
          <w:sz w:val="16"/>
        </w:rPr>
        <w:t xml:space="preserve"> (Hailemichael et al. 2024). For example, while the Departmental Chagas Program in Bolivia offered free medication for Chagas disease, a parasitic illness carried by insects, private and semi-public providers still charged for medication. </w:t>
      </w:r>
      <w:r w:rsidRPr="00DD2D90">
        <w:rPr>
          <w:rStyle w:val="StyleUnderline"/>
          <w:highlight w:val="green"/>
        </w:rPr>
        <w:t>Patients</w:t>
      </w:r>
      <w:r w:rsidRPr="00DD2D90">
        <w:rPr>
          <w:rStyle w:val="StyleUnderline"/>
        </w:rPr>
        <w:t xml:space="preserve"> in these settings often </w:t>
      </w:r>
      <w:r w:rsidRPr="00DD2D90">
        <w:rPr>
          <w:rStyle w:val="StyleUnderline"/>
          <w:highlight w:val="green"/>
        </w:rPr>
        <w:t>stop taking medication and seeking check-ins</w:t>
      </w:r>
      <w:r w:rsidRPr="00DD2D90">
        <w:rPr>
          <w:rStyle w:val="StyleUnderline"/>
        </w:rPr>
        <w:t xml:space="preserve"> with providers because they simply cannot afford treatment</w:t>
      </w:r>
      <w:r w:rsidRPr="00223414">
        <w:rPr>
          <w:sz w:val="16"/>
        </w:rPr>
        <w:t xml:space="preserve"> (Forsyth 2015). Thus, </w:t>
      </w:r>
      <w:r w:rsidRPr="00DD2D90">
        <w:rPr>
          <w:rStyle w:val="StyleUnderline"/>
          <w:highlight w:val="green"/>
        </w:rPr>
        <w:t xml:space="preserve">cost of medication is a </w:t>
      </w:r>
      <w:r w:rsidRPr="00DD2D90">
        <w:rPr>
          <w:rStyle w:val="Emphasis"/>
          <w:highlight w:val="green"/>
        </w:rPr>
        <w:t>clear obstacle</w:t>
      </w:r>
      <w:r w:rsidRPr="00DD2D90">
        <w:rPr>
          <w:rStyle w:val="StyleUnderline"/>
          <w:highlight w:val="green"/>
        </w:rPr>
        <w:t xml:space="preserve"> to receiving treatment</w:t>
      </w:r>
      <w:r w:rsidRPr="00DD2D90">
        <w:rPr>
          <w:rStyle w:val="StyleUnderline"/>
        </w:rPr>
        <w:t xml:space="preserve"> for NTDs</w:t>
      </w:r>
      <w:r w:rsidRPr="00223414">
        <w:rPr>
          <w:sz w:val="16"/>
        </w:rPr>
        <w:t xml:space="preserve">. Similarly, in countries like Ethiopia and Ghana, </w:t>
      </w:r>
      <w:r w:rsidRPr="00DD2D90">
        <w:rPr>
          <w:rStyle w:val="StyleUnderline"/>
        </w:rPr>
        <w:t xml:space="preserve">even </w:t>
      </w:r>
      <w:r w:rsidRPr="00DD2D90">
        <w:rPr>
          <w:rStyle w:val="StyleUnderline"/>
          <w:highlight w:val="green"/>
        </w:rPr>
        <w:t>if treatment for the disease itself is free, there are other costs patients are still responsible for, including</w:t>
      </w:r>
      <w:r w:rsidRPr="00DD2D90">
        <w:rPr>
          <w:rStyle w:val="StyleUnderline"/>
        </w:rPr>
        <w:t xml:space="preserve"> </w:t>
      </w:r>
      <w:r w:rsidRPr="00DD2D90">
        <w:rPr>
          <w:rStyle w:val="StyleUnderline"/>
          <w:highlight w:val="green"/>
        </w:rPr>
        <w:t>lab</w:t>
      </w:r>
      <w:r w:rsidRPr="00DD2D90">
        <w:rPr>
          <w:rStyle w:val="StyleUnderline"/>
        </w:rPr>
        <w:t xml:space="preserve">oratory </w:t>
      </w:r>
      <w:r w:rsidRPr="00DD2D90">
        <w:rPr>
          <w:rStyle w:val="StyleUnderline"/>
          <w:highlight w:val="green"/>
        </w:rPr>
        <w:t>fees, medications for complications or side</w:t>
      </w:r>
      <w:r w:rsidRPr="00DD2D90">
        <w:rPr>
          <w:rStyle w:val="StyleUnderline"/>
        </w:rPr>
        <w:t xml:space="preserve"> </w:t>
      </w:r>
      <w:r w:rsidRPr="00DD2D90">
        <w:rPr>
          <w:rStyle w:val="StyleUnderline"/>
          <w:highlight w:val="green"/>
        </w:rPr>
        <w:t>effects, and other medical supplies</w:t>
      </w:r>
      <w:r w:rsidRPr="00223414">
        <w:rPr>
          <w:sz w:val="16"/>
        </w:rPr>
        <w:t xml:space="preserve"> (Hailemichael et al, 2024). A patient’s geographical location also intersects with the cost of treatment for NTDs because patients must not only travel to receive treatment but also take time off work to travel (Forsyth 2015). As a result, travel expenses can deter people from receiving any treatment and cost motivated people to seek other forms of treatment through traditional healers (Hailemichael et al. 2024:6). As mentioned in the Bolivian case above, some patients opt to seek “ethnomedical treatment,” which involves homeopathic treatments based on local understandings of a condition (Forsyth 2015:13). For example, patients in Brazil consume noni fruit for its analgesic properties if infected with Chagas disease, largely because it is affordable for them (Forsyth 2015). Similarly, in Ethiopia, patients often prefer treatment from traditional healers because they are often local and conduct home visits, which alleviates the burden of travel expenses (Hailemichael et al. 2024). Even after patients access medical treatment, they can have delayed diagnosis because of limited provider knowledge of NTDs or local (mis)understandings of NTDs (Martínez-Parra et al. 2018). For example, in Colombia, local providers and specialists have limited knowledge of NTDs and often misdiagnose Chagas disease. This is because many NTDs, including Chagas, are not part of formal medical education and training, even for providers in endemic regions (Martínez-Parra et al. 2018). In Bolivia, rural communities believe that the NTD Chagas disease is incurable, comparing the disease to cancer and diabetes (Forsyth 2015). This misinformation is reinforced by doctors and other healthcare professionals because of poor understandings of, and lack of training about, the disease. An initial misdiagnosis delays treatment because providers will change treatment before reassessing the diagnosis.</w:t>
      </w:r>
    </w:p>
    <w:p w14:paraId="20C8F802" w14:textId="77777777" w:rsidR="00FA1D49" w:rsidRPr="00223414" w:rsidRDefault="00FA1D49">
      <w:pPr>
        <w:rPr>
          <w:rFonts w:eastAsiaTheme="majorEastAsia" w:cstheme="majorBidi"/>
          <w:b/>
          <w:iCs/>
          <w:sz w:val="16"/>
        </w:rPr>
      </w:pPr>
      <w:r w:rsidRPr="00223414">
        <w:rPr>
          <w:sz w:val="16"/>
        </w:rPr>
        <w:br w:type="page"/>
      </w:r>
    </w:p>
    <w:p w14:paraId="0B169708" w14:textId="5146B635" w:rsidR="00893021" w:rsidRPr="00223414" w:rsidRDefault="00893021" w:rsidP="00893021">
      <w:pPr>
        <w:pStyle w:val="Heading4"/>
        <w:rPr>
          <w:szCs w:val="26"/>
        </w:rPr>
      </w:pPr>
      <w:r w:rsidRPr="00223414">
        <w:rPr>
          <w:szCs w:val="26"/>
        </w:rPr>
        <w:t>Philantro</w:t>
      </w:r>
      <w:r w:rsidR="00186B97" w:rsidRPr="00223414">
        <w:rPr>
          <w:szCs w:val="26"/>
        </w:rPr>
        <w:t>capitalism can’t solve</w:t>
      </w:r>
      <w:r w:rsidRPr="00223414">
        <w:rPr>
          <w:szCs w:val="26"/>
        </w:rPr>
        <w:t xml:space="preserve"> NTD</w:t>
      </w:r>
      <w:r w:rsidR="00186B97" w:rsidRPr="00223414">
        <w:rPr>
          <w:szCs w:val="26"/>
        </w:rPr>
        <w:t>s – vertical focus and health system fragmentation</w:t>
      </w:r>
    </w:p>
    <w:p w14:paraId="7CACD649" w14:textId="77777777" w:rsidR="00893021" w:rsidRPr="00DD2D90" w:rsidRDefault="00893021" w:rsidP="00893021">
      <w:r w:rsidRPr="00223414">
        <w:rPr>
          <w:b/>
          <w:bCs/>
          <w:sz w:val="26"/>
          <w:szCs w:val="26"/>
        </w:rPr>
        <w:t>Farber et al. 26</w:t>
      </w:r>
      <w:r w:rsidRPr="00DD2D90">
        <w:t xml:space="preserve"> [Reya Farber, researcher at William &amp; Mary Department of Sociology, Rachel Rhee-Feitel, researcher at George Mason and Georgetown University Advanced Biomedical Sciences Program, and Amelia Lewis, researcher at the William &amp; Mary Department of Health Sciences, 3-29-2026, "Negating neglect: social scientific contributions on Neglected Tropical Diseases and global health", SpringerLink, https://link.springer.com/article/10.1186/s12939-026-02824-z]/Kankee</w:t>
      </w:r>
    </w:p>
    <w:p w14:paraId="0DA59A32" w14:textId="77777777" w:rsidR="00893021" w:rsidRPr="00223414" w:rsidRDefault="00893021" w:rsidP="00186B97">
      <w:pPr>
        <w:rPr>
          <w:sz w:val="16"/>
        </w:rPr>
      </w:pPr>
      <w:r w:rsidRPr="00223414">
        <w:rPr>
          <w:sz w:val="16"/>
        </w:rPr>
        <w:t xml:space="preserve">V. Tensions in Global Health Work and the Role of Community Engagement With colonialism still embedded in global health, programs can involve hierarchies and power, including “principal-agent” relationships in which organizations often based in the Global North decide on budgets and protocols to be implemented by aid “recipients” in Global South countries (Dionne 2017). This section demonstrates how such organizational hierarchies and patterns also emerge in Neglected Tropical Disease programs, illuminating rich insights about the disconnects between international disease program goals and national or district-level realities - and how such gaps might be overcome. </w:t>
      </w:r>
      <w:r w:rsidRPr="00DD2D90">
        <w:rPr>
          <w:rStyle w:val="StyleUnderline"/>
        </w:rPr>
        <w:t>Global health program priorities</w:t>
      </w:r>
      <w:r w:rsidRPr="00223414">
        <w:rPr>
          <w:sz w:val="16"/>
        </w:rPr>
        <w:t xml:space="preserve"> and practices </w:t>
      </w:r>
      <w:r w:rsidRPr="00DD2D90">
        <w:rPr>
          <w:rStyle w:val="StyleUnderline"/>
        </w:rPr>
        <w:t xml:space="preserve">do not </w:t>
      </w:r>
      <w:r w:rsidRPr="00223414">
        <w:rPr>
          <w:sz w:val="16"/>
        </w:rPr>
        <w:t>always</w:t>
      </w:r>
      <w:r w:rsidRPr="00DD2D90">
        <w:rPr>
          <w:rStyle w:val="StyleUnderline"/>
        </w:rPr>
        <w:t xml:space="preserve"> align with the interests</w:t>
      </w:r>
      <w:r w:rsidRPr="00223414">
        <w:rPr>
          <w:sz w:val="16"/>
        </w:rPr>
        <w:t xml:space="preserve"> or realities </w:t>
      </w:r>
      <w:r w:rsidRPr="00DD2D90">
        <w:rPr>
          <w:rStyle w:val="StyleUnderline"/>
        </w:rPr>
        <w:t>of the communities they</w:t>
      </w:r>
      <w:r w:rsidRPr="00223414">
        <w:rPr>
          <w:sz w:val="16"/>
        </w:rPr>
        <w:t xml:space="preserve"> </w:t>
      </w:r>
      <w:r w:rsidRPr="00DD2D90">
        <w:rPr>
          <w:rStyle w:val="StyleUnderline"/>
        </w:rPr>
        <w:t>serve</w:t>
      </w:r>
      <w:r w:rsidRPr="00223414">
        <w:rPr>
          <w:sz w:val="16"/>
        </w:rPr>
        <w:t xml:space="preserve">, despite the most carefully crafted evidence, measurable metrics, and standardized protocols (McDonnell 2019). </w:t>
      </w:r>
      <w:r w:rsidRPr="00DD2D90">
        <w:rPr>
          <w:rStyle w:val="StyleUnderline"/>
        </w:rPr>
        <w:t xml:space="preserve">This is true in the case of </w:t>
      </w:r>
      <w:r w:rsidRPr="00DD2D90">
        <w:rPr>
          <w:rStyle w:val="StyleUnderline"/>
          <w:highlight w:val="green"/>
        </w:rPr>
        <w:t>NTDs</w:t>
      </w:r>
      <w:r w:rsidRPr="00DD2D90">
        <w:rPr>
          <w:rStyle w:val="StyleUnderline"/>
        </w:rPr>
        <w:t xml:space="preserve">, where the </w:t>
      </w:r>
      <w:r w:rsidRPr="00DD2D90">
        <w:rPr>
          <w:rStyle w:val="StyleUnderline"/>
          <w:highlight w:val="green"/>
        </w:rPr>
        <w:t>contrast can be stark between the “</w:t>
      </w:r>
      <w:r w:rsidRPr="00DD2D90">
        <w:rPr>
          <w:rStyle w:val="Emphasis"/>
          <w:highlight w:val="green"/>
        </w:rPr>
        <w:t xml:space="preserve">[g]lossy </w:t>
      </w:r>
      <w:r w:rsidRPr="00DD2D90">
        <w:rPr>
          <w:rStyle w:val="StyleUnderline"/>
        </w:rPr>
        <w:t xml:space="preserve">global </w:t>
      </w:r>
      <w:r w:rsidRPr="00DD2D90">
        <w:rPr>
          <w:rStyle w:val="StyleUnderline"/>
          <w:highlight w:val="green"/>
        </w:rPr>
        <w:t xml:space="preserve">targets </w:t>
      </w:r>
      <w:r w:rsidRPr="00DD2D90">
        <w:rPr>
          <w:rStyle w:val="StyleUnderline"/>
        </w:rPr>
        <w:t xml:space="preserve">for elimination” </w:t>
      </w:r>
      <w:r w:rsidRPr="00DD2D90">
        <w:rPr>
          <w:rStyle w:val="StyleUnderline"/>
          <w:highlight w:val="green"/>
        </w:rPr>
        <w:t>and</w:t>
      </w:r>
      <w:r w:rsidRPr="00DD2D90">
        <w:rPr>
          <w:rStyle w:val="StyleUnderline"/>
        </w:rPr>
        <w:t xml:space="preserve"> disease </w:t>
      </w:r>
      <w:r w:rsidRPr="00DD2D90">
        <w:rPr>
          <w:rStyle w:val="StyleUnderline"/>
          <w:highlight w:val="green"/>
        </w:rPr>
        <w:t>programs</w:t>
      </w:r>
      <w:r w:rsidRPr="00DD2D90">
        <w:rPr>
          <w:rStyle w:val="StyleUnderline"/>
        </w:rPr>
        <w:t xml:space="preserve"> implemented in country contexts </w:t>
      </w:r>
      <w:r w:rsidRPr="00DD2D90">
        <w:rPr>
          <w:rStyle w:val="StyleUnderline"/>
          <w:highlight w:val="green"/>
        </w:rPr>
        <w:t>with no resources</w:t>
      </w:r>
      <w:r w:rsidRPr="00223414">
        <w:rPr>
          <w:sz w:val="16"/>
        </w:rPr>
        <w:t xml:space="preserve"> (Smith et al. 2015:17). For instance, </w:t>
      </w:r>
      <w:r w:rsidRPr="00DD2D90">
        <w:rPr>
          <w:rStyle w:val="StyleUnderline"/>
        </w:rPr>
        <w:t>in</w:t>
      </w:r>
      <w:r w:rsidRPr="00223414">
        <w:rPr>
          <w:sz w:val="16"/>
        </w:rPr>
        <w:t xml:space="preserve"> poor and aid-dependent </w:t>
      </w:r>
      <w:r w:rsidRPr="00DD2D90">
        <w:rPr>
          <w:rStyle w:val="StyleUnderline"/>
        </w:rPr>
        <w:t>Uganda</w:t>
      </w:r>
      <w:r w:rsidRPr="00223414">
        <w:rPr>
          <w:sz w:val="16"/>
        </w:rPr>
        <w:t xml:space="preserve">, where the Ministry of Health is weak, there is a lack of coordination and resource prioritization for NTDs at national and district levels. </w:t>
      </w:r>
      <w:r w:rsidRPr="00DD2D90">
        <w:rPr>
          <w:rStyle w:val="StyleUnderline"/>
        </w:rPr>
        <w:t xml:space="preserve">This involves “antagonistic relationship[s] between international actors and national </w:t>
      </w:r>
      <w:r w:rsidRPr="00223414">
        <w:rPr>
          <w:sz w:val="16"/>
        </w:rPr>
        <w:t>and district</w:t>
      </w:r>
      <w:r w:rsidRPr="00DD2D90">
        <w:rPr>
          <w:rStyle w:val="StyleUnderline"/>
        </w:rPr>
        <w:t xml:space="preserve"> leaders</w:t>
      </w:r>
      <w:r w:rsidRPr="00223414">
        <w:rPr>
          <w:sz w:val="16"/>
        </w:rPr>
        <w:t>,” which mean that “[</w:t>
      </w:r>
      <w:r w:rsidRPr="00DD2D90">
        <w:rPr>
          <w:rStyle w:val="StyleUnderline"/>
          <w:highlight w:val="green"/>
        </w:rPr>
        <w:t>p</w:t>
      </w:r>
      <w:r w:rsidRPr="00DD2D90">
        <w:rPr>
          <w:rStyle w:val="StyleUnderline"/>
        </w:rPr>
        <w:t>]</w:t>
      </w:r>
      <w:r w:rsidRPr="00DD2D90">
        <w:rPr>
          <w:rStyle w:val="StyleUnderline"/>
          <w:highlight w:val="green"/>
        </w:rPr>
        <w:t>artnerships</w:t>
      </w:r>
      <w:r w:rsidRPr="00DD2D90">
        <w:rPr>
          <w:rStyle w:val="StyleUnderline"/>
        </w:rPr>
        <w:t xml:space="preserve">… may </w:t>
      </w:r>
      <w:r w:rsidRPr="00DD2D90">
        <w:rPr>
          <w:rStyle w:val="StyleUnderline"/>
          <w:highlight w:val="green"/>
        </w:rPr>
        <w:t>act as gatekeepers, controlling resources by virtue of</w:t>
      </w:r>
      <w:r w:rsidRPr="00DD2D90">
        <w:rPr>
          <w:rStyle w:val="StyleUnderline"/>
        </w:rPr>
        <w:t xml:space="preserve"> being the only entity that can easily access new forms of </w:t>
      </w:r>
      <w:r w:rsidRPr="00DD2D90">
        <w:rPr>
          <w:rStyle w:val="StyleUnderline"/>
          <w:highlight w:val="green"/>
        </w:rPr>
        <w:t>donor funding</w:t>
      </w:r>
      <w:r w:rsidRPr="00DD2D90">
        <w:rPr>
          <w:rStyle w:val="StyleUnderline"/>
        </w:rPr>
        <w:t xml:space="preserve">; sometimes by virtue of simply </w:t>
      </w:r>
      <w:r w:rsidRPr="00DD2D90">
        <w:rPr>
          <w:rStyle w:val="StyleUnderline"/>
          <w:highlight w:val="green"/>
        </w:rPr>
        <w:t xml:space="preserve">being an </w:t>
      </w:r>
      <w:r w:rsidRPr="00DD2D90">
        <w:rPr>
          <w:rStyle w:val="Emphasis"/>
          <w:highlight w:val="green"/>
        </w:rPr>
        <w:t>alternative to</w:t>
      </w:r>
      <w:r w:rsidRPr="00DD2D90">
        <w:rPr>
          <w:rStyle w:val="Emphasis"/>
        </w:rPr>
        <w:t xml:space="preserve"> </w:t>
      </w:r>
      <w:r w:rsidRPr="00DD2D90">
        <w:rPr>
          <w:rStyle w:val="Emphasis"/>
          <w:highlight w:val="green"/>
        </w:rPr>
        <w:t>the state</w:t>
      </w:r>
      <w:r w:rsidRPr="00223414">
        <w:rPr>
          <w:sz w:val="16"/>
        </w:rPr>
        <w:t xml:space="preserve">” (Smith et al. 2015:17, 18). A country’s </w:t>
      </w:r>
      <w:r w:rsidRPr="00DD2D90">
        <w:rPr>
          <w:rStyle w:val="StyleUnderline"/>
        </w:rPr>
        <w:t xml:space="preserve">reliance on foreign aid, </w:t>
      </w:r>
      <w:r w:rsidRPr="00DD2D90">
        <w:rPr>
          <w:rStyle w:val="StyleUnderline"/>
          <w:highlight w:val="green"/>
        </w:rPr>
        <w:t xml:space="preserve">combined with a lack of centralized coordination, prioritization, and resources for NTDs leads to fragmented </w:t>
      </w:r>
      <w:r w:rsidRPr="00DD2D90">
        <w:rPr>
          <w:rStyle w:val="StyleUnderline"/>
        </w:rPr>
        <w:t xml:space="preserve">goals and </w:t>
      </w:r>
      <w:r w:rsidRPr="00DD2D90">
        <w:rPr>
          <w:rStyle w:val="StyleUnderline"/>
          <w:highlight w:val="green"/>
        </w:rPr>
        <w:t xml:space="preserve">program </w:t>
      </w:r>
      <w:r w:rsidRPr="00DD2D90">
        <w:rPr>
          <w:rStyle w:val="StyleUnderline"/>
        </w:rPr>
        <w:t>implementation</w:t>
      </w:r>
      <w:r w:rsidRPr="00223414">
        <w:rPr>
          <w:sz w:val="16"/>
        </w:rPr>
        <w:t xml:space="preserve"> across local, national, and global scales. In another example, in Laos PDR, most of the NTD information provided by an NGO included text-heavy informational flyers in a community that is highly illiterate (Bardosh et al. 2014). In that community, two NGO-funded subsidy-based sanitation projects were implemented in a village where people were given supplies to build latrines for their homes, yet did not offer information on how to set them up. As a result, during the time of the study, those who still had the latrines were using it for other purposes (Bardosh et al. 2014). Instead, in future programs, the researchers emphasize involving community members in education programs. For example, creating community health groups would foster empowerment within the community and allow for more “culturally compelling” methods (Higginbotham et al. 2001 as cited by Bardosh 2014:7). Overall, </w:t>
      </w:r>
      <w:r w:rsidRPr="00DD2D90">
        <w:rPr>
          <w:rStyle w:val="StyleUnderline"/>
        </w:rPr>
        <w:t>community participation would create more sustainable programs that last long after NGO support</w:t>
      </w:r>
      <w:r w:rsidRPr="00223414">
        <w:rPr>
          <w:sz w:val="16"/>
        </w:rPr>
        <w:t xml:space="preserve">. There are also disconnects between solutions proposed by domestic and international stakeholders, such as politicians, pharmaceutical company executives, and heads of global health organizations. As we previously discussed, </w:t>
      </w:r>
      <w:r w:rsidRPr="00DD2D90">
        <w:rPr>
          <w:rStyle w:val="StyleUnderline"/>
          <w:highlight w:val="green"/>
        </w:rPr>
        <w:t>global health</w:t>
      </w:r>
      <w:r w:rsidRPr="00DD2D90">
        <w:rPr>
          <w:rStyle w:val="StyleUnderline"/>
        </w:rPr>
        <w:t xml:space="preserve"> programs, especially those </w:t>
      </w:r>
      <w:r w:rsidRPr="00DD2D90">
        <w:rPr>
          <w:rStyle w:val="StyleUnderline"/>
          <w:highlight w:val="green"/>
        </w:rPr>
        <w:t>targeting</w:t>
      </w:r>
      <w:r w:rsidRPr="00DD2D90">
        <w:rPr>
          <w:rStyle w:val="StyleUnderline"/>
        </w:rPr>
        <w:t xml:space="preserve"> </w:t>
      </w:r>
      <w:r w:rsidRPr="00DD2D90">
        <w:rPr>
          <w:rStyle w:val="StyleUnderline"/>
          <w:highlight w:val="green"/>
        </w:rPr>
        <w:t>N</w:t>
      </w:r>
      <w:r w:rsidRPr="00DD2D90">
        <w:rPr>
          <w:rStyle w:val="StyleUnderline"/>
        </w:rPr>
        <w:t xml:space="preserve">eglected </w:t>
      </w:r>
      <w:r w:rsidRPr="00DD2D90">
        <w:rPr>
          <w:rStyle w:val="StyleUnderline"/>
          <w:highlight w:val="green"/>
        </w:rPr>
        <w:t>T</w:t>
      </w:r>
      <w:r w:rsidRPr="00DD2D90">
        <w:rPr>
          <w:rStyle w:val="StyleUnderline"/>
        </w:rPr>
        <w:t xml:space="preserve">ropical </w:t>
      </w:r>
      <w:r w:rsidRPr="00DD2D90">
        <w:rPr>
          <w:rStyle w:val="StyleUnderline"/>
          <w:highlight w:val="green"/>
        </w:rPr>
        <w:t>D</w:t>
      </w:r>
      <w:r w:rsidRPr="00DD2D90">
        <w:rPr>
          <w:rStyle w:val="StyleUnderline"/>
        </w:rPr>
        <w:t>iseases</w:t>
      </w:r>
      <w:r w:rsidRPr="00223414">
        <w:rPr>
          <w:sz w:val="16"/>
        </w:rPr>
        <w:t xml:space="preserve">, typically </w:t>
      </w:r>
      <w:r w:rsidRPr="00DD2D90">
        <w:rPr>
          <w:rStyle w:val="StyleUnderline"/>
          <w:highlight w:val="green"/>
        </w:rPr>
        <w:t>adhere to a “</w:t>
      </w:r>
      <w:r w:rsidRPr="00DD2D90">
        <w:rPr>
          <w:rStyle w:val="Emphasis"/>
          <w:highlight w:val="green"/>
        </w:rPr>
        <w:t>vertical</w:t>
      </w:r>
      <w:r w:rsidRPr="00DD2D90">
        <w:rPr>
          <w:rStyle w:val="StyleUnderline"/>
        </w:rPr>
        <w:t xml:space="preserve">” model that </w:t>
      </w:r>
      <w:r w:rsidRPr="00DD2D90">
        <w:rPr>
          <w:rStyle w:val="StyleUnderline"/>
          <w:highlight w:val="green"/>
        </w:rPr>
        <w:t>focuses on</w:t>
      </w:r>
      <w:r w:rsidRPr="00DD2D90">
        <w:rPr>
          <w:rStyle w:val="StyleUnderline"/>
        </w:rPr>
        <w:t xml:space="preserve"> addressing </w:t>
      </w:r>
      <w:r w:rsidRPr="00DD2D90">
        <w:rPr>
          <w:rStyle w:val="StyleUnderline"/>
          <w:highlight w:val="green"/>
        </w:rPr>
        <w:t xml:space="preserve">single diseases with </w:t>
      </w:r>
      <w:r w:rsidRPr="00DD2D90">
        <w:rPr>
          <w:rStyle w:val="Emphasis"/>
          <w:highlight w:val="green"/>
        </w:rPr>
        <w:t>technoscientific</w:t>
      </w:r>
      <w:r w:rsidRPr="00DD2D90">
        <w:rPr>
          <w:rStyle w:val="StyleUnderline"/>
          <w:highlight w:val="green"/>
        </w:rPr>
        <w:t xml:space="preserve"> pharma</w:t>
      </w:r>
      <w:r w:rsidRPr="00DD2D90">
        <w:rPr>
          <w:rStyle w:val="StyleUnderline"/>
        </w:rPr>
        <w:t xml:space="preserve">ceutical </w:t>
      </w:r>
      <w:r w:rsidRPr="00DD2D90">
        <w:rPr>
          <w:rStyle w:val="StyleUnderline"/>
          <w:highlight w:val="green"/>
        </w:rPr>
        <w:t>solutions</w:t>
      </w:r>
      <w:r w:rsidRPr="00223414">
        <w:rPr>
          <w:sz w:val="16"/>
        </w:rPr>
        <w:t xml:space="preserve">. For example, many Kenyan health workers, teachers, and government officials questioned the long-term usefulness of MDA for soil-transmitted helminths (STH), a type of parasitic worm (Khan et al. 2019). With tablets given out regularly to control infection, they felt that this approach did not address root causes of the disease, such as poor sanitation and lack of hygiene education. One interviewee asked: “For how long are we going to take the tablets? I think we should look at measures of prevention” (Khan et al. 2019:54-55). </w:t>
      </w:r>
      <w:r w:rsidRPr="00DD2D90">
        <w:rPr>
          <w:rStyle w:val="StyleUnderline"/>
          <w:highlight w:val="green"/>
        </w:rPr>
        <w:t>Instead of</w:t>
      </w:r>
      <w:r w:rsidRPr="00DD2D90">
        <w:rPr>
          <w:rStyle w:val="StyleUnderline"/>
        </w:rPr>
        <w:t xml:space="preserve"> focusing only on giving </w:t>
      </w:r>
      <w:r w:rsidRPr="00DD2D90">
        <w:rPr>
          <w:rStyle w:val="StyleUnderline"/>
          <w:highlight w:val="green"/>
        </w:rPr>
        <w:t>medicine</w:t>
      </w:r>
      <w:r w:rsidRPr="00DD2D90">
        <w:rPr>
          <w:rStyle w:val="StyleUnderline"/>
        </w:rPr>
        <w:t xml:space="preserve">, the stakeholders suggested </w:t>
      </w:r>
      <w:r w:rsidRPr="00DD2D90">
        <w:rPr>
          <w:rStyle w:val="StyleUnderline"/>
          <w:highlight w:val="green"/>
        </w:rPr>
        <w:t>invest</w:t>
      </w:r>
      <w:r w:rsidRPr="00DD2D90">
        <w:rPr>
          <w:rStyle w:val="StyleUnderline"/>
        </w:rPr>
        <w:t xml:space="preserve">ing </w:t>
      </w:r>
      <w:r w:rsidRPr="00DD2D90">
        <w:rPr>
          <w:rStyle w:val="StyleUnderline"/>
          <w:highlight w:val="green"/>
        </w:rPr>
        <w:t>in stronger health systems</w:t>
      </w:r>
      <w:r w:rsidRPr="00223414">
        <w:rPr>
          <w:sz w:val="16"/>
        </w:rPr>
        <w:t xml:space="preserve">, cleaner environments, and education to help communities take charge of their own health. A community health worker explained: “If we health educate our community, they will be enlightened… rather than pumping drugs in hospital” (Khan et al. 2019:56). This highlights how </w:t>
      </w:r>
      <w:r w:rsidRPr="00DD2D90">
        <w:rPr>
          <w:rStyle w:val="StyleUnderline"/>
        </w:rPr>
        <w:t>sustainable disease control is about</w:t>
      </w:r>
      <w:r w:rsidRPr="00223414">
        <w:rPr>
          <w:sz w:val="16"/>
        </w:rPr>
        <w:t xml:space="preserve"> more than providing medicine or tools, but rather involves long-term planning, better cooperation across government departments, and strong community involvement. Relatedly, in the Southern Ghanaian context, </w:t>
      </w:r>
      <w:r w:rsidRPr="00DD2D90">
        <w:rPr>
          <w:rStyle w:val="StyleUnderline"/>
        </w:rPr>
        <w:t xml:space="preserve">addressing </w:t>
      </w:r>
      <w:r w:rsidRPr="00DD2D90">
        <w:rPr>
          <w:rStyle w:val="Emphasis"/>
        </w:rPr>
        <w:t>root causes</w:t>
      </w:r>
      <w:r w:rsidRPr="00DD2D90">
        <w:rPr>
          <w:rStyle w:val="StyleUnderline"/>
        </w:rPr>
        <w:t xml:space="preserve"> of</w:t>
      </w:r>
      <w:r w:rsidRPr="00223414">
        <w:rPr>
          <w:sz w:val="16"/>
        </w:rPr>
        <w:t xml:space="preserve">, and involving local stakeholders in, the control of urinary schistosomiasis, a parasitic </w:t>
      </w:r>
      <w:r w:rsidRPr="00DD2D90">
        <w:rPr>
          <w:rStyle w:val="StyleUnderline"/>
        </w:rPr>
        <w:t>disease</w:t>
      </w:r>
      <w:r w:rsidRPr="00223414">
        <w:rPr>
          <w:sz w:val="16"/>
        </w:rPr>
        <w:t xml:space="preserve"> caused by contact with freshwater snails, makes for more successful efforts </w:t>
      </w:r>
      <w:r w:rsidRPr="00DD2D90">
        <w:rPr>
          <w:rStyle w:val="StyleUnderline"/>
        </w:rPr>
        <w:t>rather than drug treatments alone</w:t>
      </w:r>
      <w:r w:rsidRPr="00223414">
        <w:rPr>
          <w:sz w:val="16"/>
        </w:rPr>
        <w:t xml:space="preserve"> (Ntajal et al. 2020). Human behavior and limited water infrastructure in southern Ghana affect the spread of this disease. Based on a survey of over 300 schoolchildren, and observations of their interactions with surface water – such as swimming, fishing, and fetching water – the study found that water contact is very common and often unavoidable, especially for children. MDA with praziquantel was the main control strategy used in the region, but the study found that while it lowered infection risk, it wasn’t enough to stop the disease. In this case, MDA control strategies do not “sustainably break the transmission cycle,” because they “do not tackle the underlying causal factors” (Ntajal et al. 2020:10). Causal factors included open defecation near water sources, poor sanitation, and lack of access to safe drinking water. For example, a third of the children reported practicing open defecation, and almost half said it occurred in or near the river. Despite high awareness of risk factors (88% of children), behavior change was limited due to lack of alternatives. Thus, </w:t>
      </w:r>
      <w:r w:rsidRPr="00DD2D90">
        <w:rPr>
          <w:rStyle w:val="StyleUnderline"/>
        </w:rPr>
        <w:t>effective control of schistosomiasis requires more than just medication</w:t>
      </w:r>
      <w:r w:rsidRPr="00223414">
        <w:rPr>
          <w:sz w:val="16"/>
        </w:rPr>
        <w:t>. As the authors argue: “</w:t>
      </w:r>
      <w:r w:rsidRPr="00DD2D90">
        <w:rPr>
          <w:rStyle w:val="StyleUnderline"/>
        </w:rPr>
        <w:t xml:space="preserve">The transmission cycle cannot be broken by exposure reduction, but rather, requires the development of effective primary </w:t>
      </w:r>
      <w:r w:rsidRPr="00223414">
        <w:rPr>
          <w:sz w:val="16"/>
        </w:rPr>
        <w:t xml:space="preserve">barriers” (Ntajal et al. 2020:10). Community-level programs should therefore focus on improving sanitation, reducing reliance on untreated river water, and integrating health education with </w:t>
      </w:r>
      <w:r w:rsidRPr="00DD2D90">
        <w:rPr>
          <w:rStyle w:val="StyleUnderline"/>
        </w:rPr>
        <w:t>infrastructure</w:t>
      </w:r>
      <w:r w:rsidRPr="00223414">
        <w:rPr>
          <w:sz w:val="16"/>
        </w:rPr>
        <w:t xml:space="preserve"> investment. In contrast, when programs are integrated at the village level, communities become empowered and trust the programs. For example, in Tanzania, researchers from the London School of Economics &amp; Political Science, the Tanzania National Institute for Medical Research, and the University of Notre Dame implemented an Enhanced Development Governance (EDG) program, with the goal of creating “sustainable village governance” over Neglected Tropical Disease management (Madon et al. 2018:29). The EDG program was successful in different villages, and over time the communities began to organize monthly community meetings, reinforcing sanitation practices and implementing village clean-ups (Madon et al. 2018). Thus, </w:t>
      </w:r>
      <w:r w:rsidRPr="00DD2D90">
        <w:rPr>
          <w:rStyle w:val="StyleUnderline"/>
        </w:rPr>
        <w:t xml:space="preserve">investing in </w:t>
      </w:r>
      <w:r w:rsidRPr="00DD2D90">
        <w:rPr>
          <w:rStyle w:val="StyleUnderline"/>
          <w:highlight w:val="green"/>
        </w:rPr>
        <w:t>community capacity</w:t>
      </w:r>
      <w:r w:rsidRPr="00DD2D90">
        <w:rPr>
          <w:rStyle w:val="StyleUnderline"/>
        </w:rPr>
        <w:t xml:space="preserve"> building is an effective, long-term strategy to control NTDs by integrating community knowledge, values, and resources</w:t>
      </w:r>
      <w:r w:rsidRPr="00223414">
        <w:rPr>
          <w:sz w:val="16"/>
        </w:rPr>
        <w:t xml:space="preserve">. </w:t>
      </w:r>
      <w:r w:rsidRPr="00DD2D90">
        <w:rPr>
          <w:rStyle w:val="StyleUnderline"/>
        </w:rPr>
        <w:t>This</w:t>
      </w:r>
      <w:r w:rsidRPr="00223414">
        <w:rPr>
          <w:sz w:val="16"/>
        </w:rPr>
        <w:t xml:space="preserve"> in turn </w:t>
      </w:r>
      <w:r w:rsidRPr="00DD2D90">
        <w:rPr>
          <w:rStyle w:val="Emphasis"/>
          <w:highlight w:val="green"/>
        </w:rPr>
        <w:t>empowers</w:t>
      </w:r>
      <w:r w:rsidRPr="00223414">
        <w:rPr>
          <w:sz w:val="16"/>
          <w:highlight w:val="green"/>
        </w:rPr>
        <w:t xml:space="preserve"> </w:t>
      </w:r>
      <w:r w:rsidRPr="00DD2D90">
        <w:rPr>
          <w:rStyle w:val="StyleUnderline"/>
          <w:highlight w:val="green"/>
        </w:rPr>
        <w:t>and</w:t>
      </w:r>
      <w:r w:rsidRPr="00223414">
        <w:rPr>
          <w:sz w:val="16"/>
          <w:highlight w:val="green"/>
        </w:rPr>
        <w:t xml:space="preserve"> </w:t>
      </w:r>
      <w:r w:rsidRPr="00DD2D90">
        <w:rPr>
          <w:rStyle w:val="Emphasis"/>
          <w:highlight w:val="green"/>
        </w:rPr>
        <w:t>routinizes</w:t>
      </w:r>
      <w:r w:rsidRPr="00223414">
        <w:rPr>
          <w:sz w:val="16"/>
          <w:highlight w:val="green"/>
        </w:rPr>
        <w:t xml:space="preserve"> </w:t>
      </w:r>
      <w:r w:rsidRPr="00DD2D90">
        <w:rPr>
          <w:rStyle w:val="StyleUnderline"/>
          <w:highlight w:val="green"/>
        </w:rPr>
        <w:t>community</w:t>
      </w:r>
      <w:r w:rsidRPr="00DD2D90">
        <w:rPr>
          <w:rStyle w:val="StyleUnderline"/>
        </w:rPr>
        <w:t xml:space="preserve"> members as active </w:t>
      </w:r>
      <w:r w:rsidRPr="00DD2D90">
        <w:rPr>
          <w:rStyle w:val="StyleUnderline"/>
          <w:highlight w:val="green"/>
        </w:rPr>
        <w:t>agents of change in disease</w:t>
      </w:r>
      <w:r w:rsidRPr="00223414">
        <w:rPr>
          <w:sz w:val="16"/>
          <w:highlight w:val="green"/>
        </w:rPr>
        <w:t xml:space="preserve"> </w:t>
      </w:r>
      <w:r w:rsidRPr="00DD2D90">
        <w:rPr>
          <w:rStyle w:val="StyleUnderline"/>
          <w:highlight w:val="green"/>
        </w:rPr>
        <w:t>prevention</w:t>
      </w:r>
      <w:r w:rsidRPr="00223414">
        <w:rPr>
          <w:sz w:val="16"/>
        </w:rPr>
        <w:t xml:space="preserve">. Additionally, </w:t>
      </w:r>
      <w:r w:rsidRPr="00DD2D90">
        <w:rPr>
          <w:rStyle w:val="StyleUnderline"/>
        </w:rPr>
        <w:t>the narrow goals of HIV/AIDS</w:t>
      </w:r>
      <w:r w:rsidRPr="00223414">
        <w:rPr>
          <w:sz w:val="16"/>
        </w:rPr>
        <w:t xml:space="preserve"> prevention and treatment programs </w:t>
      </w:r>
      <w:r w:rsidRPr="00DD2D90">
        <w:rPr>
          <w:rStyle w:val="StyleUnderline"/>
        </w:rPr>
        <w:t xml:space="preserve">can </w:t>
      </w:r>
      <w:r w:rsidRPr="00DD2D90">
        <w:rPr>
          <w:rStyle w:val="Emphasis"/>
        </w:rPr>
        <w:t>preclude</w:t>
      </w:r>
      <w:r w:rsidRPr="00223414">
        <w:rPr>
          <w:sz w:val="16"/>
        </w:rPr>
        <w:t xml:space="preserve"> the incorporation of </w:t>
      </w:r>
      <w:r w:rsidRPr="00DD2D90">
        <w:rPr>
          <w:rStyle w:val="StyleUnderline"/>
        </w:rPr>
        <w:t>Neglected Tropical Disease initiatives</w:t>
      </w:r>
      <w:r w:rsidRPr="00223414">
        <w:rPr>
          <w:sz w:val="16"/>
        </w:rPr>
        <w:t xml:space="preserve"> (Hunsmann 2012). The outsized HIV/AIDS focus is what public health stakeholders described as the “AIDS industry” and a “big business” (Hunsmann 2012:1479). </w:t>
      </w:r>
      <w:r w:rsidRPr="00DD2D90">
        <w:rPr>
          <w:rStyle w:val="StyleUnderline"/>
          <w:highlight w:val="green"/>
        </w:rPr>
        <w:t>The logic of single disease</w:t>
      </w:r>
      <w:r w:rsidRPr="00DD2D90">
        <w:rPr>
          <w:rStyle w:val="StyleUnderline"/>
        </w:rPr>
        <w:t>-driven programs</w:t>
      </w:r>
      <w:r w:rsidRPr="00223414">
        <w:rPr>
          <w:sz w:val="16"/>
        </w:rPr>
        <w:t xml:space="preserve">, like those focusing on HIV/AIDS, </w:t>
      </w:r>
      <w:r w:rsidRPr="00DD2D90">
        <w:rPr>
          <w:rStyle w:val="StyleUnderline"/>
          <w:highlight w:val="green"/>
        </w:rPr>
        <w:t>makes it</w:t>
      </w:r>
      <w:r w:rsidRPr="00DD2D90">
        <w:rPr>
          <w:rStyle w:val="StyleUnderline"/>
        </w:rPr>
        <w:t xml:space="preserve"> </w:t>
      </w:r>
      <w:r w:rsidRPr="00223414">
        <w:rPr>
          <w:sz w:val="16"/>
        </w:rPr>
        <w:t xml:space="preserve">difficult or </w:t>
      </w:r>
      <w:r w:rsidRPr="00DD2D90">
        <w:rPr>
          <w:rStyle w:val="Emphasis"/>
          <w:highlight w:val="green"/>
        </w:rPr>
        <w:t>impossible</w:t>
      </w:r>
      <w:r w:rsidRPr="00223414">
        <w:rPr>
          <w:sz w:val="16"/>
          <w:highlight w:val="green"/>
        </w:rPr>
        <w:t xml:space="preserve"> </w:t>
      </w:r>
      <w:r w:rsidRPr="00DD2D90">
        <w:rPr>
          <w:rStyle w:val="StyleUnderline"/>
          <w:highlight w:val="green"/>
        </w:rPr>
        <w:t>to incorporate</w:t>
      </w:r>
      <w:r w:rsidRPr="00DD2D90">
        <w:rPr>
          <w:rStyle w:val="StyleUnderline"/>
        </w:rPr>
        <w:t xml:space="preserve"> </w:t>
      </w:r>
      <w:r w:rsidRPr="00DD2D90">
        <w:rPr>
          <w:rStyle w:val="StyleUnderline"/>
          <w:highlight w:val="green"/>
        </w:rPr>
        <w:t>other</w:t>
      </w:r>
      <w:r w:rsidRPr="00DD2D90">
        <w:rPr>
          <w:rStyle w:val="StyleUnderline"/>
        </w:rPr>
        <w:t xml:space="preserve"> interlocking health </w:t>
      </w:r>
      <w:r w:rsidRPr="00DD2D90">
        <w:rPr>
          <w:rStyle w:val="StyleUnderline"/>
          <w:highlight w:val="green"/>
        </w:rPr>
        <w:t>issues</w:t>
      </w:r>
      <w:r w:rsidRPr="00DD2D90">
        <w:rPr>
          <w:rStyle w:val="StyleUnderline"/>
        </w:rPr>
        <w:t xml:space="preserve"> </w:t>
      </w:r>
      <w:r w:rsidRPr="00223414">
        <w:rPr>
          <w:sz w:val="16"/>
        </w:rPr>
        <w:t xml:space="preserve">and diseases. </w:t>
      </w:r>
      <w:r w:rsidRPr="00DD2D90">
        <w:rPr>
          <w:rStyle w:val="StyleUnderline"/>
        </w:rPr>
        <w:t>Even though interventions for neglected diseases epitomize cost- effectiveness, “[f]ragmented funding and reporting processes… do not impel project managers to work towards achieving collectively elaborated cross-sectional goals by considering the broader outcomes of their activity</w:t>
      </w:r>
      <w:r w:rsidRPr="00223414">
        <w:rPr>
          <w:sz w:val="16"/>
        </w:rPr>
        <w:t xml:space="preserve">…” (Hunsmann 2012:1481). Integrating NTD programs into existent and well-funded initiatives, such as those addressing HIV/AIDS, would be both sustainable and efficient (Umbelino-Walker et al. 2023; Reed and McKerrow 2018:325). As this section has shown, NTD programs reflect and impart longstanding disconnects between international goals and national and local realities, offering lessons for, and powerful examples of, better outcomes. Based on surveys, interviews, and observations, this line of research illuminates the donor-funded resource constraints of technical disease initiatives and the importance of community involvement in NTD programs. Taken together, these studies show how community involvement strengthens the effectiveness of global health interventions carried out by different organizations, while unique community dynamics and local leadership continually play a vital role in the success or failure of disease interventions. More holistic approaches to global health programs, which broaden the focus beyond single diseases, would better encapsulate the WHO’s integrated “One Health” approach. We now turn to people’s lived experiences with Neglected Tropical Diseases, highlighting decisions to seek, and barriers to accessing, treatment; their beliefs and knowledge about conditions; as well as stigma and mental health. VI. Disease Management, Socioeconomic Barriers, and Illness Experiences </w:t>
      </w:r>
    </w:p>
    <w:p w14:paraId="014E98F7" w14:textId="77777777" w:rsidR="00FA1D49" w:rsidRPr="00223414" w:rsidRDefault="00FA1D49">
      <w:pPr>
        <w:rPr>
          <w:rFonts w:eastAsiaTheme="majorEastAsia" w:cstheme="majorBidi"/>
          <w:b/>
          <w:iCs/>
          <w:sz w:val="16"/>
        </w:rPr>
      </w:pPr>
      <w:r w:rsidRPr="00223414">
        <w:rPr>
          <w:sz w:val="16"/>
        </w:rPr>
        <w:br w:type="page"/>
      </w:r>
    </w:p>
    <w:p w14:paraId="3B4044CE" w14:textId="58DF15A7" w:rsidR="00893021" w:rsidRPr="00223414" w:rsidRDefault="0056047E" w:rsidP="00893021">
      <w:pPr>
        <w:pStyle w:val="Heading4"/>
        <w:rPr>
          <w:szCs w:val="26"/>
        </w:rPr>
      </w:pPr>
      <w:r w:rsidRPr="00223414">
        <w:rPr>
          <w:szCs w:val="26"/>
        </w:rPr>
        <w:t>Ending NTDs solves</w:t>
      </w:r>
      <w:r w:rsidR="00893021" w:rsidRPr="00223414">
        <w:rPr>
          <w:szCs w:val="26"/>
        </w:rPr>
        <w:t xml:space="preserve"> endemic poverty</w:t>
      </w:r>
    </w:p>
    <w:p w14:paraId="154E6D84" w14:textId="77777777" w:rsidR="00256AD3" w:rsidRPr="00DD2D90" w:rsidRDefault="00256AD3" w:rsidP="00256AD3">
      <w:r w:rsidRPr="00223414">
        <w:rPr>
          <w:b/>
          <w:bCs/>
          <w:sz w:val="26"/>
          <w:szCs w:val="26"/>
        </w:rPr>
        <w:t>Fitzpatrick et al. 17</w:t>
      </w:r>
      <w:r w:rsidRPr="00DD2D90">
        <w:t xml:space="preserve"> [Christopher Fitzpatrick, researcher at the WHO Department of Control of Neglected Tropical Diseases, Uzoma Nwankwo, researcher at the Federal Ministry of Health of Nigeria, Edeltraud Lenk, researcher at Erasmus University Rotterdam, Sake J de Vlas, researcher at the University Medical Center Rotterdam Department of Public Health, and Donald A P Bundy, researcher at the Bill &amp; Melinda Gates Foundation, 2017, “Chapter 17 An Investment Case for Ending Neglected Tropical Diseases,” Major Infectious Diseases, https://www.ncbi.nlm.nih.gov/books/NBK525199/]/Kankee</w:t>
      </w:r>
    </w:p>
    <w:p w14:paraId="67E28227" w14:textId="34CF1C60" w:rsidR="005B215D" w:rsidRPr="00DD2D90" w:rsidRDefault="005B215D" w:rsidP="00893021">
      <w:r w:rsidRPr="00DD2D90">
        <w:t>* DALY: disability-adjusted life year</w:t>
      </w:r>
    </w:p>
    <w:p w14:paraId="2C91888B" w14:textId="77777777" w:rsidR="00893021" w:rsidRPr="00223414" w:rsidRDefault="00893021" w:rsidP="00893021">
      <w:pPr>
        <w:rPr>
          <w:sz w:val="16"/>
        </w:rPr>
      </w:pPr>
      <w:r w:rsidRPr="00223414">
        <w:rPr>
          <w:sz w:val="16"/>
        </w:rPr>
        <w:t xml:space="preserve">Return on Investments to End NTDs The health impact of meeting the WHO 2020 targets and the end of NTDs by 2030 has been calculated for nine NTDs (de Vlas and others 2016). Between 2011 and 2030, </w:t>
      </w:r>
      <w:r w:rsidRPr="00DD2D90">
        <w:rPr>
          <w:rStyle w:val="StyleUnderline"/>
          <w:highlight w:val="green"/>
        </w:rPr>
        <w:t>600 million DALYs would be averted</w:t>
      </w:r>
      <w:r w:rsidRPr="00DD2D90">
        <w:rPr>
          <w:rStyle w:val="StyleUnderline"/>
        </w:rPr>
        <w:t xml:space="preserve">: 30 million DALYs per year on average (figure 17.5). These </w:t>
      </w:r>
      <w:r w:rsidRPr="00DD2D90">
        <w:rPr>
          <w:rStyle w:val="StyleUnderline"/>
          <w:highlight w:val="green"/>
        </w:rPr>
        <w:t xml:space="preserve">health gains include about 150 million </w:t>
      </w:r>
      <w:r w:rsidRPr="00DD2D90">
        <w:rPr>
          <w:rStyle w:val="Emphasis"/>
        </w:rPr>
        <w:t>irreversible</w:t>
      </w:r>
      <w:r w:rsidRPr="00DD2D90">
        <w:rPr>
          <w:rStyle w:val="StyleUnderline"/>
        </w:rPr>
        <w:t xml:space="preserve"> </w:t>
      </w:r>
      <w:r w:rsidRPr="00DD2D90">
        <w:rPr>
          <w:rStyle w:val="StyleUnderline"/>
          <w:highlight w:val="green"/>
        </w:rPr>
        <w:t>disease</w:t>
      </w:r>
      <w:r w:rsidRPr="00DD2D90">
        <w:rPr>
          <w:rStyle w:val="StyleUnderline"/>
        </w:rPr>
        <w:t xml:space="preserve"> </w:t>
      </w:r>
      <w:r w:rsidRPr="00DD2D90">
        <w:rPr>
          <w:rStyle w:val="StyleUnderline"/>
          <w:highlight w:val="green"/>
        </w:rPr>
        <w:t>manifestations</w:t>
      </w:r>
      <w:r w:rsidRPr="00DD2D90">
        <w:rPr>
          <w:rStyle w:val="StyleUnderline"/>
        </w:rPr>
        <w:t xml:space="preserve"> averted</w:t>
      </w:r>
      <w:r w:rsidRPr="00223414">
        <w:rPr>
          <w:sz w:val="16"/>
        </w:rPr>
        <w:t xml:space="preserve"> (such as blindness) </w:t>
      </w:r>
      <w:r w:rsidRPr="00DD2D90">
        <w:rPr>
          <w:rStyle w:val="StyleUnderline"/>
          <w:highlight w:val="green"/>
        </w:rPr>
        <w:t xml:space="preserve">and </w:t>
      </w:r>
      <w:r w:rsidRPr="00DD2D90">
        <w:rPr>
          <w:rStyle w:val="Emphasis"/>
          <w:highlight w:val="green"/>
        </w:rPr>
        <w:t>5</w:t>
      </w:r>
      <w:r w:rsidRPr="00DD2D90">
        <w:rPr>
          <w:rStyle w:val="Emphasis"/>
        </w:rPr>
        <w:t xml:space="preserve"> </w:t>
      </w:r>
      <w:r w:rsidRPr="00DD2D90">
        <w:rPr>
          <w:rStyle w:val="Emphasis"/>
          <w:highlight w:val="green"/>
        </w:rPr>
        <w:t>million</w:t>
      </w:r>
      <w:r w:rsidRPr="00DD2D90">
        <w:rPr>
          <w:rStyle w:val="StyleUnderline"/>
          <w:highlight w:val="green"/>
        </w:rPr>
        <w:t xml:space="preserve"> averted deaths</w:t>
      </w:r>
      <w:r w:rsidRPr="00223414">
        <w:rPr>
          <w:sz w:val="16"/>
        </w:rPr>
        <w:t xml:space="preserve">. Among the preventive-chemotherapy NTDs, 96 percent of the health gains would be attributed to averted disability, and within the intensified-disease-management NTDs, 95 percent of the impact would be realized from averted deaths. The impact compares favorably to the total investment of US$27 billion thought to be required in the period 2011–30 for achievement of global targets for those nine NTDs (our calculations based on abovementioned targets for 2015–30). That </w:t>
      </w:r>
      <w:r w:rsidRPr="00DD2D90">
        <w:rPr>
          <w:rStyle w:val="StyleUnderline"/>
          <w:highlight w:val="green"/>
        </w:rPr>
        <w:t>investment implies</w:t>
      </w:r>
      <w:r w:rsidRPr="00DD2D90">
        <w:rPr>
          <w:rStyle w:val="StyleUnderline"/>
        </w:rPr>
        <w:t xml:space="preserve"> US$</w:t>
      </w:r>
      <w:r w:rsidRPr="00DD2D90">
        <w:rPr>
          <w:rStyle w:val="StyleUnderline"/>
          <w:highlight w:val="green"/>
        </w:rPr>
        <w:t>45</w:t>
      </w:r>
      <w:r w:rsidRPr="00DD2D90">
        <w:rPr>
          <w:rStyle w:val="StyleUnderline"/>
        </w:rPr>
        <w:t xml:space="preserve"> </w:t>
      </w:r>
      <w:r w:rsidRPr="00DD2D90">
        <w:rPr>
          <w:rStyle w:val="StyleUnderline"/>
          <w:highlight w:val="green"/>
        </w:rPr>
        <w:t xml:space="preserve">per DALY </w:t>
      </w:r>
      <w:r w:rsidRPr="00DD2D90">
        <w:rPr>
          <w:rStyle w:val="StyleUnderline"/>
        </w:rPr>
        <w:t xml:space="preserve">averted </w:t>
      </w:r>
      <w:r w:rsidRPr="00DD2D90">
        <w:rPr>
          <w:rStyle w:val="StyleUnderline"/>
          <w:highlight w:val="green"/>
        </w:rPr>
        <w:t>or</w:t>
      </w:r>
      <w:r w:rsidRPr="00DD2D90">
        <w:rPr>
          <w:rStyle w:val="StyleUnderline"/>
        </w:rPr>
        <w:t xml:space="preserve"> US$</w:t>
      </w:r>
      <w:r w:rsidRPr="00DD2D90">
        <w:rPr>
          <w:rStyle w:val="StyleUnderline"/>
          <w:highlight w:val="green"/>
        </w:rPr>
        <w:t>178</w:t>
      </w:r>
      <w:r w:rsidRPr="00DD2D90">
        <w:rPr>
          <w:rStyle w:val="StyleUnderline"/>
        </w:rPr>
        <w:t xml:space="preserve"> </w:t>
      </w:r>
      <w:r w:rsidRPr="00DD2D90">
        <w:rPr>
          <w:rStyle w:val="StyleUnderline"/>
          <w:highlight w:val="green"/>
        </w:rPr>
        <w:t xml:space="preserve">per </w:t>
      </w:r>
      <w:r w:rsidRPr="00DD2D90">
        <w:rPr>
          <w:rStyle w:val="StyleUnderline"/>
        </w:rPr>
        <w:t xml:space="preserve">irreversible </w:t>
      </w:r>
      <w:r w:rsidRPr="00DD2D90">
        <w:rPr>
          <w:rStyle w:val="StyleUnderline"/>
          <w:highlight w:val="green"/>
        </w:rPr>
        <w:t>disease manifestation</w:t>
      </w:r>
      <w:r w:rsidRPr="00DD2D90">
        <w:rPr>
          <w:rStyle w:val="StyleUnderline"/>
        </w:rPr>
        <w:t xml:space="preserve"> </w:t>
      </w:r>
      <w:r w:rsidRPr="00DD2D90">
        <w:rPr>
          <w:rStyle w:val="StyleUnderline"/>
          <w:highlight w:val="green"/>
        </w:rPr>
        <w:t>averted</w:t>
      </w:r>
      <w:r w:rsidRPr="00DD2D90">
        <w:rPr>
          <w:rStyle w:val="StyleUnderline"/>
        </w:rPr>
        <w:t xml:space="preserve"> over the same period</w:t>
      </w:r>
      <w:r w:rsidRPr="00223414">
        <w:rPr>
          <w:sz w:val="16"/>
        </w:rPr>
        <w:t xml:space="preserve">. In addition to their impact as measured by DALYs, </w:t>
      </w:r>
      <w:r w:rsidRPr="00DD2D90">
        <w:rPr>
          <w:rStyle w:val="StyleUnderline"/>
          <w:highlight w:val="green"/>
        </w:rPr>
        <w:t>NTDs</w:t>
      </w:r>
      <w:r w:rsidRPr="00223414">
        <w:rPr>
          <w:sz w:val="16"/>
        </w:rPr>
        <w:t xml:space="preserve"> are known to cause financial hardship among affected individuals, which can </w:t>
      </w:r>
      <w:r w:rsidRPr="00DD2D90">
        <w:rPr>
          <w:rStyle w:val="StyleUnderline"/>
          <w:highlight w:val="green"/>
        </w:rPr>
        <w:t xml:space="preserve">exacerbate the </w:t>
      </w:r>
      <w:r w:rsidRPr="00DD2D90">
        <w:rPr>
          <w:rStyle w:val="Emphasis"/>
          <w:highlight w:val="green"/>
        </w:rPr>
        <w:t>cycle of poverty</w:t>
      </w:r>
      <w:r w:rsidRPr="00223414">
        <w:rPr>
          <w:sz w:val="16"/>
        </w:rPr>
        <w:t xml:space="preserve">. A conservative estimate suggests that </w:t>
      </w:r>
      <w:r w:rsidRPr="00DD2D90">
        <w:rPr>
          <w:rStyle w:val="StyleUnderline"/>
          <w:highlight w:val="green"/>
        </w:rPr>
        <w:t>the end of NTDs would avert</w:t>
      </w:r>
      <w:r w:rsidRPr="00DD2D90">
        <w:rPr>
          <w:rStyle w:val="StyleUnderline"/>
        </w:rPr>
        <w:t xml:space="preserve"> a total of international dollars (I$) </w:t>
      </w:r>
      <w:r w:rsidRPr="00DD2D90">
        <w:rPr>
          <w:rStyle w:val="StyleUnderline"/>
          <w:highlight w:val="green"/>
        </w:rPr>
        <w:t>35 billion in</w:t>
      </w:r>
      <w:r w:rsidRPr="00DD2D90">
        <w:rPr>
          <w:rStyle w:val="StyleUnderline"/>
        </w:rPr>
        <w:t xml:space="preserve"> out-of-pocket (</w:t>
      </w:r>
      <w:r w:rsidRPr="00DD2D90">
        <w:rPr>
          <w:rStyle w:val="StyleUnderline"/>
          <w:highlight w:val="green"/>
        </w:rPr>
        <w:t>OOP</w:t>
      </w:r>
      <w:r w:rsidRPr="00DD2D90">
        <w:rPr>
          <w:rStyle w:val="StyleUnderline"/>
        </w:rPr>
        <w:t>) health expenditure by affected individuals between 2011 and 2030</w:t>
      </w:r>
      <w:r w:rsidRPr="00223414">
        <w:rPr>
          <w:sz w:val="16"/>
        </w:rPr>
        <w:t xml:space="preserve"> (Lenk and others, forthcoming; Redekop and others, forthcoming). This averted cost includes medicines, tests, travel, and food not covered by public providers or by health insurance. </w:t>
      </w:r>
      <w:r w:rsidRPr="00DD2D90">
        <w:rPr>
          <w:rStyle w:val="StyleUnderline"/>
          <w:highlight w:val="green"/>
        </w:rPr>
        <w:t>It does not capture the</w:t>
      </w:r>
      <w:r w:rsidRPr="00DD2D90">
        <w:rPr>
          <w:rStyle w:val="StyleUnderline"/>
        </w:rPr>
        <w:t xml:space="preserve"> additional averted </w:t>
      </w:r>
      <w:r w:rsidRPr="00DD2D90">
        <w:rPr>
          <w:rStyle w:val="StyleUnderline"/>
          <w:highlight w:val="green"/>
        </w:rPr>
        <w:t>costs of</w:t>
      </w:r>
      <w:r w:rsidRPr="00223414">
        <w:rPr>
          <w:sz w:val="16"/>
        </w:rPr>
        <w:t xml:space="preserve"> household coping mechanisms, such as </w:t>
      </w:r>
      <w:r w:rsidRPr="00DD2D90">
        <w:rPr>
          <w:rStyle w:val="StyleUnderline"/>
          <w:highlight w:val="green"/>
        </w:rPr>
        <w:t>indebtedness</w:t>
      </w:r>
      <w:r w:rsidRPr="00DD2D90">
        <w:rPr>
          <w:rStyle w:val="StyleUnderline"/>
        </w:rPr>
        <w:t xml:space="preserve">, or the irreversible consequences of </w:t>
      </w:r>
      <w:r w:rsidRPr="00DD2D90">
        <w:rPr>
          <w:rStyle w:val="StyleUnderline"/>
          <w:highlight w:val="green"/>
        </w:rPr>
        <w:t>catastrophic health expenditure</w:t>
      </w:r>
      <w:r w:rsidRPr="00223414">
        <w:rPr>
          <w:sz w:val="16"/>
        </w:rPr>
        <w:t xml:space="preserve">. </w:t>
      </w:r>
      <w:r w:rsidRPr="00DD2D90">
        <w:rPr>
          <w:rStyle w:val="StyleUnderline"/>
        </w:rPr>
        <w:t xml:space="preserve">Progress toward the </w:t>
      </w:r>
      <w:r w:rsidRPr="00DD2D90">
        <w:rPr>
          <w:rStyle w:val="StyleUnderline"/>
          <w:highlight w:val="green"/>
        </w:rPr>
        <w:t>end of NTDs would avert</w:t>
      </w:r>
      <w:r w:rsidRPr="00DD2D90">
        <w:rPr>
          <w:rStyle w:val="StyleUnderline"/>
        </w:rPr>
        <w:t xml:space="preserve"> a further I$</w:t>
      </w:r>
      <w:r w:rsidRPr="00DD2D90">
        <w:rPr>
          <w:rStyle w:val="StyleUnderline"/>
          <w:highlight w:val="green"/>
        </w:rPr>
        <w:t>622 billion in wages</w:t>
      </w:r>
      <w:r w:rsidRPr="00DD2D90">
        <w:rPr>
          <w:rStyle w:val="StyleUnderline"/>
        </w:rPr>
        <w:t xml:space="preserve"> </w:t>
      </w:r>
      <w:r w:rsidRPr="00DD2D90">
        <w:rPr>
          <w:rStyle w:val="StyleUnderline"/>
          <w:highlight w:val="green"/>
        </w:rPr>
        <w:t>lost</w:t>
      </w:r>
      <w:r w:rsidRPr="00DD2D90">
        <w:rPr>
          <w:rStyle w:val="StyleUnderline"/>
        </w:rPr>
        <w:t xml:space="preserve"> by affected individuals between 2011 and 2030</w:t>
      </w:r>
      <w:r w:rsidRPr="00223414">
        <w:rPr>
          <w:sz w:val="16"/>
        </w:rPr>
        <w:t xml:space="preserve">. </w:t>
      </w:r>
      <w:r w:rsidRPr="00DD2D90">
        <w:rPr>
          <w:rStyle w:val="StyleUnderline"/>
          <w:highlight w:val="green"/>
        </w:rPr>
        <w:t>This</w:t>
      </w:r>
      <w:r w:rsidRPr="00223414">
        <w:rPr>
          <w:sz w:val="16"/>
        </w:rPr>
        <w:t xml:space="preserve"> number </w:t>
      </w:r>
      <w:r w:rsidRPr="00DD2D90">
        <w:rPr>
          <w:rStyle w:val="StyleUnderline"/>
          <w:highlight w:val="green"/>
        </w:rPr>
        <w:t>does not include</w:t>
      </w:r>
      <w:r w:rsidRPr="00DD2D90">
        <w:rPr>
          <w:rStyle w:val="StyleUnderline"/>
        </w:rPr>
        <w:t xml:space="preserve"> the significant long-term </w:t>
      </w:r>
      <w:r w:rsidRPr="00DD2D90">
        <w:rPr>
          <w:rStyle w:val="StyleUnderline"/>
          <w:highlight w:val="green"/>
        </w:rPr>
        <w:t xml:space="preserve">benefits of school attendance </w:t>
      </w:r>
      <w:r w:rsidRPr="00DD2D90">
        <w:rPr>
          <w:rStyle w:val="StyleUnderline"/>
        </w:rPr>
        <w:t>for employment</w:t>
      </w:r>
      <w:r w:rsidRPr="00223414">
        <w:rPr>
          <w:sz w:val="16"/>
        </w:rPr>
        <w:t xml:space="preserve"> (Ahuja and others 2015). The choice by the Global Burden of Disease (2010) project (on which the analysis was based) not to include so-called subtle morbidities, such as impaired cognitive development, poor mental health from stigma, and discrimination because of disfigurement, is controversial. </w:t>
      </w:r>
      <w:r w:rsidRPr="00DD2D90">
        <w:rPr>
          <w:rStyle w:val="StyleUnderline"/>
        </w:rPr>
        <w:t xml:space="preserve">The </w:t>
      </w:r>
      <w:r w:rsidRPr="00DD2D90">
        <w:rPr>
          <w:rStyle w:val="StyleUnderline"/>
          <w:highlight w:val="green"/>
        </w:rPr>
        <w:t>benefit</w:t>
      </w:r>
      <w:r w:rsidRPr="00DD2D90">
        <w:rPr>
          <w:rStyle w:val="StyleUnderline"/>
        </w:rPr>
        <w:t xml:space="preserve"> to affected individuals of averted OOP health expenditures and lost wages </w:t>
      </w:r>
      <w:r w:rsidRPr="00DD2D90">
        <w:rPr>
          <w:rStyle w:val="StyleUnderline"/>
          <w:highlight w:val="green"/>
        </w:rPr>
        <w:t>is</w:t>
      </w:r>
      <w:r w:rsidRPr="00DD2D90">
        <w:rPr>
          <w:rStyle w:val="StyleUnderline"/>
        </w:rPr>
        <w:t xml:space="preserve"> therefore conservatively estimated to be I$</w:t>
      </w:r>
      <w:r w:rsidRPr="00DD2D90">
        <w:rPr>
          <w:rStyle w:val="StyleUnderline"/>
          <w:highlight w:val="green"/>
        </w:rPr>
        <w:t>657 billion</w:t>
      </w:r>
      <w:r w:rsidRPr="00DD2D90">
        <w:rPr>
          <w:rStyle w:val="StyleUnderline"/>
        </w:rPr>
        <w:t xml:space="preserve"> between 2011 and 2030, or an average of I$33 billion per year</w:t>
      </w:r>
      <w:r w:rsidRPr="00223414">
        <w:rPr>
          <w:sz w:val="16"/>
        </w:rPr>
        <w:t xml:space="preserve">. We convert the benefits reported by Redekop and others (forthcoming) and Lenk and others (forthcoming) from 2010 international dollars to 2015 U.S. dollars for direct comparison to the investment targets described in the previous section. Of course, some of this benefit is attributable to investments made before 2011. We conservatively assume that investments begun in 1990 were at the level of those in 2011 (in real terms); 1990 is assumed to mark the beginning of concerted global efforts to control most NTDs and 2011 is assumed to mark the beginning of the recent scale-up in investment to eliminate them. In reality, investments before 2011 were probably lower than this in most countries. We do not consider the investments in improved housing and water and sanitation that occurred over the same period; these investments were not targeted at the NTDs but nonetheless contributed to their control. We then calculate a rough estimate of the net benefit to affected individuals from 1990 to 2020 (NTD Roadmap targets) and to 2030 (the SDG target). Net benefit per dollar invested is the present value of the benefit to affected individuals minus the present value of the cost to public and philanthropic funders, divided by the present value of the cost to funders. We apply a discount rate of 3 percent per year for both costs and benefits. The net benefit to affected individuals is US$17 for every dollar invested by funders during the period 1990–2020 and US$28 for every dollar invested in the period 1990–2030 (table 17.8). It ranges from US$8 per dollar invested in Africa to US$398 per dollar invested in the Western Pacific (including China), and US$4 per dollar invested in LICs to US$273 per dollar invested in UMICs. Taking into account the period during which the investments and returns are to be made, we also calculate an annualized compounded rate of return. </w:t>
      </w:r>
      <w:r w:rsidRPr="00DD2D90">
        <w:rPr>
          <w:rStyle w:val="StyleUnderline"/>
          <w:highlight w:val="green"/>
        </w:rPr>
        <w:t>The end of NTDs offers a 31 percent rate of return</w:t>
      </w:r>
      <w:r w:rsidRPr="00DD2D90">
        <w:rPr>
          <w:rStyle w:val="StyleUnderline"/>
        </w:rPr>
        <w:t xml:space="preserve"> overall</w:t>
      </w:r>
      <w:r w:rsidRPr="00223414">
        <w:rPr>
          <w:sz w:val="16"/>
        </w:rPr>
        <w:t xml:space="preserve">. It ranges from 19 percent per year in the Eastern Mediterranean Region to 59 percent in the Western Pacific (including China), and 14 percent in LICs to 54 percent in UMICs. Lower net benefits and rates of return in LICs are due in large part to the way in which averted productivity losses have been valued, that is, using GDP per capita of the bottom 20 percent of the population of each country. This approach assigns a lower benefit to lower-income and more unequal countries. </w:t>
      </w:r>
      <w:r w:rsidRPr="00DD2D90">
        <w:rPr>
          <w:rStyle w:val="StyleUnderline"/>
        </w:rPr>
        <w:t>Good physical health without disability</w:t>
      </w:r>
      <w:r w:rsidRPr="00223414">
        <w:rPr>
          <w:sz w:val="16"/>
        </w:rPr>
        <w:t xml:space="preserve"> </w:t>
      </w:r>
      <w:r w:rsidRPr="00DD2D90">
        <w:rPr>
          <w:rStyle w:val="StyleUnderline"/>
        </w:rPr>
        <w:t>is</w:t>
      </w:r>
      <w:r w:rsidRPr="00223414">
        <w:rPr>
          <w:sz w:val="16"/>
        </w:rPr>
        <w:t xml:space="preserve"> arguably more </w:t>
      </w:r>
      <w:r w:rsidRPr="00DD2D90">
        <w:rPr>
          <w:rStyle w:val="StyleUnderline"/>
        </w:rPr>
        <w:t>important in LICs with</w:t>
      </w:r>
      <w:r w:rsidRPr="00223414">
        <w:rPr>
          <w:sz w:val="16"/>
        </w:rPr>
        <w:t xml:space="preserve"> large informal </w:t>
      </w:r>
      <w:r w:rsidRPr="00DD2D90">
        <w:rPr>
          <w:rStyle w:val="StyleUnderline"/>
        </w:rPr>
        <w:t>sectors that revolve around subsistence</w:t>
      </w:r>
      <w:r w:rsidRPr="00223414">
        <w:rPr>
          <w:sz w:val="16"/>
        </w:rPr>
        <w:t xml:space="preserve">. As a result, the numbers are particularly conservative estimates of the net benefit for affected individuals in LICs. What is clear from even this preliminary analysis is that investment in interventions against NTDs is a fair and efficient investment in social justice. </w:t>
      </w:r>
      <w:r w:rsidRPr="00DD2D90">
        <w:rPr>
          <w:rStyle w:val="StyleUnderline"/>
        </w:rPr>
        <w:t>The benefit</w:t>
      </w:r>
      <w:r w:rsidRPr="00223414">
        <w:rPr>
          <w:sz w:val="16"/>
        </w:rPr>
        <w:t xml:space="preserve"> to affected individuals—the poorest and most marginalized—</w:t>
      </w:r>
      <w:r w:rsidRPr="00DD2D90">
        <w:rPr>
          <w:rStyle w:val="StyleUnderline"/>
        </w:rPr>
        <w:t>greatly exceeds the cost</w:t>
      </w:r>
      <w:r w:rsidRPr="00223414">
        <w:rPr>
          <w:sz w:val="16"/>
        </w:rPr>
        <w:t xml:space="preserve"> to public and philanthropic funders of providing it. </w:t>
      </w:r>
      <w:r w:rsidRPr="00DD2D90">
        <w:rPr>
          <w:rStyle w:val="StyleUnderline"/>
        </w:rPr>
        <w:t>If the new social compact articulated at the Addis Ababa Conference on Financing for Development is to involve transfers to the poor</w:t>
      </w:r>
      <w:r w:rsidRPr="00223414">
        <w:rPr>
          <w:sz w:val="16"/>
        </w:rPr>
        <w:t xml:space="preserve"> (as SDGs 1 and 10 on ending poverty and reducing inequalities suggest that it should), then </w:t>
      </w:r>
      <w:r w:rsidRPr="00DD2D90">
        <w:rPr>
          <w:rStyle w:val="StyleUnderline"/>
        </w:rPr>
        <w:t>ending NTDs is an efficient way of making those transfers</w:t>
      </w:r>
      <w:r w:rsidRPr="00223414">
        <w:rPr>
          <w:sz w:val="16"/>
        </w:rPr>
        <w:t xml:space="preserve">. This benefit can be measured by OOP health expenditure and productivity losses averted. It thereby supports two additional targets of the SDGs: universal health coverage and social protection. Universal health coverage means, among others, financial risk protection against OOP health expenditure. Social protection includes benefits for people of working age in case of disability. As countries struggle with how to finance universal health coverage and social protection, prioritizing interventions to end NTDs can guide countries’ first decisive steps on the long path toward those goals. Investment in interventions against NTDs puts progress on universal health coverage within reach of even the weakest health systems. Place of NTDS in the Grand Convergence In 2013, the Lancet Commission on Investing in Health addressed the question of whether the world could achieve a grand convergence, in which poorer countries would see their infectious, maternal, and child health outcomes converge with the levels of wealthier nations—through increased investments in health interventions and systems to combat common causes of mortality and morbidity. There are now estimates of what the grand convergence might achieve and what investment would be required by 2030 (Boyle and others 2015). Those estimates focus on lower-middle-income countries. They consider the costs of scaling up interventions for reproductive, maternal, and child health; and HIV/AIDS, TB, and malaria interventions; as well as the cost of strengthening health systems. They suggest that convergence would avert more than 130 million deaths between 2015 and 2030. The incremental costs of convergence would be about US$62 billion in 2015, rising to about US$86 billion in 2030. The end of NTDs is a high-impact and low-cost contribution to the grand convergence. Convergence in the burden of NTDs would avert about 519 million DALYs in the period 2015–30, including about 5 million deaths or 4 percent of the convergence total of 130 million deaths (de Vlas and others 2016). As table 17.8 shows, the cost in lower-middle-income countries is US$7.8 billion in 2015–30; this amount is US$0.5 billion per year or less than 1 percent of the convergence total. The NTDs compare favorably with other major diseases as measured by deaths that could be averted by 2030 and the investment needed. This comparison is favorable even though up to 96 percent of the health gains from convergence in NTDs would be in averted disability rather than death (de Vlas and others 2016). A more inclusive metric of grand convergence would reveal the true contribution of convergence in NTDs. Convergence in NTDs also stands out in the grand convergence narrative in its sustainability. Whereas the incremental costs of convergence increase from US$62 billion in 2015 to US$86 billion in 2030, the costs of convergence in NTDs decrease from US$750 million per year during 2015–20 to about US$300 million per year during 2020–30. In this sense, there is a special role for NTDs in leading the way toward the grand convergence through the elimination of infectious diseases targeted by the SDGs. Conclusions The elimination of the NTDs was a late and ad hoc addition to the MDG era, leaving a legacy of 22 million DALYs in 2012, a burden not far behind those of malaria and TB. As we enter the SDG era the world is seeking to rethink this opportunity and look toward the end of NTDs in 2030. The ambitious WHO NTD Roadmap (WHO 2012) and the massive donation of treatments for nine NTDs have built on successes in integrated treatment of multiple diseases in the poorest and most marginalized populations, and contribute to the potential of ending NTDs for as little as US$3 per DALY averted. The evidence is clearly in favor of including the following within the package of essential interventions for all low-income endemic countries (based on a cost per DALY averted of 2012 US$250 or less): preventive chemotherapy for at least five NTDs; comprehensive control (including vector control) for visceral leishmaniasis; and early detection and treatment of cutaneous leishmaniasis, HAT, and leprosy. Other interventions against NTDs should also be included on a country-by-country basis. Populations requiring vector control for Chagas disease and dengue and mass treatment for yaws need to be mapped out; current evidence indicates that these can be highly effective interventions in lower-middle-income and upper-middle-income endemic countries. Our estimates suggest that the costs of ending NTDs are affordable globally (for example, US$750 million per year in 2015–20 and US$300 million per year in 2020–30, for preventive chemotherapy against five NTDs) and affordable for the governments of most endemic countries at less than 0.1 percent of domestic health spending. The estimated benefits to affected individuals in averted OOP health expenditures and lost productivity exceed US$342 billion over the same period. </w:t>
      </w:r>
      <w:r w:rsidRPr="00DD2D90">
        <w:rPr>
          <w:rStyle w:val="StyleUnderline"/>
        </w:rPr>
        <w:t xml:space="preserve">The end of NTDs offers a net benefit to affected individuals of about </w:t>
      </w:r>
      <w:r w:rsidRPr="00DD2D90">
        <w:rPr>
          <w:rStyle w:val="Emphasis"/>
        </w:rPr>
        <w:t>US$25</w:t>
      </w:r>
      <w:r w:rsidRPr="00DD2D90">
        <w:rPr>
          <w:rStyle w:val="StyleUnderline"/>
        </w:rPr>
        <w:t xml:space="preserve"> for every dollar invested by funders—a </w:t>
      </w:r>
      <w:r w:rsidRPr="00DD2D90">
        <w:rPr>
          <w:rStyle w:val="Emphasis"/>
        </w:rPr>
        <w:t>30 percent</w:t>
      </w:r>
      <w:r w:rsidRPr="00DD2D90">
        <w:rPr>
          <w:rStyle w:val="StyleUnderline"/>
        </w:rPr>
        <w:t xml:space="preserve"> annualized rate of return</w:t>
      </w:r>
      <w:r w:rsidRPr="00223414">
        <w:rPr>
          <w:sz w:val="16"/>
        </w:rPr>
        <w:t xml:space="preserve">. </w:t>
      </w:r>
      <w:r w:rsidRPr="00DD2D90">
        <w:rPr>
          <w:rStyle w:val="StyleUnderline"/>
        </w:rPr>
        <w:t>It is</w:t>
      </w:r>
      <w:r w:rsidRPr="00223414">
        <w:rPr>
          <w:sz w:val="16"/>
        </w:rPr>
        <w:t xml:space="preserve"> a fair and </w:t>
      </w:r>
      <w:r w:rsidRPr="00DD2D90">
        <w:rPr>
          <w:rStyle w:val="StyleUnderline"/>
        </w:rPr>
        <w:t>efficient investment in universal health</w:t>
      </w:r>
      <w:r w:rsidRPr="00223414">
        <w:rPr>
          <w:sz w:val="16"/>
        </w:rPr>
        <w:t xml:space="preserve"> </w:t>
      </w:r>
      <w:r w:rsidRPr="00DD2D90">
        <w:rPr>
          <w:rStyle w:val="StyleUnderline"/>
        </w:rPr>
        <w:t>coverage and social protection for the least well-off.</w:t>
      </w:r>
      <w:r w:rsidRPr="00223414">
        <w:rPr>
          <w:sz w:val="16"/>
        </w:rPr>
        <w:t xml:space="preserve"> We compared NTDs with other public health programs by revisiting the Grand Convergence in Health by 2030, as proposed by the Lancet Commission on Investing in Health. Here the comparison is striking: </w:t>
      </w:r>
      <w:r w:rsidRPr="00DD2D90">
        <w:rPr>
          <w:rStyle w:val="StyleUnderline"/>
        </w:rPr>
        <w:t xml:space="preserve">ending NTDs would avert about </w:t>
      </w:r>
      <w:r w:rsidRPr="00223414">
        <w:rPr>
          <w:sz w:val="16"/>
        </w:rPr>
        <w:t xml:space="preserve">4 percent of the convergence total of </w:t>
      </w:r>
      <w:r w:rsidRPr="00DD2D90">
        <w:rPr>
          <w:rStyle w:val="Emphasis"/>
        </w:rPr>
        <w:t>130 million deaths</w:t>
      </w:r>
      <w:r w:rsidRPr="00223414">
        <w:rPr>
          <w:sz w:val="16"/>
        </w:rPr>
        <w:t xml:space="preserve">, and it would do so for less than 1 percent of the total convergence cost. This makes excellent health and economic sense on its own, but </w:t>
      </w:r>
      <w:r w:rsidRPr="00DD2D90">
        <w:rPr>
          <w:rStyle w:val="StyleUnderline"/>
        </w:rPr>
        <w:t>it is an underestimate of the true scale of benefit given that it ignores the 96 percent of health gains attributable to averted disability, rather than death, which is equivalent to about 519 million DALYs averted from 2015 to 2030</w:t>
      </w:r>
      <w:r w:rsidRPr="00223414">
        <w:rPr>
          <w:sz w:val="16"/>
        </w:rPr>
        <w:t xml:space="preserve">. Coordinated efforts to end the NTDs are emerging as among the largest public health programs in the world, and the most cost-effective and affordable. Indeed, the global program costs are on the scale of a rounding error at less than 1 percent of the grand convergence investment, yet offer a substantial return on investment. Furthermore, </w:t>
      </w:r>
      <w:r w:rsidRPr="00DD2D90">
        <w:rPr>
          <w:rStyle w:val="StyleUnderline"/>
        </w:rPr>
        <w:t xml:space="preserve">because these are diseases of poverty, </w:t>
      </w:r>
      <w:r w:rsidRPr="00DD2D90">
        <w:rPr>
          <w:rStyle w:val="StyleUnderline"/>
          <w:highlight w:val="green"/>
        </w:rPr>
        <w:t xml:space="preserve">the NTD agenda is </w:t>
      </w:r>
      <w:r w:rsidRPr="00DD2D90">
        <w:rPr>
          <w:rStyle w:val="StyleUnderline"/>
        </w:rPr>
        <w:t xml:space="preserve">specifically </w:t>
      </w:r>
      <w:r w:rsidRPr="00DD2D90">
        <w:rPr>
          <w:rStyle w:val="StyleUnderline"/>
          <w:highlight w:val="green"/>
        </w:rPr>
        <w:t>pro-poor</w:t>
      </w:r>
      <w:r w:rsidRPr="00DD2D90">
        <w:rPr>
          <w:rStyle w:val="StyleUnderline"/>
        </w:rPr>
        <w:t xml:space="preserve">; </w:t>
      </w:r>
      <w:r w:rsidRPr="00DD2D90">
        <w:rPr>
          <w:rStyle w:val="StyleUnderline"/>
          <w:highlight w:val="green"/>
        </w:rPr>
        <w:t xml:space="preserve">because the programs target morbidity, they </w:t>
      </w:r>
      <w:r w:rsidRPr="00DD2D90">
        <w:rPr>
          <w:rStyle w:val="StyleUnderline"/>
        </w:rPr>
        <w:t xml:space="preserve">are </w:t>
      </w:r>
      <w:r w:rsidRPr="00DD2D90">
        <w:rPr>
          <w:rStyle w:val="StyleUnderline"/>
          <w:highlight w:val="green"/>
        </w:rPr>
        <w:t xml:space="preserve">also </w:t>
      </w:r>
      <w:r w:rsidRPr="00DD2D90">
        <w:rPr>
          <w:rStyle w:val="StyleUnderline"/>
        </w:rPr>
        <w:t xml:space="preserve">specifically </w:t>
      </w:r>
      <w:r w:rsidRPr="00DD2D90">
        <w:rPr>
          <w:rStyle w:val="StyleUnderline"/>
          <w:highlight w:val="green"/>
        </w:rPr>
        <w:t>pro-development</w:t>
      </w:r>
      <w:r w:rsidRPr="00223414">
        <w:rPr>
          <w:sz w:val="16"/>
        </w:rPr>
        <w:t xml:space="preserve">. All in all, this suggests that NTD programs have a special role in leading the world’s efforts toward more fairness in health and the attainment of the SDGs. </w:t>
      </w:r>
    </w:p>
    <w:p w14:paraId="502AADB9" w14:textId="77777777" w:rsidR="00FA1D49" w:rsidRPr="00223414" w:rsidRDefault="00FA1D49">
      <w:pPr>
        <w:rPr>
          <w:rFonts w:eastAsiaTheme="majorEastAsia" w:cstheme="majorBidi"/>
          <w:b/>
          <w:iCs/>
          <w:sz w:val="16"/>
        </w:rPr>
      </w:pPr>
      <w:r w:rsidRPr="00223414">
        <w:rPr>
          <w:sz w:val="16"/>
        </w:rPr>
        <w:br w:type="page"/>
      </w:r>
    </w:p>
    <w:p w14:paraId="330DF31D" w14:textId="3F4EE16B" w:rsidR="0056047E" w:rsidRPr="00223414" w:rsidRDefault="0089446C" w:rsidP="0056047E">
      <w:pPr>
        <w:pStyle w:val="Heading4"/>
        <w:rPr>
          <w:szCs w:val="26"/>
        </w:rPr>
      </w:pPr>
      <w:r w:rsidRPr="00223414">
        <w:rPr>
          <w:szCs w:val="26"/>
        </w:rPr>
        <w:t>Ending NTDs raises</w:t>
      </w:r>
      <w:r w:rsidR="0056047E" w:rsidRPr="00223414">
        <w:rPr>
          <w:szCs w:val="26"/>
        </w:rPr>
        <w:t xml:space="preserve"> worker productivity </w:t>
      </w:r>
      <w:r w:rsidRPr="00223414">
        <w:rPr>
          <w:szCs w:val="26"/>
        </w:rPr>
        <w:t>and</w:t>
      </w:r>
      <w:r w:rsidR="0056047E" w:rsidRPr="00223414">
        <w:rPr>
          <w:szCs w:val="26"/>
        </w:rPr>
        <w:t xml:space="preserve"> raises wages </w:t>
      </w:r>
    </w:p>
    <w:p w14:paraId="39348105" w14:textId="77777777" w:rsidR="0056047E" w:rsidRPr="00DD2D90" w:rsidRDefault="0056047E" w:rsidP="0056047E">
      <w:r w:rsidRPr="00223414">
        <w:rPr>
          <w:b/>
          <w:bCs/>
          <w:sz w:val="26"/>
          <w:szCs w:val="26"/>
        </w:rPr>
        <w:t>Kremer 21</w:t>
      </w:r>
      <w:r w:rsidRPr="00DD2D90">
        <w:t xml:space="preserve"> [Michael Kremer, University Professor in Economics at the University of Chicago, Director of the Development Innovation Lab, and Scientific Director of Development Innovation Ventures, and Edward Miguel, Professor of Environmental and Resource Economics and Faculty Director of the Center for Effective Global Action at UC Berkeley, 5-24-2021, "The Disastrous Neglect of Neglected Tropical Diseases", Project Syndicate, https://www.project-syndicate.org/commentary/uk-government-funding-cuts-for-neglected-tropical-diseases-by-michael-kremer-and-edward-miguel-2021-05]/Kankee</w:t>
      </w:r>
    </w:p>
    <w:p w14:paraId="2E465C5B" w14:textId="77777777" w:rsidR="0056047E" w:rsidRPr="00DD2D90" w:rsidRDefault="0056047E" w:rsidP="0056047E">
      <w:pPr>
        <w:rPr>
          <w:rStyle w:val="StyleUnderline"/>
        </w:rPr>
      </w:pPr>
      <w:r w:rsidRPr="00223414">
        <w:rPr>
          <w:sz w:val="16"/>
        </w:rPr>
        <w:t xml:space="preserve">US President Joe Biden’s decision to back the call for waiving intellectual-property protections for COVID-19 vaccines reflects the extent of global pressure for universal vaccine access. Yet the world’s poor suffer from many other preventable and treatable diseases, with dire social and economic consequences. </w:t>
      </w:r>
      <w:r w:rsidRPr="00DD2D90">
        <w:rPr>
          <w:rStyle w:val="StyleUnderline"/>
        </w:rPr>
        <w:t>Neglected tropical diseases</w:t>
      </w:r>
      <w:r w:rsidRPr="00223414">
        <w:rPr>
          <w:sz w:val="16"/>
        </w:rPr>
        <w:t xml:space="preserve"> – such as elephantiasis, trachoma, river blindness, and intestinal worm infections – </w:t>
      </w:r>
      <w:r w:rsidRPr="00DD2D90">
        <w:rPr>
          <w:rStyle w:val="StyleUnderline"/>
        </w:rPr>
        <w:t xml:space="preserve">are </w:t>
      </w:r>
      <w:r w:rsidRPr="00DD2D90">
        <w:rPr>
          <w:rStyle w:val="Emphasis"/>
        </w:rPr>
        <w:t>virtually nonexistent</w:t>
      </w:r>
      <w:r w:rsidRPr="00DD2D90">
        <w:rPr>
          <w:rStyle w:val="StyleUnderline"/>
        </w:rPr>
        <w:t xml:space="preserve"> in advanced</w:t>
      </w:r>
      <w:r w:rsidRPr="00223414">
        <w:rPr>
          <w:sz w:val="16"/>
        </w:rPr>
        <w:t xml:space="preserve"> economies. But </w:t>
      </w:r>
      <w:r w:rsidRPr="00DD2D90">
        <w:rPr>
          <w:rStyle w:val="StyleUnderline"/>
        </w:rPr>
        <w:t>among people living in extreme poverty, they are the most common infections. About a billion people worldwide</w:t>
      </w:r>
      <w:r w:rsidRPr="00223414">
        <w:rPr>
          <w:sz w:val="16"/>
        </w:rPr>
        <w:t xml:space="preserve"> – </w:t>
      </w:r>
      <w:r w:rsidRPr="00DD2D90">
        <w:rPr>
          <w:rStyle w:val="StyleUnderline"/>
        </w:rPr>
        <w:t>including</w:t>
      </w:r>
      <w:r w:rsidRPr="00223414">
        <w:rPr>
          <w:sz w:val="16"/>
        </w:rPr>
        <w:t xml:space="preserve"> more than </w:t>
      </w:r>
      <w:r w:rsidRPr="00DD2D90">
        <w:rPr>
          <w:rStyle w:val="Emphasis"/>
        </w:rPr>
        <w:t>750 million</w:t>
      </w:r>
      <w:r w:rsidRPr="00223414">
        <w:rPr>
          <w:sz w:val="16"/>
        </w:rPr>
        <w:t xml:space="preserve"> </w:t>
      </w:r>
      <w:r w:rsidRPr="00DD2D90">
        <w:rPr>
          <w:rStyle w:val="StyleUnderline"/>
        </w:rPr>
        <w:t>people living below the</w:t>
      </w:r>
      <w:r w:rsidRPr="00223414">
        <w:rPr>
          <w:sz w:val="16"/>
        </w:rPr>
        <w:t xml:space="preserve"> World Bank </w:t>
      </w:r>
      <w:r w:rsidRPr="00DD2D90">
        <w:rPr>
          <w:rStyle w:val="StyleUnderline"/>
        </w:rPr>
        <w:t>poverty line</w:t>
      </w:r>
      <w:r w:rsidRPr="00223414">
        <w:rPr>
          <w:sz w:val="16"/>
        </w:rPr>
        <w:t xml:space="preserve"> of $1.90 per day – </w:t>
      </w:r>
      <w:r w:rsidRPr="00DD2D90">
        <w:rPr>
          <w:rStyle w:val="StyleUnderline"/>
        </w:rPr>
        <w:t xml:space="preserve">suffer from NTDs every year. Their suffering can be extreme. </w:t>
      </w:r>
      <w:r w:rsidRPr="00DD2D90">
        <w:rPr>
          <w:rStyle w:val="StyleUnderline"/>
          <w:highlight w:val="green"/>
        </w:rPr>
        <w:t xml:space="preserve">NTDs cause </w:t>
      </w:r>
      <w:r w:rsidRPr="00DD2D90">
        <w:rPr>
          <w:rStyle w:val="Emphasis"/>
          <w:highlight w:val="green"/>
        </w:rPr>
        <w:t>severe pain</w:t>
      </w:r>
      <w:r w:rsidRPr="00DD2D90">
        <w:rPr>
          <w:rStyle w:val="StyleUnderline"/>
          <w:highlight w:val="green"/>
        </w:rPr>
        <w:t xml:space="preserve"> and long-term disability</w:t>
      </w:r>
      <w:r w:rsidRPr="00DD2D90">
        <w:rPr>
          <w:rStyle w:val="StyleUnderline"/>
        </w:rPr>
        <w:t xml:space="preserve">, often </w:t>
      </w:r>
      <w:r w:rsidRPr="00DD2D90">
        <w:rPr>
          <w:rStyle w:val="StyleUnderline"/>
          <w:highlight w:val="green"/>
        </w:rPr>
        <w:t xml:space="preserve">leading to </w:t>
      </w:r>
      <w:r w:rsidRPr="00DD2D90">
        <w:rPr>
          <w:rStyle w:val="StyleUnderline"/>
        </w:rPr>
        <w:t xml:space="preserve">social </w:t>
      </w:r>
      <w:r w:rsidRPr="00DD2D90">
        <w:rPr>
          <w:rStyle w:val="StyleUnderline"/>
          <w:highlight w:val="green"/>
        </w:rPr>
        <w:t>stigmatization</w:t>
      </w:r>
      <w:r w:rsidRPr="00223414">
        <w:rPr>
          <w:sz w:val="16"/>
        </w:rPr>
        <w:t xml:space="preserve">. Among children, </w:t>
      </w:r>
      <w:r w:rsidRPr="00DD2D90">
        <w:rPr>
          <w:rStyle w:val="StyleUnderline"/>
          <w:highlight w:val="green"/>
        </w:rPr>
        <w:t>infection interrupts education and causes malnutrition</w:t>
      </w:r>
      <w:r w:rsidRPr="00DD2D90">
        <w:rPr>
          <w:rStyle w:val="StyleUnderline"/>
        </w:rPr>
        <w:t xml:space="preserve">, </w:t>
      </w:r>
      <w:r w:rsidRPr="00DD2D90">
        <w:rPr>
          <w:rStyle w:val="StyleUnderline"/>
          <w:highlight w:val="green"/>
        </w:rPr>
        <w:t>impairing intellectual and cognitive development and stunting growth</w:t>
      </w:r>
      <w:r w:rsidRPr="00223414">
        <w:rPr>
          <w:sz w:val="16"/>
        </w:rPr>
        <w:t xml:space="preserve">. And </w:t>
      </w:r>
      <w:r w:rsidRPr="00DD2D90">
        <w:rPr>
          <w:rStyle w:val="StyleUnderline"/>
          <w:highlight w:val="green"/>
        </w:rPr>
        <w:t>by interfering with education and employment</w:t>
      </w:r>
      <w:r w:rsidRPr="00DD2D90">
        <w:rPr>
          <w:rStyle w:val="StyleUnderline"/>
        </w:rPr>
        <w:t xml:space="preserve">, </w:t>
      </w:r>
      <w:r w:rsidRPr="00DD2D90">
        <w:rPr>
          <w:rStyle w:val="StyleUnderline"/>
          <w:highlight w:val="green"/>
        </w:rPr>
        <w:t xml:space="preserve">NTDs keep people </w:t>
      </w:r>
      <w:r w:rsidRPr="00DD2D90">
        <w:rPr>
          <w:rStyle w:val="Emphasis"/>
          <w:highlight w:val="green"/>
        </w:rPr>
        <w:t>trapped</w:t>
      </w:r>
      <w:r w:rsidRPr="00DD2D90">
        <w:rPr>
          <w:rStyle w:val="StyleUnderline"/>
          <w:highlight w:val="green"/>
        </w:rPr>
        <w:t xml:space="preserve"> in</w:t>
      </w:r>
      <w:r w:rsidRPr="00DD2D90">
        <w:rPr>
          <w:rStyle w:val="StyleUnderline"/>
        </w:rPr>
        <w:t xml:space="preserve"> </w:t>
      </w:r>
      <w:r w:rsidRPr="00DD2D90">
        <w:rPr>
          <w:rStyle w:val="StyleUnderline"/>
          <w:highlight w:val="green"/>
        </w:rPr>
        <w:t>poverty</w:t>
      </w:r>
      <w:r w:rsidRPr="00223414">
        <w:rPr>
          <w:sz w:val="16"/>
        </w:rPr>
        <w:t xml:space="preserve">. And yet, while nearly 17 million healthy years of life are lost annually to NTDs, </w:t>
      </w:r>
      <w:r w:rsidRPr="00DD2D90">
        <w:rPr>
          <w:rStyle w:val="StyleUnderline"/>
        </w:rPr>
        <w:t>these diseases are largely preventable, and many can be treated with a few simple pills</w:t>
      </w:r>
      <w:r w:rsidRPr="00223414">
        <w:rPr>
          <w:sz w:val="16"/>
        </w:rPr>
        <w:t xml:space="preserve">. Ensuring broad access to these medications would not only bring obvious health and humanitarian benefits, but also pay remarkably high and sustained social and economic dividends. Consider intestinal worms, the most prevalent – and among the most treatable – NTDs. Starting in 1998, we studied a public-health program providing treatment for intestinal worms to tens of thousands of primary-school children in Kenya. Using a randomized control trial, we could reliably measure the program’s causal impact by comparing schools where treatment was provided with otherwise identical schools where it wasn’t. In </w:t>
      </w:r>
      <w:r w:rsidRPr="00DD2D90">
        <w:rPr>
          <w:rStyle w:val="StyleUnderline"/>
        </w:rPr>
        <w:t>the schools that received treatment, we recorded gains in child-health measures and considerably higher school</w:t>
      </w:r>
      <w:r w:rsidRPr="00223414">
        <w:rPr>
          <w:sz w:val="16"/>
        </w:rPr>
        <w:t xml:space="preserve"> </w:t>
      </w:r>
      <w:r w:rsidRPr="00DD2D90">
        <w:rPr>
          <w:rStyle w:val="StyleUnderline"/>
        </w:rPr>
        <w:t>attendance</w:t>
      </w:r>
      <w:r w:rsidRPr="00223414">
        <w:rPr>
          <w:sz w:val="16"/>
        </w:rPr>
        <w:t xml:space="preserve">. We then engaged in a two-decade effort to track a representative subsample of thousands of the same children. Roughly every five years, the research team carried out surveys to gather information on these individuals’ earnings and living standards, as well as residential choices and other life outcomes. The results from this unusual longitudinal data set are stunning. </w:t>
      </w:r>
      <w:r w:rsidRPr="00DD2D90">
        <w:rPr>
          <w:rStyle w:val="StyleUnderline"/>
        </w:rPr>
        <w:t xml:space="preserve">Twenty years later, </w:t>
      </w:r>
      <w:r w:rsidRPr="00DD2D90">
        <w:rPr>
          <w:rStyle w:val="StyleUnderline"/>
          <w:highlight w:val="green"/>
        </w:rPr>
        <w:t>individuals who</w:t>
      </w:r>
      <w:r w:rsidRPr="00DD2D90">
        <w:rPr>
          <w:rStyle w:val="StyleUnderline"/>
        </w:rPr>
        <w:t xml:space="preserve"> had </w:t>
      </w:r>
      <w:r w:rsidRPr="00DD2D90">
        <w:rPr>
          <w:rStyle w:val="StyleUnderline"/>
          <w:highlight w:val="green"/>
        </w:rPr>
        <w:t>received</w:t>
      </w:r>
      <w:r w:rsidRPr="00DD2D90">
        <w:rPr>
          <w:rStyle w:val="StyleUnderline"/>
        </w:rPr>
        <w:t xml:space="preserve"> additional </w:t>
      </w:r>
      <w:r w:rsidRPr="00DD2D90">
        <w:rPr>
          <w:rStyle w:val="StyleUnderline"/>
          <w:highlight w:val="green"/>
        </w:rPr>
        <w:t>deworming</w:t>
      </w:r>
      <w:r w:rsidRPr="00DD2D90">
        <w:rPr>
          <w:rStyle w:val="StyleUnderline"/>
        </w:rPr>
        <w:t xml:space="preserve"> treatment in school </w:t>
      </w:r>
      <w:r w:rsidRPr="00223414">
        <w:rPr>
          <w:sz w:val="16"/>
        </w:rPr>
        <w:t xml:space="preserve">– now in their late twenties and early thirties – </w:t>
      </w:r>
      <w:r w:rsidRPr="00DD2D90">
        <w:rPr>
          <w:rStyle w:val="StyleUnderline"/>
          <w:highlight w:val="green"/>
        </w:rPr>
        <w:t>reported 13% higher hourly wages and 14% higher spending on consumption goods than those who did not</w:t>
      </w:r>
      <w:r w:rsidRPr="00223414">
        <w:rPr>
          <w:sz w:val="16"/>
        </w:rPr>
        <w:t xml:space="preserve">. </w:t>
      </w:r>
      <w:r w:rsidRPr="00DD2D90">
        <w:rPr>
          <w:rStyle w:val="StyleUnderline"/>
        </w:rPr>
        <w:t>They</w:t>
      </w:r>
      <w:r w:rsidRPr="00223414">
        <w:rPr>
          <w:sz w:val="16"/>
        </w:rPr>
        <w:t xml:space="preserve"> had also </w:t>
      </w:r>
      <w:r w:rsidRPr="00DD2D90">
        <w:rPr>
          <w:rStyle w:val="StyleUnderline"/>
        </w:rPr>
        <w:t>moved to large urban areas</w:t>
      </w:r>
      <w:r w:rsidRPr="00223414">
        <w:rPr>
          <w:sz w:val="16"/>
        </w:rPr>
        <w:t xml:space="preserve">, like Nairobi, </w:t>
      </w:r>
      <w:r w:rsidRPr="00DD2D90">
        <w:rPr>
          <w:rStyle w:val="StyleUnderline"/>
        </w:rPr>
        <w:t>in far greater numbers, affording them better economic opportunities</w:t>
      </w:r>
      <w:r w:rsidRPr="00223414">
        <w:rPr>
          <w:sz w:val="16"/>
        </w:rPr>
        <w:t xml:space="preserve">. Considering that an </w:t>
      </w:r>
      <w:r w:rsidRPr="00DD2D90">
        <w:rPr>
          <w:rStyle w:val="StyleUnderline"/>
        </w:rPr>
        <w:t xml:space="preserve">annual deworming treatment costs about $0.50 per child when delivered at scale, the rate of return </w:t>
      </w:r>
      <w:r w:rsidRPr="00DD2D90">
        <w:rPr>
          <w:rStyle w:val="StyleUnderline"/>
          <w:highlight w:val="green"/>
        </w:rPr>
        <w:t>o</w:t>
      </w:r>
      <w:r w:rsidRPr="00DD2D90">
        <w:rPr>
          <w:rStyle w:val="StyleUnderline"/>
        </w:rPr>
        <w:t xml:space="preserve">n this </w:t>
      </w:r>
      <w:r w:rsidRPr="00DD2D90">
        <w:rPr>
          <w:rStyle w:val="StyleUnderline"/>
          <w:highlight w:val="green"/>
        </w:rPr>
        <w:t>i</w:t>
      </w:r>
      <w:r w:rsidRPr="00DD2D90">
        <w:rPr>
          <w:rStyle w:val="StyleUnderline"/>
        </w:rPr>
        <w:t xml:space="preserve">nvestment in </w:t>
      </w:r>
      <w:r w:rsidRPr="00DD2D90">
        <w:rPr>
          <w:rStyle w:val="StyleUnderline"/>
          <w:highlight w:val="green"/>
        </w:rPr>
        <w:t xml:space="preserve">child health is </w:t>
      </w:r>
      <w:r w:rsidRPr="00DD2D90">
        <w:rPr>
          <w:rStyle w:val="Emphasis"/>
          <w:highlight w:val="green"/>
        </w:rPr>
        <w:t>astronomical</w:t>
      </w:r>
      <w:r w:rsidRPr="00DD2D90">
        <w:rPr>
          <w:rStyle w:val="StyleUnderline"/>
        </w:rPr>
        <w:t xml:space="preserve"> and pays for itself many times over</w:t>
      </w:r>
      <w:r w:rsidRPr="00223414">
        <w:rPr>
          <w:sz w:val="16"/>
        </w:rPr>
        <w:t xml:space="preserve">. Fortunately, governments in India, Kenya, Nigeria, Ethiopia, and Pakistan have recognized this, and are working with NGOs to implement mass deworming programs that currently reach over 280 million children each year. But there is still much work to be done to reach the nearly 600 million children who remain at risk of parasitic worm infections. The same is true of NTDs more broadly. Over the last two decades, governments, nonprofit organizations, and bilateral and private donors have made enormous progress in the fight against these diseases, using extremely cheap, cost-effective treatments. As a result, we are closer to beating NTDs than ever. But we aren’t there yet. With the COVID-19 pandemic pushing even more of the world’s population into poverty – and increasing the risk of debilitating illness – now is the time to redouble our efforts to combat NTDs. But growing demands on government budgets and more competition for funding seem set to halt progress – and even reverse it. </w:t>
      </w:r>
      <w:r w:rsidRPr="00DD2D90">
        <w:rPr>
          <w:rStyle w:val="StyleUnderline"/>
          <w:highlight w:val="green"/>
        </w:rPr>
        <w:t>The British</w:t>
      </w:r>
      <w:r w:rsidRPr="00DD2D90">
        <w:rPr>
          <w:rStyle w:val="StyleUnderline"/>
        </w:rPr>
        <w:t xml:space="preserve"> government</w:t>
      </w:r>
      <w:r w:rsidRPr="00223414">
        <w:rPr>
          <w:sz w:val="16"/>
        </w:rPr>
        <w:t xml:space="preserve"> – a global leader in innovative foreign-assistance programs – </w:t>
      </w:r>
      <w:r w:rsidRPr="00DD2D90">
        <w:rPr>
          <w:rStyle w:val="StyleUnderline"/>
        </w:rPr>
        <w:t xml:space="preserve">recently announced that it would </w:t>
      </w:r>
      <w:r w:rsidRPr="00DD2D90">
        <w:rPr>
          <w:rStyle w:val="StyleUnderline"/>
          <w:highlight w:val="green"/>
        </w:rPr>
        <w:t>cut 90% of</w:t>
      </w:r>
      <w:r w:rsidRPr="00DD2D90">
        <w:rPr>
          <w:rStyle w:val="StyleUnderline"/>
        </w:rPr>
        <w:t xml:space="preserve"> its </w:t>
      </w:r>
      <w:r w:rsidRPr="00DD2D90">
        <w:rPr>
          <w:rStyle w:val="StyleUnderline"/>
          <w:highlight w:val="green"/>
        </w:rPr>
        <w:t>funding for NTDs</w:t>
      </w:r>
      <w:r w:rsidRPr="00223414">
        <w:rPr>
          <w:sz w:val="16"/>
          <w:highlight w:val="green"/>
        </w:rPr>
        <w:t>.</w:t>
      </w:r>
      <w:r w:rsidRPr="00223414">
        <w:rPr>
          <w:sz w:val="16"/>
        </w:rPr>
        <w:t xml:space="preserve"> As a result of this decision, </w:t>
      </w:r>
      <w:r w:rsidRPr="00DD2D90">
        <w:rPr>
          <w:rStyle w:val="Emphasis"/>
        </w:rPr>
        <w:t>millions</w:t>
      </w:r>
      <w:r w:rsidRPr="00223414">
        <w:rPr>
          <w:sz w:val="16"/>
        </w:rPr>
        <w:t xml:space="preserve"> of people </w:t>
      </w:r>
      <w:r w:rsidRPr="00DD2D90">
        <w:rPr>
          <w:rStyle w:val="StyleUnderline"/>
        </w:rPr>
        <w:t>will miss out on treatments</w:t>
      </w:r>
      <w:r w:rsidRPr="00223414">
        <w:rPr>
          <w:sz w:val="16"/>
        </w:rPr>
        <w:t xml:space="preserve">, and </w:t>
      </w:r>
      <w:r w:rsidRPr="00DD2D90">
        <w:rPr>
          <w:rStyle w:val="StyleUnderline"/>
        </w:rPr>
        <w:t xml:space="preserve">many medicines that are already in-country could </w:t>
      </w:r>
      <w:r w:rsidRPr="00DD2D90">
        <w:rPr>
          <w:rStyle w:val="Emphasis"/>
        </w:rPr>
        <w:t>expire on the shelf</w:t>
      </w:r>
      <w:r w:rsidRPr="00223414">
        <w:rPr>
          <w:sz w:val="16"/>
        </w:rPr>
        <w:t xml:space="preserve">, owing to a lack of funds to distribute them. For the world’s most vulnerable populations, </w:t>
      </w:r>
      <w:r w:rsidRPr="00DD2D90">
        <w:rPr>
          <w:rStyle w:val="StyleUnderline"/>
        </w:rPr>
        <w:t xml:space="preserve">the consequences will be </w:t>
      </w:r>
      <w:r w:rsidRPr="00DD2D90">
        <w:rPr>
          <w:rStyle w:val="Emphasis"/>
        </w:rPr>
        <w:t>catastrophic</w:t>
      </w:r>
      <w:r w:rsidRPr="00223414">
        <w:rPr>
          <w:sz w:val="16"/>
        </w:rPr>
        <w:t xml:space="preserve">. That is why we urge the British government to reverse its decision, and encourage other governments to fill the gaps in funding. </w:t>
      </w:r>
      <w:r w:rsidRPr="00DD2D90">
        <w:rPr>
          <w:rStyle w:val="StyleUnderline"/>
        </w:rPr>
        <w:t>NTD interventions are some of the most cost-effective global health investments countries can make, especially at a time of rising poverty and proliferating disease</w:t>
      </w:r>
      <w:r w:rsidRPr="00223414">
        <w:rPr>
          <w:sz w:val="16"/>
        </w:rPr>
        <w:t xml:space="preserve">. </w:t>
      </w:r>
      <w:r w:rsidRPr="00DD2D90">
        <w:rPr>
          <w:rStyle w:val="StyleUnderline"/>
          <w:highlight w:val="green"/>
        </w:rPr>
        <w:t>To</w:t>
      </w:r>
      <w:r w:rsidRPr="00DD2D90">
        <w:rPr>
          <w:rStyle w:val="StyleUnderline"/>
        </w:rPr>
        <w:t xml:space="preserve"> end the scourge of NTDs and </w:t>
      </w:r>
      <w:r w:rsidRPr="00DD2D90">
        <w:rPr>
          <w:rStyle w:val="StyleUnderline"/>
          <w:highlight w:val="green"/>
        </w:rPr>
        <w:t>protect the world’s poorest people</w:t>
      </w:r>
      <w:r w:rsidRPr="00DD2D90">
        <w:rPr>
          <w:rStyle w:val="StyleUnderline"/>
        </w:rPr>
        <w:t xml:space="preserve">, we must </w:t>
      </w:r>
      <w:r w:rsidRPr="00DD2D90">
        <w:rPr>
          <w:rStyle w:val="StyleUnderline"/>
          <w:highlight w:val="green"/>
        </w:rPr>
        <w:t>neglect</w:t>
      </w:r>
      <w:r w:rsidRPr="00DD2D90">
        <w:rPr>
          <w:rStyle w:val="StyleUnderline"/>
        </w:rPr>
        <w:t xml:space="preserve"> </w:t>
      </w:r>
      <w:r w:rsidRPr="00DD2D90">
        <w:rPr>
          <w:rStyle w:val="StyleUnderline"/>
          <w:highlight w:val="green"/>
        </w:rPr>
        <w:t>n</w:t>
      </w:r>
      <w:r w:rsidRPr="00DD2D90">
        <w:rPr>
          <w:rStyle w:val="StyleUnderline"/>
        </w:rPr>
        <w:t xml:space="preserve">eglected </w:t>
      </w:r>
      <w:r w:rsidRPr="00DD2D90">
        <w:rPr>
          <w:rStyle w:val="StyleUnderline"/>
          <w:highlight w:val="green"/>
        </w:rPr>
        <w:t>t</w:t>
      </w:r>
      <w:r w:rsidRPr="00DD2D90">
        <w:rPr>
          <w:rStyle w:val="StyleUnderline"/>
        </w:rPr>
        <w:t xml:space="preserve">ropical </w:t>
      </w:r>
      <w:r w:rsidRPr="00DD2D90">
        <w:rPr>
          <w:rStyle w:val="StyleUnderline"/>
          <w:highlight w:val="green"/>
        </w:rPr>
        <w:t>d</w:t>
      </w:r>
      <w:r w:rsidRPr="00DD2D90">
        <w:rPr>
          <w:rStyle w:val="StyleUnderline"/>
        </w:rPr>
        <w:t xml:space="preserve">iseases </w:t>
      </w:r>
      <w:r w:rsidRPr="00DD2D90">
        <w:rPr>
          <w:rStyle w:val="StyleUnderline"/>
          <w:highlight w:val="green"/>
        </w:rPr>
        <w:t>no more</w:t>
      </w:r>
      <w:r w:rsidRPr="00DD2D90">
        <w:rPr>
          <w:rStyle w:val="StyleUnderline"/>
        </w:rPr>
        <w:t xml:space="preserve">. </w:t>
      </w:r>
    </w:p>
    <w:p w14:paraId="66301882" w14:textId="46C294B6" w:rsidR="00893021" w:rsidRPr="00223414" w:rsidRDefault="00893021" w:rsidP="00893021">
      <w:pPr>
        <w:pStyle w:val="Heading4"/>
        <w:rPr>
          <w:szCs w:val="26"/>
        </w:rPr>
      </w:pPr>
      <w:r w:rsidRPr="00223414">
        <w:rPr>
          <w:szCs w:val="26"/>
        </w:rPr>
        <w:t>Stopping NTD</w:t>
      </w:r>
      <w:r w:rsidR="008115C2" w:rsidRPr="00223414">
        <w:rPr>
          <w:szCs w:val="26"/>
        </w:rPr>
        <w:t xml:space="preserve">s is key to </w:t>
      </w:r>
      <w:r w:rsidRPr="00223414">
        <w:rPr>
          <w:szCs w:val="26"/>
        </w:rPr>
        <w:t>supercharging African economic growth</w:t>
      </w:r>
    </w:p>
    <w:p w14:paraId="5E290F29" w14:textId="77777777" w:rsidR="00893021" w:rsidRPr="00DD2D90" w:rsidRDefault="00893021" w:rsidP="00893021">
      <w:r w:rsidRPr="00223414">
        <w:rPr>
          <w:b/>
          <w:bCs/>
          <w:sz w:val="26"/>
          <w:szCs w:val="26"/>
        </w:rPr>
        <w:t>Mosugu 21</w:t>
      </w:r>
      <w:r w:rsidRPr="00DD2D90">
        <w:t xml:space="preserve"> [Tegan Mosugu, global health practitioner and NTD scholar with a PhD, 2021, "Why Neglected Tropical Diseases Still Matter", Think Global Health, https://www.thinkglobalhealth.org/article/why-neglected-tropical-diseases-still-matter]/Kankee</w:t>
      </w:r>
    </w:p>
    <w:p w14:paraId="68379339" w14:textId="77777777" w:rsidR="00893021" w:rsidRPr="00223414" w:rsidRDefault="00893021" w:rsidP="002942D9">
      <w:pPr>
        <w:rPr>
          <w:sz w:val="16"/>
        </w:rPr>
      </w:pPr>
      <w:r w:rsidRPr="00DD2D90">
        <w:rPr>
          <w:rStyle w:val="StyleUnderline"/>
          <w:highlight w:val="green"/>
        </w:rPr>
        <w:t>Africa can't unleash its</w:t>
      </w:r>
      <w:r w:rsidRPr="00DD2D90">
        <w:rPr>
          <w:rStyle w:val="StyleUnderline"/>
        </w:rPr>
        <w:t xml:space="preserve"> </w:t>
      </w:r>
      <w:r w:rsidRPr="00223414">
        <w:rPr>
          <w:sz w:val="16"/>
        </w:rPr>
        <w:t xml:space="preserve">great </w:t>
      </w:r>
      <w:r w:rsidRPr="00DD2D90">
        <w:rPr>
          <w:rStyle w:val="StyleUnderline"/>
          <w:highlight w:val="green"/>
        </w:rPr>
        <w:t>potential until it ends</w:t>
      </w:r>
      <w:r w:rsidRPr="00DD2D90">
        <w:rPr>
          <w:rStyle w:val="StyleUnderline"/>
        </w:rPr>
        <w:t xml:space="preserve"> </w:t>
      </w:r>
      <w:r w:rsidRPr="00223414">
        <w:rPr>
          <w:sz w:val="16"/>
        </w:rPr>
        <w:t>neglected tropical diseases (</w:t>
      </w:r>
      <w:r w:rsidRPr="00DD2D90">
        <w:rPr>
          <w:rStyle w:val="StyleUnderline"/>
          <w:highlight w:val="green"/>
        </w:rPr>
        <w:t>NTDs</w:t>
      </w:r>
      <w:r w:rsidRPr="00223414">
        <w:rPr>
          <w:sz w:val="16"/>
        </w:rPr>
        <w:t xml:space="preserve">). This group of parasitic, viral, and bacterial infections, which include intestinal worms, schistosomiasis, and trachoma, infect more than 600 million people in Africa and more than 1.7 billion people worldwide. And far from being a distraction during the COVID-19 pandemic, there are synergistic ways that countries in Africa can invest in fighting both. Not only is addressing NTDs important in its own right; </w:t>
      </w:r>
      <w:r w:rsidRPr="00DD2D90">
        <w:rPr>
          <w:rStyle w:val="StyleUnderline"/>
          <w:highlight w:val="green"/>
        </w:rPr>
        <w:t>doing so can alleviate poverty and strengthen health systems</w:t>
      </w:r>
      <w:r w:rsidRPr="00223414">
        <w:rPr>
          <w:sz w:val="16"/>
        </w:rPr>
        <w:t xml:space="preserve">. The World Bank estimates that, </w:t>
      </w:r>
      <w:r w:rsidRPr="00DD2D90">
        <w:rPr>
          <w:rStyle w:val="StyleUnderline"/>
        </w:rPr>
        <w:t xml:space="preserve">if poverty-reduction steps are not taken, </w:t>
      </w:r>
      <w:r w:rsidRPr="00DD2D90">
        <w:rPr>
          <w:rStyle w:val="StyleUnderline"/>
          <w:highlight w:val="green"/>
        </w:rPr>
        <w:t xml:space="preserve">by 2030 Africa might be home to </w:t>
      </w:r>
      <w:r w:rsidRPr="00DD2D90">
        <w:rPr>
          <w:rStyle w:val="Emphasis"/>
          <w:highlight w:val="green"/>
        </w:rPr>
        <w:t>90 percent</w:t>
      </w:r>
      <w:r w:rsidRPr="00DD2D90">
        <w:rPr>
          <w:rStyle w:val="StyleUnderline"/>
          <w:highlight w:val="green"/>
        </w:rPr>
        <w:t xml:space="preserve"> of the world's poor</w:t>
      </w:r>
      <w:r w:rsidRPr="00223414">
        <w:rPr>
          <w:sz w:val="16"/>
        </w:rPr>
        <w:t xml:space="preserve">. </w:t>
      </w:r>
      <w:r w:rsidRPr="00DD2D90">
        <w:rPr>
          <w:rStyle w:val="StyleUnderline"/>
          <w:highlight w:val="green"/>
        </w:rPr>
        <w:t>Without effective public health</w:t>
      </w:r>
      <w:r w:rsidRPr="00223414">
        <w:rPr>
          <w:sz w:val="16"/>
        </w:rPr>
        <w:t xml:space="preserve"> planning and implementation, </w:t>
      </w:r>
      <w:r w:rsidRPr="00DD2D90">
        <w:rPr>
          <w:rStyle w:val="StyleUnderline"/>
        </w:rPr>
        <w:t>more economic and social inequalities are bound to emerge</w:t>
      </w:r>
      <w:r w:rsidRPr="00223414">
        <w:rPr>
          <w:sz w:val="16"/>
        </w:rPr>
        <w:t xml:space="preserve">. African nations can tackle these diseases as a step towards achieving the sustainable development goals of improved health systems, gender equity, and better social and economic outcomes. </w:t>
      </w:r>
      <w:r w:rsidRPr="00DD2D90">
        <w:rPr>
          <w:rStyle w:val="StyleUnderline"/>
        </w:rPr>
        <w:t xml:space="preserve">Ending these diseases in our lifetime would undoubtedly enable Africa to unlock its greatness </w:t>
      </w:r>
      <w:r w:rsidRPr="00223414">
        <w:rPr>
          <w:sz w:val="16"/>
        </w:rPr>
        <w:t xml:space="preserve">across multiple measures. Neglected Tropical Diseases in the Context of COVID-19 There is a lot of overlap in how African countries ought to address neglected tropical diseases and COVID-19. Both can be tackled through improvements in water, sanitation, and hygiene, and through behavioral health campaigns stressing the importance of washing hands with clean water and soap. This "hybrid-approach" – predicated on handwashing and improved sanitation – can be used as part of a comprehensive set of interventions to prevent NTDs while concurrently mitigating the spread of COVID-19. COVID-19 and NTDs are also related in how they affect—and are affected by—nutrition. Over the years the world has made progress combating malnutrition, but the ongoing pandemic has disrupted emergency nutrition programs and made it arduous for some communities to access nutritious foods: UNICEF reports a 30 percent reduction in overall coverage of nutrition services in low- and middle-income countries, and declines of 75 percent to 100 percent during lockdown periods. Malnourished individuals, in turn, have a greater chance of being exposed to NTDs due to compromised immune systems. Moreover, children that are malnourished are unable to learn and focus in school. That said, access to nutritious foods is vital in repairing damaged tissues and recovering lost growth and development attributable to NTD infections. Therefore, it is critical that nutrition plays an integral role in the public health response. Investments in strengthening health systems can help address both NTDs and COVID-19. Population-level testing and treatment of NTDs may be of use in responding to and mitigating future outbreaks. Similarly, during the COVID-19 pandemic, the number of active testing laboratories in Nigeria rose from 6 to 25. Investments in lab capacity in states with endemic NTDs will help them prepare for future emergencies and strengthen the overall health system. Accelerating Gender Equality </w:t>
      </w:r>
      <w:r w:rsidRPr="00DD2D90">
        <w:rPr>
          <w:rStyle w:val="StyleUnderline"/>
        </w:rPr>
        <w:t xml:space="preserve">Beating </w:t>
      </w:r>
      <w:r w:rsidRPr="00DD2D90">
        <w:rPr>
          <w:rStyle w:val="StyleUnderline"/>
          <w:highlight w:val="green"/>
        </w:rPr>
        <w:t>NTDs</w:t>
      </w:r>
      <w:r w:rsidRPr="00DD2D90">
        <w:rPr>
          <w:rStyle w:val="StyleUnderline"/>
        </w:rPr>
        <w:t xml:space="preserve"> </w:t>
      </w:r>
      <w:r w:rsidRPr="00DD2D90">
        <w:rPr>
          <w:rStyle w:val="StyleUnderline"/>
          <w:highlight w:val="green"/>
        </w:rPr>
        <w:t>will</w:t>
      </w:r>
      <w:r w:rsidRPr="00DD2D90">
        <w:rPr>
          <w:rStyle w:val="StyleUnderline"/>
        </w:rPr>
        <w:t xml:space="preserve"> also help </w:t>
      </w:r>
      <w:r w:rsidRPr="00DD2D90">
        <w:rPr>
          <w:rStyle w:val="StyleUnderline"/>
          <w:highlight w:val="green"/>
        </w:rPr>
        <w:t>improve</w:t>
      </w:r>
      <w:r w:rsidRPr="00DD2D90">
        <w:rPr>
          <w:rStyle w:val="StyleUnderline"/>
        </w:rPr>
        <w:t xml:space="preserve"> the </w:t>
      </w:r>
      <w:r w:rsidRPr="00DD2D90">
        <w:rPr>
          <w:rStyle w:val="StyleUnderline"/>
          <w:highlight w:val="green"/>
        </w:rPr>
        <w:t xml:space="preserve">health for women </w:t>
      </w:r>
      <w:r w:rsidRPr="00DD2D90">
        <w:rPr>
          <w:rStyle w:val="StyleUnderline"/>
        </w:rPr>
        <w:t xml:space="preserve">and girls, </w:t>
      </w:r>
      <w:r w:rsidRPr="00DD2D90">
        <w:rPr>
          <w:rStyle w:val="StyleUnderline"/>
          <w:highlight w:val="green"/>
        </w:rPr>
        <w:t>shrinking gender</w:t>
      </w:r>
      <w:r w:rsidRPr="00DD2D90">
        <w:rPr>
          <w:rStyle w:val="StyleUnderline"/>
        </w:rPr>
        <w:t xml:space="preserve"> </w:t>
      </w:r>
      <w:r w:rsidRPr="00DD2D90">
        <w:rPr>
          <w:rStyle w:val="StyleUnderline"/>
          <w:highlight w:val="green"/>
        </w:rPr>
        <w:t>disparities</w:t>
      </w:r>
      <w:r w:rsidRPr="00DD2D90">
        <w:rPr>
          <w:rStyle w:val="StyleUnderline"/>
        </w:rPr>
        <w:t xml:space="preserve">. Untreated </w:t>
      </w:r>
      <w:r w:rsidRPr="00DD2D90">
        <w:rPr>
          <w:rStyle w:val="StyleUnderline"/>
          <w:highlight w:val="green"/>
        </w:rPr>
        <w:t>NTDs</w:t>
      </w:r>
      <w:r w:rsidRPr="00DD2D90">
        <w:rPr>
          <w:rStyle w:val="StyleUnderline"/>
        </w:rPr>
        <w:t xml:space="preserve"> can </w:t>
      </w:r>
      <w:r w:rsidRPr="00DD2D90">
        <w:rPr>
          <w:rStyle w:val="StyleUnderline"/>
          <w:highlight w:val="green"/>
        </w:rPr>
        <w:t>contribute t</w:t>
      </w:r>
      <w:r w:rsidRPr="00DD2D90">
        <w:rPr>
          <w:rStyle w:val="StyleUnderline"/>
        </w:rPr>
        <w:t xml:space="preserve">o a whole host of negative health outcomes including </w:t>
      </w:r>
      <w:r w:rsidRPr="00DD2D90">
        <w:rPr>
          <w:rStyle w:val="StyleUnderline"/>
          <w:highlight w:val="green"/>
        </w:rPr>
        <w:t>pregnancy complications</w:t>
      </w:r>
      <w:r w:rsidRPr="00DD2D90">
        <w:rPr>
          <w:rStyle w:val="StyleUnderline"/>
        </w:rPr>
        <w:t xml:space="preserve">, </w:t>
      </w:r>
      <w:r w:rsidRPr="00DD2D90">
        <w:rPr>
          <w:rStyle w:val="StyleUnderline"/>
          <w:highlight w:val="green"/>
        </w:rPr>
        <w:t>anemia</w:t>
      </w:r>
      <w:r w:rsidRPr="00DD2D90">
        <w:rPr>
          <w:rStyle w:val="StyleUnderline"/>
        </w:rPr>
        <w:t xml:space="preserve">, increased risk of contracting </w:t>
      </w:r>
      <w:r w:rsidRPr="00DD2D90">
        <w:rPr>
          <w:rStyle w:val="StyleUnderline"/>
          <w:highlight w:val="green"/>
        </w:rPr>
        <w:t>HIV</w:t>
      </w:r>
      <w:r w:rsidRPr="00DD2D90">
        <w:rPr>
          <w:rStyle w:val="StyleUnderline"/>
        </w:rPr>
        <w:t xml:space="preserve"> </w:t>
      </w:r>
      <w:r w:rsidRPr="00DD2D90">
        <w:rPr>
          <w:rStyle w:val="StyleUnderline"/>
          <w:highlight w:val="green"/>
        </w:rPr>
        <w:t>and</w:t>
      </w:r>
      <w:r w:rsidRPr="00DD2D90">
        <w:rPr>
          <w:rStyle w:val="StyleUnderline"/>
        </w:rPr>
        <w:t xml:space="preserve"> developing </w:t>
      </w:r>
      <w:r w:rsidRPr="00DD2D90">
        <w:rPr>
          <w:rStyle w:val="StyleUnderline"/>
          <w:highlight w:val="green"/>
        </w:rPr>
        <w:t>trichiasis</w:t>
      </w:r>
      <w:r w:rsidRPr="00DD2D90">
        <w:rPr>
          <w:rStyle w:val="StyleUnderline"/>
        </w:rPr>
        <w:t>, risking blindness. Tackling NTDs</w:t>
      </w:r>
      <w:r w:rsidRPr="00223414">
        <w:rPr>
          <w:sz w:val="16"/>
        </w:rPr>
        <w:t xml:space="preserve">, on the other hand, </w:t>
      </w:r>
      <w:r w:rsidRPr="00DD2D90">
        <w:rPr>
          <w:rStyle w:val="StyleUnderline"/>
        </w:rPr>
        <w:t>can boost the economic outcomes for</w:t>
      </w:r>
      <w:r w:rsidRPr="00223414">
        <w:rPr>
          <w:sz w:val="16"/>
        </w:rPr>
        <w:t xml:space="preserve"> </w:t>
      </w:r>
      <w:r w:rsidRPr="00DD2D90">
        <w:rPr>
          <w:rStyle w:val="StyleUnderline"/>
        </w:rPr>
        <w:t>women</w:t>
      </w:r>
      <w:r w:rsidRPr="00223414">
        <w:rPr>
          <w:sz w:val="16"/>
        </w:rPr>
        <w:t xml:space="preserve">. Women make up a huge portion of the informal economy in many African countries, and COVID-19 has made it difficult for many of them to earn a living. </w:t>
      </w:r>
      <w:r w:rsidRPr="00DD2D90">
        <w:rPr>
          <w:rStyle w:val="StyleUnderline"/>
          <w:highlight w:val="green"/>
        </w:rPr>
        <w:t>Women</w:t>
      </w:r>
      <w:r w:rsidRPr="00223414">
        <w:rPr>
          <w:sz w:val="16"/>
        </w:rPr>
        <w:t xml:space="preserve"> also typically </w:t>
      </w:r>
      <w:r w:rsidRPr="00DD2D90">
        <w:rPr>
          <w:rStyle w:val="StyleUnderline"/>
          <w:highlight w:val="green"/>
        </w:rPr>
        <w:t>bear the</w:t>
      </w:r>
      <w:r w:rsidRPr="00DD2D90">
        <w:rPr>
          <w:rStyle w:val="StyleUnderline"/>
        </w:rPr>
        <w:t xml:space="preserve"> majority of the economic </w:t>
      </w:r>
      <w:r w:rsidRPr="00DD2D90">
        <w:rPr>
          <w:rStyle w:val="StyleUnderline"/>
          <w:highlight w:val="green"/>
        </w:rPr>
        <w:t>burden when</w:t>
      </w:r>
      <w:r w:rsidRPr="00DD2D90">
        <w:rPr>
          <w:rStyle w:val="StyleUnderline"/>
        </w:rPr>
        <w:t xml:space="preserve"> she or </w:t>
      </w:r>
      <w:r w:rsidRPr="00DD2D90">
        <w:rPr>
          <w:rStyle w:val="StyleUnderline"/>
          <w:highlight w:val="green"/>
        </w:rPr>
        <w:t>a household member is infected</w:t>
      </w:r>
      <w:r w:rsidRPr="00DD2D90">
        <w:rPr>
          <w:rStyle w:val="StyleUnderline"/>
        </w:rPr>
        <w:t xml:space="preserve"> with an NTD</w:t>
      </w:r>
      <w:r w:rsidRPr="00223414">
        <w:rPr>
          <w:sz w:val="16"/>
        </w:rPr>
        <w:t xml:space="preserve">. Hence, investing in NTDs fosters better health and economic outcomes for women and girls. Economic Benefits of Ending Neglected Tropical Diseases Local and global policymakers should prioritize neglected tropical diseases because of the ripple benefits that they generate. Public health surveys show that people who receive surgery to treat lymphatic filariasis report no loss of workdays in the six months following surgery. As a result, </w:t>
      </w:r>
      <w:r w:rsidRPr="00DD2D90">
        <w:rPr>
          <w:rStyle w:val="StyleUnderline"/>
        </w:rPr>
        <w:t xml:space="preserve">NTD </w:t>
      </w:r>
      <w:r w:rsidRPr="00DD2D90">
        <w:rPr>
          <w:rStyle w:val="StyleUnderline"/>
          <w:highlight w:val="green"/>
        </w:rPr>
        <w:t>interventions lead to more productive and resilient communities</w:t>
      </w:r>
      <w:r w:rsidRPr="00DD2D90">
        <w:rPr>
          <w:rStyle w:val="StyleUnderline"/>
        </w:rPr>
        <w:t xml:space="preserve"> that can adequately contribute to the national economy</w:t>
      </w:r>
      <w:r w:rsidRPr="00223414">
        <w:rPr>
          <w:sz w:val="16"/>
        </w:rPr>
        <w:t xml:space="preserve">. Various research studies attest to the notion that countries that tackle the burden of parasitic worms have better economic outcomes. Recently, the Economist Intelligence Unit estimated that </w:t>
      </w:r>
      <w:r w:rsidRPr="00DD2D90">
        <w:rPr>
          <w:rStyle w:val="StyleUnderline"/>
        </w:rPr>
        <w:t xml:space="preserve">Ethiopia, Rwanda, Kenya, and </w:t>
      </w:r>
      <w:r w:rsidRPr="00DD2D90">
        <w:rPr>
          <w:rStyle w:val="StyleUnderline"/>
          <w:highlight w:val="green"/>
        </w:rPr>
        <w:t>Zimbabwe could achieve</w:t>
      </w:r>
      <w:r w:rsidRPr="00DD2D90">
        <w:rPr>
          <w:rStyle w:val="StyleUnderline"/>
        </w:rPr>
        <w:t xml:space="preserve"> $</w:t>
      </w:r>
      <w:r w:rsidRPr="00DD2D90">
        <w:rPr>
          <w:rStyle w:val="StyleUnderline"/>
          <w:highlight w:val="green"/>
        </w:rPr>
        <w:t>5.1 billion in productivity gains</w:t>
      </w:r>
      <w:r w:rsidRPr="00DD2D90">
        <w:rPr>
          <w:rStyle w:val="StyleUnderline"/>
        </w:rPr>
        <w:t xml:space="preserve"> by 2040 </w:t>
      </w:r>
      <w:r w:rsidRPr="00DD2D90">
        <w:rPr>
          <w:rStyle w:val="StyleUnderline"/>
          <w:highlight w:val="green"/>
        </w:rPr>
        <w:t>if</w:t>
      </w:r>
      <w:r w:rsidRPr="00DD2D90">
        <w:rPr>
          <w:rStyle w:val="StyleUnderline"/>
        </w:rPr>
        <w:t xml:space="preserve"> soil-transmitted helminths and </w:t>
      </w:r>
      <w:r w:rsidRPr="00DD2D90">
        <w:rPr>
          <w:rStyle w:val="StyleUnderline"/>
          <w:highlight w:val="green"/>
        </w:rPr>
        <w:t>schistosomiasis are eliminated</w:t>
      </w:r>
      <w:r w:rsidRPr="00223414">
        <w:rPr>
          <w:sz w:val="16"/>
        </w:rPr>
        <w:t xml:space="preserve">. Ending NTDs is the great equalizer for several at-risk communities. Unlike other diseases, they can be treated timely and effectively. Organizations like the END Fund work in tandem with ministries of health and provide treatment for children for as little as $0.50 per child through school deworming programs. The cost-effective nature of this intervention is often seen as a best-buy in global health due to its enormous benefits. In Western Kenya, a Harvard research study revealed that </w:t>
      </w:r>
      <w:r w:rsidRPr="00DD2D90">
        <w:rPr>
          <w:rStyle w:val="StyleUnderline"/>
          <w:highlight w:val="green"/>
        </w:rPr>
        <w:t xml:space="preserve">deworming reduced school absenteeism by </w:t>
      </w:r>
      <w:r w:rsidRPr="00DD2D90">
        <w:rPr>
          <w:rStyle w:val="Emphasis"/>
          <w:highlight w:val="green"/>
        </w:rPr>
        <w:t>25 percent</w:t>
      </w:r>
      <w:r w:rsidRPr="00223414">
        <w:rPr>
          <w:sz w:val="16"/>
        </w:rPr>
        <w:t xml:space="preserve">. Moreover, </w:t>
      </w:r>
      <w:r w:rsidRPr="00DD2D90">
        <w:rPr>
          <w:rStyle w:val="StyleUnderline"/>
          <w:highlight w:val="green"/>
        </w:rPr>
        <w:t>combatting</w:t>
      </w:r>
      <w:r w:rsidRPr="00DD2D90">
        <w:rPr>
          <w:rStyle w:val="StyleUnderline"/>
        </w:rPr>
        <w:t xml:space="preserve"> soil-transmitted </w:t>
      </w:r>
      <w:r w:rsidRPr="00DD2D90">
        <w:rPr>
          <w:rStyle w:val="StyleUnderline"/>
          <w:highlight w:val="green"/>
        </w:rPr>
        <w:t>helminths</w:t>
      </w:r>
      <w:r w:rsidRPr="00DD2D90">
        <w:rPr>
          <w:rStyle w:val="StyleUnderline"/>
        </w:rPr>
        <w:t xml:space="preserve"> has proven to </w:t>
      </w:r>
      <w:r w:rsidRPr="00DD2D90">
        <w:rPr>
          <w:rStyle w:val="StyleUnderline"/>
          <w:highlight w:val="green"/>
        </w:rPr>
        <w:t>lead to higher levels of school enrollment</w:t>
      </w:r>
      <w:r w:rsidRPr="00DD2D90">
        <w:rPr>
          <w:rStyle w:val="StyleUnderline"/>
        </w:rPr>
        <w:t xml:space="preserve">, regular </w:t>
      </w:r>
      <w:r w:rsidRPr="00DD2D90">
        <w:rPr>
          <w:rStyle w:val="StyleUnderline"/>
          <w:highlight w:val="green"/>
        </w:rPr>
        <w:t xml:space="preserve">attendance, and </w:t>
      </w:r>
      <w:r w:rsidRPr="00DD2D90">
        <w:rPr>
          <w:rStyle w:val="StyleUnderline"/>
        </w:rPr>
        <w:t xml:space="preserve">improved </w:t>
      </w:r>
      <w:r w:rsidRPr="00DD2D90">
        <w:rPr>
          <w:rStyle w:val="StyleUnderline"/>
          <w:highlight w:val="green"/>
        </w:rPr>
        <w:t xml:space="preserve">literacy </w:t>
      </w:r>
      <w:r w:rsidRPr="00DD2D90">
        <w:rPr>
          <w:rStyle w:val="StyleUnderline"/>
        </w:rPr>
        <w:t>rates.</w:t>
      </w:r>
      <w:r w:rsidRPr="00223414">
        <w:rPr>
          <w:sz w:val="16"/>
        </w:rPr>
        <w:t xml:space="preserve"> At the end of 2019, more than 650 million people were thought to be in extreme poverty. However, estimates from the Brookings Institution suggest that COVID-19 can actually lead to the largest increases in extreme income poverty in India, Nigeria, and the Democratic Republic of Congo, respectively. These countries have a large burden of NTDs, and these forecasts imply that this could be worsened if NTDs are not tackled. Furthermore, poverty not only affects the ability of these nations to achieve good health but stifles the work of national and global stakeholders in their efforts to achieve the sustainable development goals. </w:t>
      </w:r>
      <w:r w:rsidRPr="00DD2D90">
        <w:rPr>
          <w:rStyle w:val="StyleUnderline"/>
        </w:rPr>
        <w:t>The</w:t>
      </w:r>
      <w:r w:rsidRPr="00223414">
        <w:rPr>
          <w:sz w:val="16"/>
        </w:rPr>
        <w:t xml:space="preserve"> recently released </w:t>
      </w:r>
      <w:r w:rsidRPr="00DD2D90">
        <w:rPr>
          <w:rStyle w:val="StyleUnderline"/>
        </w:rPr>
        <w:t xml:space="preserve">WHO 2030 NTD Roadmap suggests that </w:t>
      </w:r>
      <w:r w:rsidRPr="00DD2D90">
        <w:rPr>
          <w:rStyle w:val="StyleUnderline"/>
          <w:highlight w:val="green"/>
        </w:rPr>
        <w:t>the only way to meet the</w:t>
      </w:r>
      <w:r w:rsidRPr="00DD2D90">
        <w:rPr>
          <w:rStyle w:val="StyleUnderline"/>
        </w:rPr>
        <w:t xml:space="preserve"> </w:t>
      </w:r>
      <w:r w:rsidRPr="00DD2D90">
        <w:rPr>
          <w:rStyle w:val="StyleUnderline"/>
          <w:highlight w:val="green"/>
        </w:rPr>
        <w:t>s</w:t>
      </w:r>
      <w:r w:rsidRPr="00DD2D90">
        <w:rPr>
          <w:rStyle w:val="StyleUnderline"/>
        </w:rPr>
        <w:t xml:space="preserve">ustainable </w:t>
      </w:r>
      <w:r w:rsidRPr="00DD2D90">
        <w:rPr>
          <w:rStyle w:val="StyleUnderline"/>
          <w:highlight w:val="green"/>
        </w:rPr>
        <w:t>d</w:t>
      </w:r>
      <w:r w:rsidRPr="00DD2D90">
        <w:rPr>
          <w:rStyle w:val="StyleUnderline"/>
        </w:rPr>
        <w:t xml:space="preserve">evelopment </w:t>
      </w:r>
      <w:r w:rsidRPr="00DD2D90">
        <w:rPr>
          <w:rStyle w:val="StyleUnderline"/>
          <w:highlight w:val="green"/>
        </w:rPr>
        <w:t>g</w:t>
      </w:r>
      <w:r w:rsidRPr="00DD2D90">
        <w:rPr>
          <w:rStyle w:val="StyleUnderline"/>
        </w:rPr>
        <w:t>oals</w:t>
      </w:r>
      <w:r w:rsidRPr="00223414">
        <w:rPr>
          <w:sz w:val="16"/>
        </w:rPr>
        <w:t>—</w:t>
      </w:r>
      <w:r w:rsidRPr="00DD2D90">
        <w:rPr>
          <w:rStyle w:val="StyleUnderline"/>
        </w:rPr>
        <w:t>including eradicating poverty and hunger and bolstering education and equality—</w:t>
      </w:r>
      <w:r w:rsidRPr="00DD2D90">
        <w:rPr>
          <w:rStyle w:val="StyleUnderline"/>
          <w:highlight w:val="green"/>
        </w:rPr>
        <w:t>is</w:t>
      </w:r>
      <w:r w:rsidRPr="00DD2D90">
        <w:rPr>
          <w:rStyle w:val="StyleUnderline"/>
        </w:rPr>
        <w:t xml:space="preserve"> by </w:t>
      </w:r>
      <w:r w:rsidRPr="00DD2D90">
        <w:rPr>
          <w:rStyle w:val="StyleUnderline"/>
          <w:highlight w:val="green"/>
        </w:rPr>
        <w:t>ending</w:t>
      </w:r>
      <w:r w:rsidRPr="00DD2D90">
        <w:rPr>
          <w:rStyle w:val="StyleUnderline"/>
        </w:rPr>
        <w:t xml:space="preserve"> </w:t>
      </w:r>
      <w:r w:rsidRPr="00DD2D90">
        <w:rPr>
          <w:rStyle w:val="StyleUnderline"/>
          <w:highlight w:val="green"/>
        </w:rPr>
        <w:t>n</w:t>
      </w:r>
      <w:r w:rsidRPr="00DD2D90">
        <w:rPr>
          <w:rStyle w:val="StyleUnderline"/>
        </w:rPr>
        <w:t xml:space="preserve">eglected </w:t>
      </w:r>
      <w:r w:rsidRPr="00DD2D90">
        <w:rPr>
          <w:rStyle w:val="StyleUnderline"/>
          <w:highlight w:val="green"/>
        </w:rPr>
        <w:t>t</w:t>
      </w:r>
      <w:r w:rsidRPr="00DD2D90">
        <w:rPr>
          <w:rStyle w:val="StyleUnderline"/>
        </w:rPr>
        <w:t xml:space="preserve">ropical </w:t>
      </w:r>
      <w:r w:rsidRPr="00DD2D90">
        <w:rPr>
          <w:rStyle w:val="StyleUnderline"/>
          <w:highlight w:val="green"/>
        </w:rPr>
        <w:t>d</w:t>
      </w:r>
      <w:r w:rsidRPr="00DD2D90">
        <w:rPr>
          <w:rStyle w:val="StyleUnderline"/>
        </w:rPr>
        <w:t>iseases</w:t>
      </w:r>
      <w:r w:rsidRPr="00223414">
        <w:rPr>
          <w:sz w:val="16"/>
        </w:rPr>
        <w:t xml:space="preserve">. Ending Neglected Tropical Diseases is a Necessity for a Brighter African Future Tackling NTDs will help create the Africa of tomorrow that we envision. And eliminating </w:t>
      </w:r>
      <w:r w:rsidRPr="00DD2D90">
        <w:rPr>
          <w:rStyle w:val="StyleUnderline"/>
        </w:rPr>
        <w:t>these diseases in endemic countries can be a useful tool for achieving larger population health outcomes and improving quality of life</w:t>
      </w:r>
      <w:r w:rsidRPr="00223414">
        <w:rPr>
          <w:sz w:val="16"/>
        </w:rPr>
        <w:t xml:space="preserve">. For example, doing so will lift the economic burden from women and girls, who are disproportionately affected by these diseases, and reduce their susceptibility to other diseases. </w:t>
      </w:r>
      <w:r w:rsidRPr="00DD2D90">
        <w:rPr>
          <w:rStyle w:val="StyleUnderline"/>
        </w:rPr>
        <w:t xml:space="preserve">Combating these diseases ensures that </w:t>
      </w:r>
      <w:r w:rsidRPr="00DD2D90">
        <w:rPr>
          <w:rStyle w:val="Emphasis"/>
        </w:rPr>
        <w:t>nobody is left behind</w:t>
      </w:r>
      <w:r w:rsidRPr="00223414">
        <w:rPr>
          <w:sz w:val="16"/>
        </w:rPr>
        <w:t xml:space="preserve"> and every individual – regardless of social status – has an equal chance to achieve his or her desired future. Since 2012, more than 600 million people no longer require treatment for NTDs, and 42 countries have eliminated at least one neglected tropical disease. It is critical that we not lose track of the monumental gains achieved thus far.</w:t>
      </w:r>
    </w:p>
    <w:p w14:paraId="1CE14BCE" w14:textId="4B818F00" w:rsidR="00605696" w:rsidRPr="00D05211" w:rsidRDefault="00605696" w:rsidP="00605696">
      <w:pPr>
        <w:pStyle w:val="Heading3"/>
        <w:rPr>
          <w:rFonts w:ascii="Arial Black" w:hAnsi="Arial Black"/>
          <w:color w:val="B43E1F"/>
          <w:szCs w:val="32"/>
        </w:rPr>
      </w:pPr>
      <w:r w:rsidRPr="00D05211">
        <w:rPr>
          <w:rFonts w:ascii="Arial Black" w:hAnsi="Arial Black"/>
          <w:color w:val="B43E1F"/>
          <w:szCs w:val="32"/>
        </w:rPr>
        <w:t xml:space="preserve">Contention 7: </w:t>
      </w:r>
      <w:r w:rsidR="00252444" w:rsidRPr="00D05211">
        <w:rPr>
          <w:rFonts w:ascii="Arial Black" w:hAnsi="Arial Black"/>
          <w:color w:val="B43E1F"/>
          <w:szCs w:val="32"/>
        </w:rPr>
        <w:t>Commodification Bad</w:t>
      </w:r>
    </w:p>
    <w:p w14:paraId="3572EC43" w14:textId="77777777" w:rsidR="007424CA" w:rsidRPr="00223414" w:rsidRDefault="007424CA" w:rsidP="007424CA">
      <w:pPr>
        <w:pStyle w:val="Heading4"/>
        <w:rPr>
          <w:szCs w:val="26"/>
          <w:lang w:val="vi-VN"/>
        </w:rPr>
      </w:pPr>
      <w:r w:rsidRPr="00223414">
        <w:rPr>
          <w:szCs w:val="26"/>
          <w:lang w:val="vi-VN"/>
        </w:rPr>
        <w:t>The right to health is a prerequisite for all other human rights -- governments must reject market-based commodification to protect global health practice</w:t>
      </w:r>
    </w:p>
    <w:p w14:paraId="14DE8A01" w14:textId="77777777" w:rsidR="007424CA" w:rsidRPr="00DD2D90" w:rsidRDefault="007424CA" w:rsidP="007424CA">
      <w:pPr>
        <w:rPr>
          <w:lang w:val="vi-VN"/>
        </w:rPr>
      </w:pPr>
      <w:r w:rsidRPr="00223414">
        <w:rPr>
          <w:b/>
          <w:bCs/>
          <w:sz w:val="26"/>
          <w:szCs w:val="26"/>
          <w:lang w:val="vi-VN"/>
        </w:rPr>
        <w:t>Sjöblom et al. 10</w:t>
      </w:r>
      <w:r w:rsidRPr="00DD2D90">
        <w:rPr>
          <w:b/>
          <w:bCs/>
          <w:lang w:val="vi-VN"/>
        </w:rPr>
        <w:t xml:space="preserve"> </w:t>
      </w:r>
      <w:r w:rsidRPr="00DD2D90">
        <w:rPr>
          <w:lang w:val="vi-VN"/>
        </w:rPr>
        <w:t>[Mirja Sjöblom, Senior Economist in the Latin America and Caribbean Region and leads the Health Private Sector Program in the World Bank’s public arm, 02</w:t>
      </w:r>
      <w:r w:rsidRPr="00DD2D90">
        <w:t>-</w:t>
      </w:r>
      <w:r w:rsidRPr="00DD2D90">
        <w:rPr>
          <w:lang w:val="vi-VN"/>
        </w:rPr>
        <w:t>18</w:t>
      </w:r>
      <w:r w:rsidRPr="00DD2D90">
        <w:t>-</w:t>
      </w:r>
      <w:r w:rsidRPr="00DD2D90">
        <w:rPr>
          <w:lang w:val="vi-VN"/>
        </w:rPr>
        <w:t>2026, “Public–private collaboration in health: from market failure to public value”, World Bank Blog,</w:t>
      </w:r>
      <w:r w:rsidRPr="00DD2D90">
        <w:t xml:space="preserve"> </w:t>
      </w:r>
      <w:r w:rsidRPr="00DD2D90">
        <w:rPr>
          <w:lang w:val="vi-VN"/>
        </w:rPr>
        <w:t>https://blogs.worldbank.org/en/latinamerica/public-private-collaboration-health#:~:text=As%20Nobel%20Laureate%20Kenneth%20Arrow,and%20regulations%2C%20many%20are%20excluded]</w:t>
      </w:r>
      <w:r w:rsidRPr="00DD2D90">
        <w:t>/</w:t>
      </w:r>
      <w:r w:rsidRPr="00DD2D90">
        <w:rPr>
          <w:lang w:val="vi-VN"/>
        </w:rPr>
        <w:t>Kankee</w:t>
      </w:r>
    </w:p>
    <w:p w14:paraId="3860FCAA" w14:textId="77777777" w:rsidR="007424CA" w:rsidRPr="00223414" w:rsidRDefault="007424CA" w:rsidP="007424CA">
      <w:pPr>
        <w:rPr>
          <w:b/>
          <w:bCs/>
          <w:sz w:val="16"/>
          <w:lang w:val="vi-VN"/>
        </w:rPr>
      </w:pPr>
      <w:r w:rsidRPr="00223414">
        <w:rPr>
          <w:sz w:val="16"/>
          <w:lang w:val="vi-VN"/>
        </w:rPr>
        <w:t xml:space="preserve">Walk into a grocery store and markets behave as textbooks predict prices signal value; consumers compare options, competition rewards efficiency. Now we swap groceries for cancer treatment, maternal care, or emergency surgery. Healthcare is different.  As Nobel Laureate Kenneth Arrow argued six decades ago—and </w:t>
      </w:r>
      <w:r w:rsidRPr="00DD2D90">
        <w:rPr>
          <w:rStyle w:val="Emphasis"/>
          <w:b w:val="0"/>
          <w:bCs/>
        </w:rPr>
        <w:t>global practice confirms</w:t>
      </w:r>
      <w:r w:rsidRPr="00223414">
        <w:rPr>
          <w:sz w:val="16"/>
          <w:lang w:val="vi-VN"/>
        </w:rPr>
        <w:t>—</w:t>
      </w:r>
      <w:r w:rsidRPr="00DD2D90">
        <w:rPr>
          <w:rStyle w:val="Emphasis"/>
          <w:b w:val="0"/>
          <w:bCs/>
          <w:highlight w:val="green"/>
        </w:rPr>
        <w:t>healthcare</w:t>
      </w:r>
      <w:r w:rsidRPr="00DD2D90">
        <w:rPr>
          <w:rStyle w:val="Emphasis"/>
          <w:b w:val="0"/>
          <w:bCs/>
        </w:rPr>
        <w:t xml:space="preserve"> systematically </w:t>
      </w:r>
      <w:r w:rsidRPr="00DD2D90">
        <w:rPr>
          <w:rStyle w:val="Emphasis"/>
          <w:b w:val="0"/>
          <w:bCs/>
          <w:highlight w:val="green"/>
        </w:rPr>
        <w:t>violates key</w:t>
      </w:r>
      <w:r w:rsidRPr="00DD2D90">
        <w:rPr>
          <w:rStyle w:val="Emphasis"/>
        </w:rPr>
        <w:t xml:space="preserve"> </w:t>
      </w:r>
      <w:r w:rsidRPr="00DD2D90">
        <w:rPr>
          <w:rStyle w:val="StyleUnderline"/>
        </w:rPr>
        <w:t>assumptions for</w:t>
      </w:r>
      <w:r w:rsidRPr="00DD2D90">
        <w:rPr>
          <w:rStyle w:val="Emphasis"/>
        </w:rPr>
        <w:t xml:space="preserve"> </w:t>
      </w:r>
      <w:r w:rsidRPr="00DD2D90">
        <w:rPr>
          <w:rStyle w:val="Emphasis"/>
          <w:b w:val="0"/>
          <w:bCs/>
          <w:highlight w:val="green"/>
        </w:rPr>
        <w:t>well-functioning markets</w:t>
      </w:r>
      <w:r w:rsidRPr="00223414">
        <w:rPr>
          <w:sz w:val="16"/>
        </w:rPr>
        <w:t xml:space="preserve">. Left to </w:t>
      </w:r>
      <w:r w:rsidRPr="00DD2D90">
        <w:rPr>
          <w:rStyle w:val="StyleUnderline"/>
        </w:rPr>
        <w:t>market</w:t>
      </w:r>
      <w:r w:rsidRPr="00223414">
        <w:rPr>
          <w:sz w:val="16"/>
        </w:rPr>
        <w:t xml:space="preserve"> forces alone, health </w:t>
      </w:r>
      <w:r w:rsidRPr="00DD2D90">
        <w:rPr>
          <w:rStyle w:val="StyleUnderline"/>
        </w:rPr>
        <w:t>systems struggle to deliver</w:t>
      </w:r>
      <w:r w:rsidRPr="00223414">
        <w:rPr>
          <w:sz w:val="16"/>
        </w:rPr>
        <w:t xml:space="preserve"> what societies</w:t>
      </w:r>
      <w:r w:rsidRPr="00DD2D90">
        <w:rPr>
          <w:rStyle w:val="StyleUnderline"/>
        </w:rPr>
        <w:t xml:space="preserve"> </w:t>
      </w:r>
      <w:r w:rsidRPr="00DD2D90">
        <w:rPr>
          <w:rStyle w:val="StyleUnderline"/>
          <w:highlight w:val="green"/>
        </w:rPr>
        <w:t xml:space="preserve">value </w:t>
      </w:r>
      <w:r w:rsidRPr="00223414">
        <w:rPr>
          <w:sz w:val="16"/>
        </w:rPr>
        <w:t>most</w:t>
      </w:r>
      <w:r w:rsidRPr="00DD2D90">
        <w:rPr>
          <w:rStyle w:val="StyleUnderline"/>
        </w:rPr>
        <w:t>:</w:t>
      </w:r>
      <w:r w:rsidRPr="00DD2D90">
        <w:rPr>
          <w:rStyle w:val="Emphasis"/>
          <w:b w:val="0"/>
          <w:bCs/>
          <w:highlight w:val="green"/>
        </w:rPr>
        <w:t> equitable access</w:t>
      </w:r>
      <w:r w:rsidRPr="00DD2D90">
        <w:rPr>
          <w:rStyle w:val="Emphasis"/>
          <w:b w:val="0"/>
          <w:bCs/>
        </w:rPr>
        <w:t xml:space="preserve">, high-quality </w:t>
      </w:r>
      <w:r w:rsidRPr="00DD2D90">
        <w:rPr>
          <w:rStyle w:val="Emphasis"/>
          <w:b w:val="0"/>
          <w:bCs/>
          <w:highlight w:val="green"/>
        </w:rPr>
        <w:t>care</w:t>
      </w:r>
      <w:r w:rsidRPr="00DD2D90">
        <w:rPr>
          <w:rStyle w:val="Emphasis"/>
          <w:b w:val="0"/>
          <w:bCs/>
        </w:rPr>
        <w:t xml:space="preserve">, and </w:t>
      </w:r>
      <w:r w:rsidRPr="00DD2D90">
        <w:rPr>
          <w:rStyle w:val="Emphasis"/>
          <w:b w:val="0"/>
          <w:bCs/>
          <w:highlight w:val="green"/>
        </w:rPr>
        <w:t>financial</w:t>
      </w:r>
      <w:r w:rsidRPr="00DD2D90">
        <w:rPr>
          <w:rStyle w:val="Emphasis"/>
          <w:b w:val="0"/>
          <w:bCs/>
        </w:rPr>
        <w:t xml:space="preserve"> </w:t>
      </w:r>
      <w:r w:rsidRPr="00DD2D90">
        <w:rPr>
          <w:rStyle w:val="Emphasis"/>
          <w:b w:val="0"/>
          <w:bCs/>
          <w:highlight w:val="green"/>
        </w:rPr>
        <w:t>protection</w:t>
      </w:r>
      <w:r w:rsidRPr="00DD2D90">
        <w:rPr>
          <w:rStyle w:val="Emphasis"/>
        </w:rPr>
        <w:t>.</w:t>
      </w:r>
      <w:r w:rsidRPr="00223414">
        <w:rPr>
          <w:sz w:val="16"/>
          <w:lang w:val="vi-VN"/>
        </w:rPr>
        <w:t xml:space="preserve"> The </w:t>
      </w:r>
      <w:r w:rsidRPr="00223414">
        <w:rPr>
          <w:sz w:val="16"/>
        </w:rPr>
        <w:t>policy question isn’t whether markets should exist in healthcare—they already do. It’s how</w:t>
      </w:r>
      <w:r w:rsidRPr="00223414">
        <w:rPr>
          <w:sz w:val="16"/>
          <w:lang w:val="vi-VN"/>
        </w:rPr>
        <w:t xml:space="preserve"> governments steward health markets, so they serve public objectives rather than undermine them.  Why healthcare defies market logic  </w:t>
      </w:r>
      <w:r w:rsidRPr="00DD2D90">
        <w:rPr>
          <w:rStyle w:val="Emphasis"/>
          <w:b w:val="0"/>
          <w:bCs/>
          <w:highlight w:val="green"/>
        </w:rPr>
        <w:t>Healthcare</w:t>
      </w:r>
      <w:r w:rsidRPr="00DD2D90">
        <w:rPr>
          <w:rStyle w:val="Emphasis"/>
          <w:b w:val="0"/>
          <w:bCs/>
        </w:rPr>
        <w:t xml:space="preserve"> </w:t>
      </w:r>
      <w:r w:rsidRPr="00DD2D90">
        <w:rPr>
          <w:rStyle w:val="Emphasis"/>
          <w:b w:val="0"/>
          <w:bCs/>
          <w:highlight w:val="green"/>
        </w:rPr>
        <w:t>markets</w:t>
      </w:r>
      <w:r w:rsidRPr="00DD2D90">
        <w:rPr>
          <w:rStyle w:val="Emphasis"/>
          <w:b w:val="0"/>
          <w:bCs/>
        </w:rPr>
        <w:t xml:space="preserve"> face persistent </w:t>
      </w:r>
      <w:r w:rsidRPr="00DD2D90">
        <w:rPr>
          <w:rStyle w:val="Emphasis"/>
          <w:b w:val="0"/>
          <w:bCs/>
          <w:highlight w:val="green"/>
        </w:rPr>
        <w:t>failures</w:t>
      </w:r>
      <w:r w:rsidRPr="00DD2D90">
        <w:rPr>
          <w:rStyle w:val="Emphasis"/>
          <w:b w:val="0"/>
          <w:bCs/>
        </w:rPr>
        <w:t>:</w:t>
      </w:r>
      <w:r w:rsidRPr="00DD2D90">
        <w:rPr>
          <w:rStyle w:val="Emphasis"/>
        </w:rPr>
        <w:t xml:space="preserve">  </w:t>
      </w:r>
      <w:r w:rsidRPr="00223414">
        <w:rPr>
          <w:sz w:val="16"/>
          <w:lang w:val="vi-VN"/>
        </w:rPr>
        <w:t xml:space="preserve">Information asymmetry: </w:t>
      </w:r>
      <w:r w:rsidRPr="00DD2D90">
        <w:rPr>
          <w:rStyle w:val="Emphasis"/>
          <w:b w:val="0"/>
          <w:bCs/>
          <w:highlight w:val="green"/>
        </w:rPr>
        <w:t>Patients</w:t>
      </w:r>
      <w:r w:rsidRPr="00DD2D90">
        <w:rPr>
          <w:rStyle w:val="Emphasis"/>
          <w:b w:val="0"/>
          <w:bCs/>
        </w:rPr>
        <w:t xml:space="preserve"> </w:t>
      </w:r>
      <w:r w:rsidRPr="00DD2D90">
        <w:rPr>
          <w:rStyle w:val="Emphasis"/>
          <w:b w:val="0"/>
          <w:bCs/>
          <w:highlight w:val="green"/>
        </w:rPr>
        <w:t>cannot reliably judge quality</w:t>
      </w:r>
      <w:r w:rsidRPr="00DD2D90">
        <w:rPr>
          <w:rStyle w:val="Emphasis"/>
        </w:rPr>
        <w:t xml:space="preserve"> </w:t>
      </w:r>
      <w:r w:rsidRPr="00223414">
        <w:rPr>
          <w:sz w:val="16"/>
          <w:lang w:val="vi-VN"/>
        </w:rPr>
        <w:t xml:space="preserve">or necessity and depend on providers, </w:t>
      </w:r>
      <w:r w:rsidRPr="00DD2D90">
        <w:rPr>
          <w:rStyle w:val="StyleUnderline"/>
        </w:rPr>
        <w:t xml:space="preserve">often when vulnerable. </w:t>
      </w:r>
      <w:r w:rsidRPr="00DD2D90">
        <w:rPr>
          <w:rStyle w:val="Emphasis"/>
          <w:b w:val="0"/>
          <w:bCs/>
        </w:rPr>
        <w:t>Price doesn’t signal value</w:t>
      </w:r>
      <w:r w:rsidRPr="00223414">
        <w:rPr>
          <w:sz w:val="16"/>
          <w:lang w:val="vi-VN"/>
        </w:rPr>
        <w:t xml:space="preserve">; choice doesn’t guarantee quality.  Inelastic, unpredictable demand: </w:t>
      </w:r>
      <w:r w:rsidRPr="00DD2D90">
        <w:rPr>
          <w:rStyle w:val="Emphasis"/>
          <w:b w:val="0"/>
          <w:bCs/>
        </w:rPr>
        <w:t>No one shops during a stroke.</w:t>
      </w:r>
      <w:r w:rsidRPr="00223414">
        <w:rPr>
          <w:sz w:val="16"/>
          <w:lang w:val="vi-VN"/>
        </w:rPr>
        <w:t xml:space="preserve"> </w:t>
      </w:r>
      <w:r w:rsidRPr="00DD2D90">
        <w:rPr>
          <w:rStyle w:val="StyleUnderline"/>
        </w:rPr>
        <w:t xml:space="preserve">Urgent, unavoidable demand can </w:t>
      </w:r>
      <w:r w:rsidRPr="00DD2D90">
        <w:rPr>
          <w:rStyle w:val="Emphasis"/>
          <w:b w:val="0"/>
          <w:bCs/>
          <w:highlight w:val="green"/>
        </w:rPr>
        <w:t>expose patients to exploitation</w:t>
      </w:r>
      <w:r w:rsidRPr="00DD2D90">
        <w:rPr>
          <w:rStyle w:val="Emphasis"/>
          <w:b w:val="0"/>
          <w:bCs/>
        </w:rPr>
        <w:t>.</w:t>
      </w:r>
      <w:r w:rsidRPr="00223414">
        <w:rPr>
          <w:sz w:val="16"/>
          <w:lang w:val="vi-VN"/>
        </w:rPr>
        <w:t xml:space="preserve">  Positive externalities: </w:t>
      </w:r>
      <w:r w:rsidRPr="00DD2D90">
        <w:rPr>
          <w:rStyle w:val="StyleUnderline"/>
        </w:rPr>
        <w:t>Vaccination, mental health care,</w:t>
      </w:r>
      <w:r w:rsidRPr="00223414">
        <w:rPr>
          <w:sz w:val="16"/>
          <w:lang w:val="vi-VN"/>
        </w:rPr>
        <w:t xml:space="preserve"> and surveillance benefit society, yet </w:t>
      </w:r>
      <w:r w:rsidRPr="00DD2D90">
        <w:rPr>
          <w:rStyle w:val="Emphasis"/>
          <w:b w:val="0"/>
          <w:bCs/>
          <w:highlight w:val="green"/>
        </w:rPr>
        <w:t>providers aren’t rewarded</w:t>
      </w:r>
      <w:r w:rsidRPr="00DD2D90">
        <w:rPr>
          <w:rStyle w:val="Emphasis"/>
          <w:b w:val="0"/>
          <w:bCs/>
        </w:rPr>
        <w:t xml:space="preserve"> </w:t>
      </w:r>
      <w:r w:rsidRPr="00DD2D90">
        <w:rPr>
          <w:rStyle w:val="Emphasis"/>
          <w:b w:val="0"/>
          <w:bCs/>
          <w:highlight w:val="green"/>
        </w:rPr>
        <w:t>for preventing crises</w:t>
      </w:r>
      <w:r w:rsidRPr="00223414">
        <w:rPr>
          <w:sz w:val="16"/>
          <w:lang w:val="vi-VN"/>
        </w:rPr>
        <w:t xml:space="preserve">—so </w:t>
      </w:r>
      <w:r w:rsidRPr="00DD2D90">
        <w:rPr>
          <w:rStyle w:val="Emphasis"/>
          <w:b w:val="0"/>
          <w:bCs/>
        </w:rPr>
        <w:t>markets underprovide these public goods.</w:t>
      </w:r>
      <w:r w:rsidRPr="00223414">
        <w:rPr>
          <w:sz w:val="16"/>
          <w:lang w:val="vi-VN"/>
        </w:rPr>
        <w:t xml:space="preserve">  Equity gaps and missing markets: </w:t>
      </w:r>
      <w:r w:rsidRPr="00DD2D90">
        <w:rPr>
          <w:rStyle w:val="Emphasis"/>
          <w:b w:val="0"/>
          <w:bCs/>
          <w:highlight w:val="green"/>
        </w:rPr>
        <w:t>Poor, rural, and high-risk populations</w:t>
      </w:r>
      <w:r w:rsidRPr="00223414">
        <w:rPr>
          <w:sz w:val="16"/>
          <w:lang w:val="vi-VN"/>
        </w:rPr>
        <w:t xml:space="preserve"> </w:t>
      </w:r>
      <w:r w:rsidRPr="00DD2D90">
        <w:rPr>
          <w:rStyle w:val="StyleUnderline"/>
        </w:rPr>
        <w:t>are</w:t>
      </w:r>
      <w:r w:rsidRPr="00223414">
        <w:rPr>
          <w:sz w:val="16"/>
          <w:lang w:val="vi-VN"/>
        </w:rPr>
        <w:t xml:space="preserve"> </w:t>
      </w:r>
      <w:r w:rsidRPr="00DD2D90">
        <w:rPr>
          <w:rStyle w:val="Emphasis"/>
          <w:b w:val="0"/>
          <w:bCs/>
        </w:rPr>
        <w:t>often unprofitable.</w:t>
      </w:r>
      <w:r w:rsidRPr="00223414">
        <w:rPr>
          <w:sz w:val="16"/>
          <w:lang w:val="vi-VN"/>
        </w:rPr>
        <w:t xml:space="preserve"> Without public financing and regulations, </w:t>
      </w:r>
      <w:r w:rsidRPr="00DD2D90">
        <w:rPr>
          <w:rStyle w:val="Emphasis"/>
          <w:b w:val="0"/>
          <w:bCs/>
        </w:rPr>
        <w:t xml:space="preserve">many </w:t>
      </w:r>
      <w:r w:rsidRPr="00DD2D90">
        <w:rPr>
          <w:rStyle w:val="Emphasis"/>
          <w:b w:val="0"/>
          <w:bCs/>
          <w:highlight w:val="green"/>
        </w:rPr>
        <w:t>are excluded</w:t>
      </w:r>
      <w:r w:rsidRPr="00DD2D90">
        <w:rPr>
          <w:rStyle w:val="Emphasis"/>
          <w:b w:val="0"/>
          <w:bCs/>
        </w:rPr>
        <w:t>. </w:t>
      </w:r>
      <w:r w:rsidRPr="00223414">
        <w:rPr>
          <w:sz w:val="16"/>
          <w:lang w:val="vi-VN"/>
        </w:rPr>
        <w:t xml:space="preserve"> Market concentration: </w:t>
      </w:r>
      <w:r w:rsidRPr="00DD2D90">
        <w:rPr>
          <w:rStyle w:val="Emphasis"/>
          <w:b w:val="0"/>
          <w:bCs/>
          <w:highlight w:val="green"/>
        </w:rPr>
        <w:t>Hospitals, pharma, and digital health</w:t>
      </w:r>
      <w:r w:rsidRPr="00223414">
        <w:rPr>
          <w:sz w:val="16"/>
          <w:lang w:val="vi-VN"/>
        </w:rPr>
        <w:t xml:space="preserve"> require to scale and operate under heavy regulation, </w:t>
      </w:r>
      <w:r w:rsidRPr="00DD2D90">
        <w:rPr>
          <w:rStyle w:val="Emphasis"/>
          <w:b w:val="0"/>
          <w:bCs/>
          <w:highlight w:val="green"/>
        </w:rPr>
        <w:t>creating high barriers to entry</w:t>
      </w:r>
      <w:r w:rsidRPr="00223414">
        <w:rPr>
          <w:sz w:val="16"/>
          <w:lang w:val="vi-VN"/>
        </w:rPr>
        <w:t xml:space="preserve">. Without oversight, </w:t>
      </w:r>
      <w:r w:rsidRPr="00DD2D90">
        <w:rPr>
          <w:rStyle w:val="StyleUnderline"/>
        </w:rPr>
        <w:t>market power can limit competition and sub-optimal outcomes for the end-users...</w:t>
      </w:r>
      <w:r w:rsidRPr="00223414">
        <w:rPr>
          <w:sz w:val="16"/>
          <w:lang w:val="vi-VN"/>
        </w:rPr>
        <w:t xml:space="preserve">  Result: </w:t>
      </w:r>
      <w:r w:rsidRPr="00DD2D90">
        <w:rPr>
          <w:rStyle w:val="Emphasis"/>
          <w:b w:val="0"/>
          <w:bCs/>
          <w:highlight w:val="green"/>
        </w:rPr>
        <w:t>health</w:t>
      </w:r>
      <w:r w:rsidRPr="00DD2D90">
        <w:rPr>
          <w:rStyle w:val="Emphasis"/>
          <w:b w:val="0"/>
          <w:bCs/>
        </w:rPr>
        <w:t xml:space="preserve"> </w:t>
      </w:r>
      <w:r w:rsidRPr="00DD2D90">
        <w:rPr>
          <w:rStyle w:val="Emphasis"/>
          <w:b w:val="0"/>
          <w:bCs/>
          <w:highlight w:val="green"/>
        </w:rPr>
        <w:t>markets don’t self-correct</w:t>
      </w:r>
      <w:r w:rsidRPr="00DD2D90">
        <w:rPr>
          <w:rStyle w:val="Emphasis"/>
          <w:b w:val="0"/>
          <w:bCs/>
        </w:rPr>
        <w:t>; they must be well-governed</w:t>
      </w:r>
      <w:r w:rsidRPr="00223414">
        <w:rPr>
          <w:b/>
          <w:bCs/>
          <w:sz w:val="16"/>
          <w:lang w:val="vi-VN"/>
        </w:rPr>
        <w:t>. </w:t>
      </w:r>
    </w:p>
    <w:p w14:paraId="66DFDECA" w14:textId="77777777" w:rsidR="007424CA" w:rsidRPr="00223414" w:rsidRDefault="007424CA" w:rsidP="007424CA">
      <w:pPr>
        <w:rPr>
          <w:sz w:val="16"/>
        </w:rPr>
      </w:pPr>
    </w:p>
    <w:p w14:paraId="0526768B" w14:textId="77777777" w:rsidR="00FA1D49" w:rsidRPr="00223414" w:rsidRDefault="00FA1D49">
      <w:pPr>
        <w:rPr>
          <w:rFonts w:eastAsiaTheme="majorEastAsia" w:cstheme="majorBidi"/>
          <w:b/>
          <w:iCs/>
          <w:sz w:val="16"/>
        </w:rPr>
      </w:pPr>
      <w:bookmarkStart w:id="44" w:name="_vdj423otssdy" w:colFirst="0" w:colLast="0"/>
      <w:bookmarkEnd w:id="44"/>
      <w:r w:rsidRPr="00223414">
        <w:rPr>
          <w:sz w:val="16"/>
        </w:rPr>
        <w:br w:type="page"/>
      </w:r>
    </w:p>
    <w:p w14:paraId="45DE25F3" w14:textId="2F9E6958" w:rsidR="00810DF8" w:rsidRPr="00223414" w:rsidRDefault="00810DF8" w:rsidP="00810DF8">
      <w:pPr>
        <w:pStyle w:val="Heading4"/>
        <w:rPr>
          <w:szCs w:val="26"/>
        </w:rPr>
      </w:pPr>
      <w:r w:rsidRPr="00223414">
        <w:rPr>
          <w:szCs w:val="26"/>
        </w:rPr>
        <w:t xml:space="preserve">Government intervention is necessary to address crucial inequities and reduce structural violence </w:t>
      </w:r>
    </w:p>
    <w:p w14:paraId="7662AE25" w14:textId="77777777" w:rsidR="00810DF8" w:rsidRPr="00DD2D90" w:rsidRDefault="00810DF8" w:rsidP="00810DF8">
      <w:pPr>
        <w:rPr>
          <w:rFonts w:eastAsia="Calibri"/>
        </w:rPr>
      </w:pPr>
      <w:r w:rsidRPr="00223414">
        <w:rPr>
          <w:rFonts w:eastAsia="Calibri"/>
          <w:b/>
          <w:bCs/>
          <w:sz w:val="26"/>
          <w:szCs w:val="26"/>
        </w:rPr>
        <w:t>Marmot et. al 08</w:t>
      </w:r>
      <w:r w:rsidRPr="00DD2D90">
        <w:rPr>
          <w:rFonts w:eastAsia="Calibri"/>
          <w:b/>
          <w:bCs/>
        </w:rPr>
        <w:t xml:space="preserve"> </w:t>
      </w:r>
      <w:r w:rsidRPr="00DD2D90">
        <w:rPr>
          <w:rFonts w:eastAsia="Calibri"/>
        </w:rPr>
        <w:t xml:space="preserve">[Prof Michael Marmot PhD, Professor at University College London, Sharon Friel PhD, Researcher at The Australian National University, Ruth Bell PhD, Researcher at Department of Epidemiology and Public Health at University College London, Tanja AJ Houweling PhD, Researcher at Erasmus MC, Sebastian Taylor PhD, Researcher at Department of Epidemiology and Public Health at University College London, 11-2008, “Closing the gap in a generation: health equity through action on the social determinants of health,” The Lancet, </w:t>
      </w:r>
      <w:hyperlink r:id="rId33">
        <w:r w:rsidRPr="00DD2D90">
          <w:rPr>
            <w:rFonts w:eastAsia="Calibri"/>
          </w:rPr>
          <w:t>https://www.sciencedirect.com/science/article/abs/pii/S0140673608616906</w:t>
        </w:r>
      </w:hyperlink>
      <w:r w:rsidRPr="00DD2D90">
        <w:rPr>
          <w:rFonts w:eastAsia="Calibri"/>
        </w:rPr>
        <w:t>]/Kankee</w:t>
      </w:r>
    </w:p>
    <w:p w14:paraId="42BFBD99" w14:textId="77777777" w:rsidR="00810DF8" w:rsidRPr="00223414" w:rsidRDefault="00810DF8" w:rsidP="00810DF8">
      <w:pPr>
        <w:rPr>
          <w:sz w:val="16"/>
        </w:rPr>
      </w:pPr>
      <w:r w:rsidRPr="00223414">
        <w:rPr>
          <w:sz w:val="16"/>
        </w:rPr>
        <w:t>Summary The Commission on Social Determinants of Health, created to marshal the evidence on what can be done to promote health equity and to foster a global movement to achieve it, is a global collaboration of policy makers, researchers, and civil society, led by commissioners with a unique blend of political, academic, and advocacy experience. The focus of attention is on countries at all levels of income and development. The commission launched its final report on August 28, 2008. This paper summarises the key findings and recommendations; the full list is in the final report. Introduction Life chances differ greatly depending on where people are born and raised. A person who has been born and lives in Japan or Sweden can expect to live more than 80 years; in Brazil, 72 years; India, 63 years; and in several African countries, less than 50 years. Within countries, the differences in life chances are also great. The poorest people have high levels of illness and premature mortality—but poor health is not confined to those who are worst off. At all levels of income, health and illness follow a social gradient:</w:t>
      </w:r>
      <w:r w:rsidRPr="00223414">
        <w:rPr>
          <w:rFonts w:eastAsia="Calibri"/>
          <w:sz w:val="16"/>
        </w:rPr>
        <w:t xml:space="preserve"> </w:t>
      </w:r>
      <w:r w:rsidRPr="00DD2D90">
        <w:rPr>
          <w:rStyle w:val="StyleUnderline"/>
        </w:rPr>
        <w:t>the lower the socioeconomic position, the worse the health.</w:t>
      </w:r>
      <w:r w:rsidRPr="00223414">
        <w:rPr>
          <w:rFonts w:eastAsia="Calibri"/>
          <w:sz w:val="16"/>
        </w:rPr>
        <w:t xml:space="preserve"> </w:t>
      </w:r>
      <w:r w:rsidRPr="00DD2D90">
        <w:rPr>
          <w:rFonts w:eastAsia="Calibri"/>
          <w:highlight w:val="green"/>
          <w:u w:val="single"/>
        </w:rPr>
        <w:t xml:space="preserve">If systematic differences in health </w:t>
      </w:r>
      <w:r w:rsidRPr="00DD2D90">
        <w:rPr>
          <w:rFonts w:eastAsia="Calibri"/>
          <w:u w:val="single"/>
        </w:rPr>
        <w:t xml:space="preserve">for different groups of people </w:t>
      </w:r>
      <w:r w:rsidRPr="00DD2D90">
        <w:rPr>
          <w:rFonts w:eastAsia="Calibri"/>
          <w:highlight w:val="green"/>
          <w:u w:val="single"/>
        </w:rPr>
        <w:t xml:space="preserve">are </w:t>
      </w:r>
      <w:r w:rsidRPr="00DD2D90">
        <w:rPr>
          <w:rFonts w:eastAsia="Calibri"/>
          <w:b/>
          <w:bCs/>
          <w:highlight w:val="green"/>
          <w:u w:val="single"/>
        </w:rPr>
        <w:t>avoidable</w:t>
      </w:r>
      <w:r w:rsidRPr="00DD2D90">
        <w:rPr>
          <w:rFonts w:eastAsia="Calibri"/>
          <w:highlight w:val="green"/>
          <w:u w:val="single"/>
        </w:rPr>
        <w:t xml:space="preserve"> </w:t>
      </w:r>
      <w:r w:rsidRPr="00DD2D90">
        <w:rPr>
          <w:rFonts w:eastAsia="Calibri"/>
          <w:u w:val="single"/>
        </w:rPr>
        <w:t xml:space="preserve">by reasonable action, </w:t>
      </w:r>
      <w:r w:rsidRPr="00DD2D90">
        <w:rPr>
          <w:rFonts w:eastAsia="Calibri"/>
          <w:highlight w:val="green"/>
          <w:u w:val="single"/>
        </w:rPr>
        <w:t>their existence is</w:t>
      </w:r>
      <w:r w:rsidRPr="00DD2D90">
        <w:rPr>
          <w:rFonts w:eastAsia="Calibri"/>
          <w:u w:val="single"/>
        </w:rPr>
        <w:t xml:space="preserve">, quite simply, </w:t>
      </w:r>
      <w:r w:rsidRPr="00DD2D90">
        <w:rPr>
          <w:rFonts w:eastAsia="Calibri"/>
          <w:b/>
          <w:bCs/>
          <w:highlight w:val="green"/>
          <w:u w:val="single"/>
        </w:rPr>
        <w:t>unfair</w:t>
      </w:r>
      <w:r w:rsidRPr="00DD2D90">
        <w:rPr>
          <w:rFonts w:eastAsia="Calibri"/>
          <w:highlight w:val="green"/>
          <w:u w:val="single"/>
        </w:rPr>
        <w:t xml:space="preserve">. </w:t>
      </w:r>
      <w:r w:rsidRPr="00223414">
        <w:rPr>
          <w:rFonts w:eastAsia="Calibri"/>
          <w:sz w:val="16"/>
        </w:rPr>
        <w:t xml:space="preserve">We call this imbalance health inequity. </w:t>
      </w:r>
      <w:r w:rsidRPr="00DD2D90">
        <w:rPr>
          <w:rStyle w:val="StyleUnderline"/>
          <w:highlight w:val="green"/>
        </w:rPr>
        <w:t xml:space="preserve">Social injustice is </w:t>
      </w:r>
      <w:r w:rsidRPr="00DD2D90">
        <w:rPr>
          <w:rStyle w:val="Emphasis"/>
          <w:highlight w:val="green"/>
        </w:rPr>
        <w:t>killing</w:t>
      </w:r>
      <w:r w:rsidRPr="00DD2D90">
        <w:rPr>
          <w:rStyle w:val="StyleUnderline"/>
          <w:highlight w:val="green"/>
        </w:rPr>
        <w:t xml:space="preserve"> people on a </w:t>
      </w:r>
      <w:r w:rsidRPr="00DD2D90">
        <w:rPr>
          <w:rStyle w:val="Emphasis"/>
          <w:highlight w:val="green"/>
        </w:rPr>
        <w:t>grand scale</w:t>
      </w:r>
      <w:r w:rsidRPr="00223414">
        <w:rPr>
          <w:rFonts w:eastAsia="Calibri"/>
          <w:sz w:val="16"/>
        </w:rPr>
        <w:t xml:space="preserve">, </w:t>
      </w:r>
      <w:r w:rsidRPr="00DD2D90">
        <w:rPr>
          <w:rStyle w:val="StyleUnderline"/>
        </w:rPr>
        <w:t>and</w:t>
      </w:r>
      <w:r w:rsidRPr="00DD2D90">
        <w:rPr>
          <w:rFonts w:eastAsia="Calibri"/>
          <w:highlight w:val="green"/>
          <w:u w:val="single"/>
        </w:rPr>
        <w:t xml:space="preserve"> the reduction of health inequities, between and within countries, is an </w:t>
      </w:r>
      <w:r w:rsidRPr="00DD2D90">
        <w:rPr>
          <w:rFonts w:eastAsia="Calibri"/>
          <w:b/>
          <w:bCs/>
          <w:highlight w:val="green"/>
          <w:u w:val="single"/>
        </w:rPr>
        <w:t xml:space="preserve">ethical imperative. </w:t>
      </w:r>
      <w:r w:rsidRPr="00223414">
        <w:rPr>
          <w:sz w:val="16"/>
        </w:rPr>
        <w:t xml:space="preserve">Social determinants of health and health equity The commission took a holistic view of social determinants of health.1 The poor health of poor people, the social gradient in health within countries, and the substantial health inequities between countries are caused by the unequal distribution of power, income, goods, and services, globally and nationally, the consequent unfairness in the immediate, visible circumstances of people’s lives—their access to health care and education, their conditions of work and leisure, their homes, communities, towns, or cities—and their chances of leading a flourishing life. </w:t>
      </w:r>
      <w:r w:rsidRPr="00DD2D90">
        <w:rPr>
          <w:rStyle w:val="StyleUnderline"/>
        </w:rPr>
        <w:t>This unequal distribution of health-damaging experiences is</w:t>
      </w:r>
      <w:r w:rsidRPr="00223414">
        <w:rPr>
          <w:sz w:val="16"/>
        </w:rPr>
        <w:t xml:space="preserve"> not in any sense a natural phenomenon but is </w:t>
      </w:r>
      <w:r w:rsidRPr="00DD2D90">
        <w:rPr>
          <w:rStyle w:val="StyleUnderline"/>
        </w:rPr>
        <w:t>the result of</w:t>
      </w:r>
      <w:r w:rsidRPr="00223414">
        <w:rPr>
          <w:sz w:val="16"/>
        </w:rPr>
        <w:t xml:space="preserve"> a combination of poor social policies and programmes, </w:t>
      </w:r>
      <w:r w:rsidRPr="00DD2D90">
        <w:rPr>
          <w:rStyle w:val="StyleUnderline"/>
        </w:rPr>
        <w:t>unfair economic arrangements</w:t>
      </w:r>
      <w:r w:rsidRPr="00223414">
        <w:rPr>
          <w:sz w:val="16"/>
        </w:rPr>
        <w:t xml:space="preserve">, and bad politics. Together, the structural determinants and conditions of daily life constitute the social determinants of health and cause much of the health inequity between and within countries. A new approach to development Health and health equity might not be the aim of all social and economic policies, but they will be a fundamental result. For example, economic growth is, without question, important, particularly for poor countries, because it gives the opportunity to provid resources to invest in improvement of the lives of their populations. But growth by itself, without appropriate social policies to ensure reasonable fairness in the way its benefits are distributed, brings little benefit to health equity. Society has traditionally looked to the health sector to deal with its concerns about health and disease. Certainly, </w:t>
      </w:r>
      <w:r w:rsidRPr="00DD2D90">
        <w:rPr>
          <w:rStyle w:val="StyleUnderline"/>
        </w:rPr>
        <w:t>maldistribution of health care</w:t>
      </w:r>
      <w:r w:rsidRPr="00223414">
        <w:rPr>
          <w:sz w:val="16"/>
        </w:rPr>
        <w:t>—ie, not delivering care to those who most need it—</w:t>
      </w:r>
      <w:r w:rsidRPr="00DD2D90">
        <w:rPr>
          <w:rStyle w:val="StyleUnderline"/>
        </w:rPr>
        <w:t>is one social determinant of health</w:t>
      </w:r>
      <w:r w:rsidRPr="00223414">
        <w:rPr>
          <w:sz w:val="16"/>
        </w:rPr>
        <w:t xml:space="preserve">. But much of the high burden of illness leading to appalling premature loss of life arises because of the immediate and structural conditions in which people are born, grow, live, work, and age. Action on the social determinants of health must involve the whole of government, civil society, local communities, business, and international agencies. Policies and programmes must embrace all sectors of society, not just the health sector. However, ministries of health and their ministers are crucial to the realisation of change. Health ministries that champion approaches based on social determinants of health can demonstrate effectiveness through good practice and support other ministries in creating policies that promote health equity. WHO must do the same, but on an international scale. Closing the health gap in a generation The Commission on Social Determinants of Health calls for the closing of the health gap in a generation: this is an aspiration not a prediction. Great improvements in health, worldwide and within countries, have been made in the past 30 years. We are optimistic that the knowledge exists to continue to make a huge difference to people’s life chances and hence to provide improved health equity. We are also realistic and know that action must start now. The commission’s analysis leads to three principles of action: improve the conditions of daily life (ie, the circumstances in which people are born, grow, live, work, and age); tackle the inequitable distribution of power, money, and resources (the structural drivers of those conditions of daily life) globally, nationally, and locally; and measure the problem, evaluate action, expand the knowledge base, develop a workforce that is trained in the social determinants of health, and raise public awareness about these determinants. These three principles of action are embodied in the three overarching recommendations (panel). The recommendations have to be seen in light of the commission’s global reach. </w:t>
      </w:r>
      <w:r w:rsidRPr="00DD2D90">
        <w:rPr>
          <w:rStyle w:val="StyleUnderline"/>
        </w:rPr>
        <w:t>Recognition of inequities in health is recognition of the plight of people living on US$1 a day in rural Africa</w:t>
      </w:r>
      <w:r w:rsidRPr="00223414">
        <w:rPr>
          <w:sz w:val="16"/>
        </w:rPr>
        <w:t xml:space="preserve">, urban dwellers in shanty towns in low-income and middle-income countries, and the social gradient in health in high-income countries. Although one set of specific recommendations will not apply to all of these particular settings, the general principles will. The recommendations that follow should be seen as principles of action that need to be developed for, and applied in, specific national and local contexts. The full list of recommendations can be found in the final report of the Commission on Social Determinants of Health.1 Improve daily living conditions Equity from the start Investment during the early years of life has some of the greatest potential to reduce health inequities within a generation. Child survival, rightly, has been a focus of worldwide interest. The Commission on Social Determinants of Health has gone further and emphasised the importance of early child development, including not only physical and cognitive or linguistic development but also, crucially, social and emotional development. Early child development affects subsequent life chances through skills development, education, and occupational opportunities; 2 it also affects the risks of obesity, malnutrition, mental-health problems, heart disease, and criminality in later life. At least 200 million children worldwide are not achieving their full development potential. 3 Brain development is highly sensitive to external influences in early childhood that can have lifelong effects. Good nutrition is crucial and begins before birth with adequate nourishment of mothers. Mothers and children need a continuum of care from before pregnancy, through pregnancy and childbirth, to the early days and years of life. 4 Children need safe, healthy, supporting, nurturing, caring, and responsive living environments. Preschool educational programmes and schools, as part of the wider environment that contributes to development, can play a vital part in building children’s capabilities. The combined effects of good nutrition and psychosocial stimulation completely reversed the effects of stunting on intellectual development in a randomised controlled trial in stunted children.5 To build equity from the start of life, governments and international agencies need to commit to and implement a comprehensive approach to early life, building on existing child-survival programmes and extending interventions in early life to include social-emotional and language-cognitive development. This approach will require interagency mechanisms to provide a comprehensive package that extends to all children, mothers, and other carers regardless of ability to pay. These principles of early child development should extend to the education system. Key principles for the education system include provision of high-quality compulsory primary and secondary education for all children regardless of ability to pay, abolishing fees for primary school, and identifying barriers to enrolment in school. Healthy places healthy people In 2007, for the first time, more people worldwide were living in urban than in rural settings.6 Almost 1 billion people live in slums. The proportion of urban residents varies enormously among countries: from less than 10% in Uganda to 100%, or close to it, in Singapore and Belgium. Policies and investment patterns driven by urban needs7 lead to underinvestment in infrastructure and amenities for rural communities worldwide, including indigenous people,8 creating disproportionate poverty and poor living conditions for these popu- lations.9,10 Infectious diseases and undernutrition will continue to dominate in particular regions and groups around the world. However, urbanisation is reshaping population health problems, particularly among poor people in urban areas, towards non-communicable diseases, accidental and violent injuries, and effects of ecological disaster. 11,12 Access to good-quality housing and shelter, clean water, and sanitation are human rights and basic needs for healthy living.13,14 Growing dependence on cars, land-use change to facilitate car use, and increased inconvenience of non-motorised modes of travel have knock-on effects on local air quality, greenhouse-gas emission, and physical inactivity. 15 The planning and design of urban environments has a major effect on health equity through its infl uence on behaviour and safety. The current model of urbanisation poses substantial environmental challenges, particularly climate change— the effect of which is greater in low-income countries and among vulnerable subpopulations.16,17 At present, greenhouse-gas emissions are determined mainly by consumption patterns in cities in developed countries. Communities and neighbourhoods that ensure access to basic goods, that are socially cohesive, that are designed to promote good physical and psychological wellbeing, and that are protective of the natural environment are essential for health equity. Therefore, health and health equity need to be at the heart of urban governance and planning. Upgrading of urban slums should be a priority, including provision of water and sanitation, electricity, and paved streets for all households regardless of ability to pay. Affordable housing must be high on any agenda to improve health equity. Urban planning should promote healthy and safe behaviours equitably, through investment in active transport, through retail planning to manage access to unhealthy foods, and through good environmental design and regulatory controls, including control of the number of alcohol outlets. The Commission on Social Determinants of Health focused particularly on urban areas, but relief of pressure of migration to urban areas and equity between urban and rural areas requires sustained investment in rural development, addressing the exclusionary policies and processes that lead to rural poverty, landlessness, and displacement of people from their homes. Fair employment and decent work Work is the origin of many important determinants of health.18 Work can provide financial security, social status, personal development, social relations, and self-esteem and protection from physical and psychosocial hazards. Employment conditions and the nature of work are both important to health. A flexible workforce is seen as good for economic competitiveness but brings with it effects on health. 19 Mortality seems to be significantly higher in temporary workers than in permanent workers.20 Poor mental health outcomes are associated with precarious employment (figure 1). 21,22 Adverse working conditions can expose individuals to a range of physical health hazards and cluster in low-status occupations. Improved working conditions in high- income countries, which have been hard won over many years of organised action and regulation, are sorely lacking in many middle-income and low-income countries. Stress at work, defined as a combination of high psychological demands and low control or as an imbalance between effort and reward,23 is associated with a 50% excess risk of coronary heart disease24 and other indicators of mental and physical ill health.25 Although work is seen as a route out of poverty in high-income countries, this is not the case worldwide (figure 2). 26 Through fair employment and decent working conditions, government, employers, and workers can help eradicate poverty, alleviate social inequities, reduce exposure to physical and psychosocial hazards, and improve opportunities for health and wellbeing. To this end, full and fair employment and decent work must be a central goal of national and international social and economic policy making, and should involve strengthened representation of workers in the creation of policy, legislation, and programmes relating to employment and work. Employment policy should aim to provide a living wage (that takes into account the real cost of healthy living) and to protect all workers. International agencies should support countries to implement standards of labour for formal and informal workers, to develop policies to ensure balance between work-life and home-life, and to reduce the negative effects of insecurity among workers in precarious work arrangements. Policies that reduce all workers’ exposure to material hazards, work-related stress, and health-damaging behaviours are also needed. Social protection throughout life Low living standards are a powerful determinant of health inequity. The fundamental principle of social protection is that all people need support at some point in their lives. A feature of all high-income countries is that society provides, to a greater or lesser extent, for vulnerable periods and for protection from specific factors, such as illness, disability, and loss of income or work. However, four in every five people worldwide lack basic social-security coverage. 27 Government policies can make a difference—for example, in Sweden and Norway generous transfer payments to socially vulnerable families have been associated with low child poverty. 28 Generous </w:t>
      </w:r>
      <w:r w:rsidRPr="00DD2D90">
        <w:rPr>
          <w:rStyle w:val="StyleUnderline"/>
        </w:rPr>
        <w:t>universal social protection</w:t>
      </w:r>
      <w:r w:rsidRPr="00223414">
        <w:rPr>
          <w:sz w:val="16"/>
        </w:rPr>
        <w:t xml:space="preserve"> systems </w:t>
      </w:r>
      <w:r w:rsidRPr="00DD2D90">
        <w:rPr>
          <w:rStyle w:val="StyleUnderline"/>
        </w:rPr>
        <w:t>are</w:t>
      </w:r>
      <w:r w:rsidRPr="00223414">
        <w:rPr>
          <w:sz w:val="16"/>
        </w:rPr>
        <w:t xml:space="preserve"> </w:t>
      </w:r>
      <w:r w:rsidRPr="00DD2D90">
        <w:rPr>
          <w:rStyle w:val="StyleUnderline"/>
        </w:rPr>
        <w:t>associated with better population health, including lower excess mortality among elderly people and lower mortality among socially disadvantaged groups</w:t>
      </w:r>
      <w:r w:rsidRPr="00223414">
        <w:rPr>
          <w:sz w:val="16"/>
        </w:rPr>
        <w:t xml:space="preserve">. Budgets for social protection are typically larger in countries with universal protection systems and poverty and income inequality tend to be smaller in these countries than in countries with systems that specifi cally target poor people. Reduction of the health gap in a generation requires that governments build systems allowing a healthy standard of living below which nobody should fall because of circumstances beyond his or her control. </w:t>
      </w:r>
      <w:r w:rsidRPr="00DD2D90">
        <w:rPr>
          <w:rStyle w:val="StyleUnderline"/>
          <w:highlight w:val="green"/>
        </w:rPr>
        <w:t>Social protection should be extended to all people</w:t>
      </w:r>
      <w:r w:rsidRPr="00223414">
        <w:rPr>
          <w:sz w:val="16"/>
        </w:rPr>
        <w:t>,</w:t>
      </w:r>
      <w:r w:rsidRPr="00DD2D90">
        <w:rPr>
          <w:rStyle w:val="StyleUnderline"/>
        </w:rPr>
        <w:t xml:space="preserve"> </w:t>
      </w:r>
      <w:r w:rsidRPr="00223414">
        <w:rPr>
          <w:sz w:val="16"/>
        </w:rPr>
        <w:t xml:space="preserve">including those in precarious work, informal work, and household or care work. Although limited institutional infrastructure and finan- cial capacity remains an important barrier in many countries, </w:t>
      </w:r>
      <w:r w:rsidRPr="00DD2D90">
        <w:rPr>
          <w:rStyle w:val="StyleUnderline"/>
        </w:rPr>
        <w:t>social protection</w:t>
      </w:r>
      <w:r w:rsidRPr="00223414">
        <w:rPr>
          <w:sz w:val="16"/>
        </w:rPr>
        <w:t xml:space="preserve"> systems can be initiated, even in low-income countries. Such systems </w:t>
      </w:r>
      <w:r w:rsidRPr="00DD2D90">
        <w:rPr>
          <w:rStyle w:val="StyleUnderline"/>
        </w:rPr>
        <w:t>can be instrumental in realising developmental goals</w:t>
      </w:r>
      <w:r w:rsidRPr="00223414">
        <w:rPr>
          <w:sz w:val="16"/>
        </w:rPr>
        <w:t xml:space="preserve"> rather than being dependent on these goals having been reached. </w:t>
      </w:r>
      <w:r w:rsidRPr="00DD2D90">
        <w:rPr>
          <w:rStyle w:val="StyleUnderline"/>
        </w:rPr>
        <w:t>Social protection systems can reduce poverty</w:t>
      </w:r>
      <w:r w:rsidRPr="00223414">
        <w:rPr>
          <w:sz w:val="16"/>
        </w:rPr>
        <w:t>, and local economies can benefit from them. Therefore, the Commission on Social Determinants of Health recommends that governments establish and strengthen universal com- prehensive social protection policies that support a level of income sufficient for healthy living for all. Universal health care The health-care system is itself a social determinant of health, influenced by and influencing the effect of other social determinants. Gender, education, occupation, income, ethnicity, and place of residence are all closely linked to access to, experiences of, and benefits from health care (figure 3).29 Leaders in health care have an important stewardship role across all branches of society to ensure that policies and actions in other sectors improve health equity.</w:t>
      </w:r>
      <w:r w:rsidRPr="00DD2D90">
        <w:rPr>
          <w:rStyle w:val="StyleUnderline"/>
        </w:rPr>
        <w:t xml:space="preserve"> Health care is a common good, not a market commodity. </w:t>
      </w:r>
      <w:r w:rsidRPr="00223414">
        <w:rPr>
          <w:sz w:val="16"/>
        </w:rPr>
        <w:t xml:space="preserve">Nearly all high-income countries organise their health- care systems around the principle of universal coverage; this approach requires that everyone within a country can access the same range of services according to needs and preferences, regardless of income, social status, or residency, and that people are empowered to use these services. The commission advocates the financing of health-care systems through general taxation or mandatory universal insurance. The </w:t>
      </w:r>
      <w:r w:rsidRPr="00DD2D90">
        <w:rPr>
          <w:rStyle w:val="StyleUnderline"/>
        </w:rPr>
        <w:t>evidence is compellingly</w:t>
      </w:r>
      <w:r w:rsidRPr="00223414">
        <w:rPr>
          <w:sz w:val="16"/>
        </w:rPr>
        <w:t xml:space="preserve"> </w:t>
      </w:r>
      <w:r w:rsidRPr="00DD2D90">
        <w:rPr>
          <w:rStyle w:val="StyleUnderline"/>
        </w:rPr>
        <w:t>in favour of publicly funded health-care systems</w:t>
      </w:r>
      <w:r w:rsidRPr="00223414">
        <w:rPr>
          <w:sz w:val="16"/>
        </w:rPr>
        <w:t xml:space="preserve">. In particular, </w:t>
      </w:r>
      <w:r w:rsidRPr="00DD2D90">
        <w:rPr>
          <w:rStyle w:val="StyleUnderline"/>
          <w:highlight w:val="green"/>
        </w:rPr>
        <w:t>o</w:t>
      </w:r>
      <w:r w:rsidRPr="00DD2D90">
        <w:rPr>
          <w:rStyle w:val="StyleUnderline"/>
        </w:rPr>
        <w:t>ut-</w:t>
      </w:r>
      <w:r w:rsidRPr="00DD2D90">
        <w:rPr>
          <w:rStyle w:val="StyleUnderline"/>
          <w:highlight w:val="green"/>
        </w:rPr>
        <w:t>o</w:t>
      </w:r>
      <w:r w:rsidRPr="00DD2D90">
        <w:rPr>
          <w:rStyle w:val="StyleUnderline"/>
        </w:rPr>
        <w:t>f-</w:t>
      </w:r>
      <w:r w:rsidRPr="00DD2D90">
        <w:rPr>
          <w:rStyle w:val="StyleUnderline"/>
          <w:highlight w:val="green"/>
        </w:rPr>
        <w:t>p</w:t>
      </w:r>
      <w:r w:rsidRPr="00DD2D90">
        <w:rPr>
          <w:rStyle w:val="StyleUnderline"/>
        </w:rPr>
        <w:t xml:space="preserve">ocket </w:t>
      </w:r>
      <w:r w:rsidRPr="00DD2D90">
        <w:rPr>
          <w:rStyle w:val="StyleUnderline"/>
          <w:highlight w:val="green"/>
        </w:rPr>
        <w:t>spending</w:t>
      </w:r>
      <w:r w:rsidRPr="00DD2D90">
        <w:rPr>
          <w:rStyle w:val="StyleUnderline"/>
        </w:rPr>
        <w:t xml:space="preserve"> on health care </w:t>
      </w:r>
      <w:r w:rsidRPr="00DD2D90">
        <w:rPr>
          <w:rStyle w:val="StyleUnderline"/>
          <w:highlight w:val="green"/>
        </w:rPr>
        <w:t>must be kept to a</w:t>
      </w:r>
      <w:r w:rsidRPr="00DD2D90">
        <w:rPr>
          <w:rStyle w:val="StyleUnderline"/>
        </w:rPr>
        <w:t xml:space="preserve"> </w:t>
      </w:r>
      <w:r w:rsidRPr="00DD2D90">
        <w:rPr>
          <w:rStyle w:val="StyleUnderline"/>
          <w:highlight w:val="green"/>
        </w:rPr>
        <w:t>minimum</w:t>
      </w:r>
      <w:r w:rsidRPr="00223414">
        <w:rPr>
          <w:sz w:val="16"/>
        </w:rPr>
        <w:t xml:space="preserve">. The policy imposition of </w:t>
      </w:r>
      <w:r w:rsidRPr="00DD2D90">
        <w:rPr>
          <w:rStyle w:val="StyleUnderline"/>
          <w:highlight w:val="green"/>
        </w:rPr>
        <w:t>user fees</w:t>
      </w:r>
      <w:r w:rsidRPr="00DD2D90">
        <w:rPr>
          <w:rStyle w:val="StyleUnderline"/>
        </w:rPr>
        <w:t xml:space="preserve"> for health care in low-income</w:t>
      </w:r>
      <w:r w:rsidRPr="00223414">
        <w:rPr>
          <w:sz w:val="16"/>
        </w:rPr>
        <w:t xml:space="preserve"> and middle-income </w:t>
      </w:r>
      <w:r w:rsidRPr="00DD2D90">
        <w:rPr>
          <w:rStyle w:val="StyleUnderline"/>
        </w:rPr>
        <w:t>countries</w:t>
      </w:r>
      <w:r w:rsidRPr="00223414">
        <w:rPr>
          <w:sz w:val="16"/>
        </w:rPr>
        <w:t xml:space="preserve"> has </w:t>
      </w:r>
      <w:r w:rsidRPr="00DD2D90">
        <w:rPr>
          <w:rStyle w:val="StyleUnderline"/>
          <w:highlight w:val="green"/>
        </w:rPr>
        <w:t>led to</w:t>
      </w:r>
      <w:r w:rsidRPr="00223414">
        <w:rPr>
          <w:sz w:val="16"/>
          <w:highlight w:val="green"/>
        </w:rPr>
        <w:t xml:space="preserve"> </w:t>
      </w:r>
      <w:r w:rsidRPr="00DD2D90">
        <w:rPr>
          <w:rStyle w:val="StyleUnderline"/>
          <w:highlight w:val="green"/>
        </w:rPr>
        <w:t>a</w:t>
      </w:r>
      <w:r w:rsidRPr="00223414">
        <w:rPr>
          <w:sz w:val="16"/>
        </w:rPr>
        <w:t xml:space="preserve">n overall </w:t>
      </w:r>
      <w:r w:rsidRPr="00DD2D90">
        <w:rPr>
          <w:rStyle w:val="StyleUnderline"/>
          <w:highlight w:val="green"/>
        </w:rPr>
        <w:t>reduction in use and worsening of health outcomes</w:t>
      </w:r>
      <w:r w:rsidRPr="00223414">
        <w:rPr>
          <w:sz w:val="16"/>
        </w:rPr>
        <w:t xml:space="preserve">. </w:t>
      </w:r>
      <w:r w:rsidRPr="00DD2D90">
        <w:rPr>
          <w:rStyle w:val="StyleUnderline"/>
        </w:rPr>
        <w:t xml:space="preserve">Upwards of </w:t>
      </w:r>
      <w:r w:rsidRPr="00DD2D90">
        <w:rPr>
          <w:rStyle w:val="Emphasis"/>
          <w:highlight w:val="green"/>
        </w:rPr>
        <w:t>100 million people</w:t>
      </w:r>
      <w:r w:rsidRPr="00DD2D90">
        <w:rPr>
          <w:rStyle w:val="StyleUnderline"/>
          <w:highlight w:val="green"/>
        </w:rPr>
        <w:t xml:space="preserve"> are pushed into poverty each year through catastrophic household health costs</w:t>
      </w:r>
      <w:r w:rsidRPr="00223414">
        <w:rPr>
          <w:sz w:val="16"/>
        </w:rPr>
        <w:t xml:space="preserve">. Health-care systems have the best health outcomes when based in primary health care. The emphasis in the best systems is both on locally appropriate action across the range of social determinants, where prevention and promotion are in balance with investment in curative interventions, and on primary care with adequate referral to higher levels of care. In all countries, but most pressingly in the poorest and those experiencing brain-drain losses, adequate numbers of appropriately skilled health workers at the local level are fundamental to extending coverage and improving the quality of care. Investment in training and retaining health workers is vital to the strengthening of health-care systems. This strengthening involves global attention to the flows of health personnel as much as national and local attention to investment and skills development. Medical and health practitioners— from those at WHO to those in local clinics—have powerful voices, affecting society’s ideas and decisions about health, and bear witness to the ethical imperative and benefit to efficiency of working more coherently through the health-care system to target social causes of poor health. Tackle inequity of power, money, and resources Health equity in all policies, systems, and programmes Every feature of government and the economy has the potential to affect health and health equity. Coherent action across government—including finance, education, housing, employment, transport, and health—at all levels, is essential for improving health equity.30 Traffic injury, a major public-health issue, is an example of where action must come from outside the health sector. Legislation for the mandatory wearing of helmets by cyclists reduced bicyle-related head and other injuries in Canada in the 1990s. 31 Policy coherence is crucial. For example, trade policy that actively encourages the unfettered production, trade, and consumption of foods high in fats and sugars to the detriment of fruit and vegetable production is contra- dictory to health policy, which recommends low con- sumption of high-fat, high-sugar foods and increased consumption of fruit and vegetables.32 Intersectoral action for health—coordinated policy and action among health and non-health sectors—can be a key strategy to achieve policy coherence.33 Reaching beyond government to involve civil society and the voluntary and private sectors is vital for health equity and can help to ensure fair decision making. </w:t>
      </w:r>
      <w:r w:rsidRPr="00DD2D90">
        <w:rPr>
          <w:rStyle w:val="StyleUnderline"/>
        </w:rPr>
        <w:t>Health</w:t>
      </w:r>
      <w:r w:rsidRPr="00223414">
        <w:rPr>
          <w:sz w:val="16"/>
        </w:rPr>
        <w:t xml:space="preserve">, and health equity, </w:t>
      </w:r>
      <w:r w:rsidRPr="00DD2D90">
        <w:rPr>
          <w:rStyle w:val="StyleUnderline"/>
        </w:rPr>
        <w:t xml:space="preserve">should become corporate issues for the whole of government, placing responsibility for action at the </w:t>
      </w:r>
      <w:r w:rsidRPr="00DD2D90">
        <w:rPr>
          <w:rStyle w:val="Emphasis"/>
        </w:rPr>
        <w:t>highest level</w:t>
      </w:r>
      <w:r w:rsidRPr="00DD2D90">
        <w:rPr>
          <w:rStyle w:val="StyleUnderline"/>
        </w:rPr>
        <w:t xml:space="preserve"> </w:t>
      </w:r>
      <w:r w:rsidRPr="00223414">
        <w:rPr>
          <w:sz w:val="16"/>
        </w:rPr>
        <w:t xml:space="preserve">and ensuring its coherent consideration across all policies. The results of all policies and programmes on health equity also need to be assessed. Although action across government is required, ministries of health have central roles in stewardship and information. This function requires strong leadership from government ministers of health, with support from WHO. Fair financing For countries at all levels of economic development, public financing of action on the social determinants of health is fundamental to welfare and health equity. The socio- economic development of rich countries was strongly supported by publicly financed infrastructure and progressively universal public services. The emphasis on public finance, given the substantial failure of markets to supply vital goods and services equitably, implies strong public-sector leadership and adequate public expenditure. Many low-income countries have weak direct tax institutions and mechanisms and most of their workforce are employed informally. These countries commonly rely on indirect taxes, such as trade tariffs, for government income. Economic agreements that require tariff reduction can reduce domestic revenue in low-income countries. Strengthened progressive tax capacity is a necessary prerequisite of any further tariff-cutting agreements. At the same time, measures to combat the use of offshore financial centres to reduce unethical avoidance of national tax regimes could provide resources for development at least comparable to those made available through new taxes. As globalisation increases the interdependence among countries, the argument for global approaches to taxation becomes stronger. Aid is important for social development. But the volume of aid is appallingly low—absolutely, relative to wealth in donor countries (figure 4),34 and relative to the level of aid commitment of about 0·7% of gross domestic product in such countries. Independent of increased aid, the Commission on Social Determinants of Health urges greater debt relief for more countries than currently provided. The strengthening of public finance to improve social determinants of health will entail the building of national capacity for progressive taxation and the assessment of potential for new national and global public finance mechanisms; fair allocation between geographical regions and ethnic groups is also necessary. Increased international finance for health equity and increased finance through a social determinants of health action framework means that existing commitments to increase global aid to the 0·7% of gross domestic product must be honoured and the Multilateral Debt Relief Initiative expanded. The quality of aid must be improved, too, focusing on better coordination among donors and stronger alignment with recipient development plans. Poverty reduction planning at the national and local levels in recipient countries should adopt a framework addressing social determinants of health to create coherent, cross-sectoral financing. This framework must be transparent and accountable. Market responsibility Markets can bring health benefits in the form of new technologies, goods, and services and improved standard of living. But </w:t>
      </w:r>
      <w:r w:rsidRPr="00DD2D90">
        <w:rPr>
          <w:rStyle w:val="StyleUnderline"/>
        </w:rPr>
        <w:t xml:space="preserve">the marketplace can also generate negative conditions for health, including economic inequalities, resource depletion, environmental pollution, unhealthy working conditions, and the circulation of dangerous and unhealthy goods. </w:t>
      </w:r>
      <w:r w:rsidRPr="00DD2D90">
        <w:rPr>
          <w:rStyle w:val="StyleUnderline"/>
          <w:highlight w:val="green"/>
        </w:rPr>
        <w:t>Health is</w:t>
      </w:r>
      <w:r w:rsidRPr="00DD2D90">
        <w:rPr>
          <w:rStyle w:val="StyleUnderline"/>
        </w:rPr>
        <w:t xml:space="preserve"> not a tradeable commodity</w:t>
      </w:r>
      <w:r w:rsidRPr="00223414">
        <w:rPr>
          <w:sz w:val="16"/>
        </w:rPr>
        <w:t xml:space="preserve">. </w:t>
      </w:r>
      <w:r w:rsidRPr="00DD2D90">
        <w:rPr>
          <w:rStyle w:val="StyleUnderline"/>
        </w:rPr>
        <w:t xml:space="preserve">It is a </w:t>
      </w:r>
      <w:r w:rsidRPr="00223414">
        <w:rPr>
          <w:sz w:val="16"/>
        </w:rPr>
        <w:t xml:space="preserve">matter of </w:t>
      </w:r>
      <w:r w:rsidRPr="00DD2D90">
        <w:rPr>
          <w:rStyle w:val="Emphasis"/>
          <w:highlight w:val="green"/>
        </w:rPr>
        <w:t>rights</w:t>
      </w:r>
      <w:r w:rsidRPr="00223414">
        <w:rPr>
          <w:sz w:val="16"/>
        </w:rPr>
        <w:t xml:space="preserve"> </w:t>
      </w:r>
      <w:r w:rsidRPr="00DD2D90">
        <w:rPr>
          <w:rStyle w:val="StyleUnderline"/>
        </w:rPr>
        <w:t>and a public-sector</w:t>
      </w:r>
      <w:r w:rsidRPr="00223414">
        <w:rPr>
          <w:sz w:val="16"/>
        </w:rPr>
        <w:t xml:space="preserve"> </w:t>
      </w:r>
      <w:r w:rsidRPr="00DD2D90">
        <w:rPr>
          <w:rStyle w:val="StyleUnderline"/>
        </w:rPr>
        <w:t>duty</w:t>
      </w:r>
      <w:r w:rsidRPr="00223414">
        <w:rPr>
          <w:sz w:val="16"/>
        </w:rPr>
        <w:t xml:space="preserve">. As such, </w:t>
      </w:r>
      <w:r w:rsidRPr="00DD2D90">
        <w:rPr>
          <w:rStyle w:val="StyleUnderline"/>
          <w:highlight w:val="green"/>
        </w:rPr>
        <w:t xml:space="preserve">resources </w:t>
      </w:r>
      <w:r w:rsidRPr="00DD2D90">
        <w:rPr>
          <w:rStyle w:val="StyleUnderline"/>
        </w:rPr>
        <w:t xml:space="preserve">for health </w:t>
      </w:r>
      <w:r w:rsidRPr="00DD2D90">
        <w:rPr>
          <w:rStyle w:val="StyleUnderline"/>
          <w:highlight w:val="green"/>
        </w:rPr>
        <w:t>must be equitable and universal</w:t>
      </w:r>
      <w:r w:rsidRPr="00223414">
        <w:rPr>
          <w:sz w:val="16"/>
        </w:rPr>
        <w:t xml:space="preserve">. Experience shows that </w:t>
      </w:r>
      <w:r w:rsidRPr="00DD2D90">
        <w:rPr>
          <w:rStyle w:val="StyleUnderline"/>
          <w:highlight w:val="green"/>
        </w:rPr>
        <w:t>commercialisation of</w:t>
      </w:r>
      <w:r w:rsidRPr="00DD2D90">
        <w:rPr>
          <w:rStyle w:val="StyleUnderline"/>
        </w:rPr>
        <w:t xml:space="preserve"> vital social goods, such </w:t>
      </w:r>
      <w:r w:rsidRPr="00223414">
        <w:rPr>
          <w:sz w:val="16"/>
        </w:rPr>
        <w:t xml:space="preserve">as education and </w:t>
      </w:r>
      <w:r w:rsidRPr="00DD2D90">
        <w:rPr>
          <w:rStyle w:val="StyleUnderline"/>
          <w:highlight w:val="green"/>
        </w:rPr>
        <w:t xml:space="preserve">health care, produces </w:t>
      </w:r>
      <w:r w:rsidRPr="00DD2D90">
        <w:rPr>
          <w:rStyle w:val="StyleUnderline"/>
        </w:rPr>
        <w:t xml:space="preserve">health </w:t>
      </w:r>
      <w:r w:rsidRPr="00DD2D90">
        <w:rPr>
          <w:rStyle w:val="StyleUnderline"/>
          <w:highlight w:val="green"/>
        </w:rPr>
        <w:t>inequity</w:t>
      </w:r>
      <w:r w:rsidRPr="00DD2D90">
        <w:rPr>
          <w:rStyle w:val="StyleUnderline"/>
        </w:rPr>
        <w:t xml:space="preserve">. </w:t>
      </w:r>
      <w:r w:rsidRPr="00223414">
        <w:rPr>
          <w:sz w:val="16"/>
        </w:rPr>
        <w:t xml:space="preserve">The Commission on Social Determinants of Health </w:t>
      </w:r>
      <w:r w:rsidRPr="00DD2D90">
        <w:rPr>
          <w:rStyle w:val="StyleUnderline"/>
        </w:rPr>
        <w:t>views certain goods</w:t>
      </w:r>
      <w:r w:rsidRPr="00223414">
        <w:rPr>
          <w:sz w:val="16"/>
        </w:rPr>
        <w:t xml:space="preserve"> and services </w:t>
      </w:r>
      <w:r w:rsidRPr="00DD2D90">
        <w:rPr>
          <w:rStyle w:val="StyleUnderline"/>
        </w:rPr>
        <w:t>as basic human</w:t>
      </w:r>
      <w:r w:rsidRPr="00223414">
        <w:rPr>
          <w:sz w:val="16"/>
        </w:rPr>
        <w:t xml:space="preserve"> and societal </w:t>
      </w:r>
      <w:r w:rsidRPr="00DD2D90">
        <w:rPr>
          <w:rStyle w:val="StyleUnderline"/>
        </w:rPr>
        <w:t>needs</w:t>
      </w:r>
      <w:r w:rsidRPr="00223414">
        <w:rPr>
          <w:sz w:val="16"/>
        </w:rPr>
        <w:t xml:space="preserve">—access to clean water, for example, and health care. </w:t>
      </w:r>
      <w:r w:rsidRPr="00DD2D90">
        <w:rPr>
          <w:rStyle w:val="StyleUnderline"/>
        </w:rPr>
        <w:t>Such goods and services must be made available universally, regardless of ability to pay, with the public sector, rather than the market sector, underwriting adequate supply and access</w:t>
      </w:r>
      <w:r w:rsidRPr="00223414">
        <w:rPr>
          <w:sz w:val="16"/>
        </w:rPr>
        <w:t xml:space="preserve">. </w:t>
      </w:r>
      <w:r w:rsidRPr="00DD2D90">
        <w:rPr>
          <w:rStyle w:val="StyleUnderline"/>
          <w:highlight w:val="green"/>
        </w:rPr>
        <w:t>The</w:t>
      </w:r>
      <w:r w:rsidRPr="00223414">
        <w:rPr>
          <w:sz w:val="16"/>
          <w:highlight w:val="green"/>
        </w:rPr>
        <w:t xml:space="preserve"> </w:t>
      </w:r>
      <w:r w:rsidRPr="00DD2D90">
        <w:rPr>
          <w:rStyle w:val="StyleUnderline"/>
          <w:highlight w:val="green"/>
        </w:rPr>
        <w:t>unit price</w:t>
      </w:r>
      <w:r w:rsidRPr="00DD2D90">
        <w:rPr>
          <w:rStyle w:val="StyleUnderline"/>
        </w:rPr>
        <w:t xml:space="preserve"> of a commodity commonly </w:t>
      </w:r>
      <w:r w:rsidRPr="00DD2D90">
        <w:rPr>
          <w:rStyle w:val="StyleUnderline"/>
          <w:highlight w:val="green"/>
        </w:rPr>
        <w:t>gets cheaper as consumption goes up, making the first units difficult for people on low incomes to purchase and encouraging overconsumption by people who can afford the first units</w:t>
      </w:r>
      <w:r w:rsidRPr="00223414">
        <w:rPr>
          <w:sz w:val="16"/>
        </w:rPr>
        <w:t xml:space="preserve">, as was the case with water prices in Johannesburg. 35 A fairer tariff structure would subsidise the price for poorer consumers and have price disincentives for overconsumption. Also, public-sector leadership is needed for effective national and international regulation of products, activities, and conditions that damage health or lead to health inequities. Global governance mechanisms—such as the Framework Convention on Tobacco Control—are required with increasing urgency as market integration expands and accelerates circulation of and access to health-damaging commodities. Processed foods and alcohol are two prime candidates for stronger global, regional, and national regulatory controls. Finally, regular health equity impact assessment of all policy making and market regulation should be insti- tutionalised nationally and internationally. In recent decades, under globalisation, market integration has increased. Some of the effects on employment and distribution of goods and services will be beneficial for health, some of them disastrous. The commission urges that caution be applied in the consideration of new global, regional, and bilateral economic policy commitments. Before such commitments are made, the effect of the existing framework of agreements on health, the social determinants of health, and health equity must be fully understood. Public-sector leadership does not displace the responsi- bilities and capacities of the private sector. Stakeholders in the private sector are influential, and have the power to do much for global health equity. Although, to date, initiatives such as those under corporate social responsibility have shown limited evidence of real effect. Corporate social responsibility may be a valuable way forward, but evidence is needed to demonstrate this. Corporate accountability may be a stronger basis on which to build responsible collaborations between private and public interests. The effect of economic agreements on people’s lives should be made obvious. Outcomes of health and health equity must be considered in national and international economic agreements and policy making. The roles of the state as the primary provider of basic services essential to health (eg, water and sanitation) and regulator of goods and services with a major effect on health (eg, tobacco, alcohol, and food) need to be reinforced. Gender equity Gender inequities are pervasive in all societies. Biases in power, resources, entitlements, norms and values, and the way in which organisations are structured and programmes are run damage the health of millions of girls and women. The position of women in society is also associated with child health and survival. Gender inequities influence health through, for example, discriminatory feeding patterns, violence against women, lack of decision-making power, and unfair divisions of work, leisure, and possibilities of improving one’s life. Although the position of women has improved substantially over the past century in many countries, progress has been uneven and many challenges remain. Women earn less than men, even for equivalent work (figure 5); 36 girls and women lag behind in education and employment opportunities. Maternal mortality and mor- bidity remain high in many countries, and reproductive health services remain inequitably distributed within and between countries. The intergenerational effects of inequity between the sexes make the imperative to act even stronger. There are several ways in which governments, donors, international organisations, and civil society can promote gender equity. First, legislation can promote equity and make discrimination on the basis of sex illegal. Second, gender equity units within central administration of governments and international institutions can strengthen assessments of gender implications of planned actions to ensure that men and women benefit equitably. Third, national accounts can include the economic contribution of housework, care work, and voluntary work. Fourth, finance policies and programmes can close gaps in education and skills and support economic participation by women. Finally, investment in sexual and reproductive health services and programmes leading to universal coverage and rights should be increased. Political empowerment—inclusion and voice Empowerment is central to the social determinants of health. Material, psychosocial, and political empowerment comes from inclusion in society and fulfilment of rights to the conditions necessary to achieve the highest attainable standard of health. The risk of these rights being violated is the result of entrenched structural inequities.37 The freedom to participate in economic, social, political, and cultural relationships has intrinsic value.38 Inclusion, agency, and control are each important for social development, health, and wellbeing. A particularly egregious form of social exclusion is seen among indigenous peoples in many countries. But social inequity is also manifest across various intersecting social categories, such as class, education, gender, age, ethnicity, disability, and geography. Exclusion is a sign of not simple difference but hierarchy and reflects deep inequities in the wealth, power, and prestige of different people and communities. Serious effort to reduce health inequities will involve changing of the distribution of power within society and global regions and empowerment of individuals and groups to represent effectively their needs and interests. Such changes will challenge the unfair and graded distribution of social resources to which all citizens have claims and rights. Changes in power relationships can take place at various levels, from the level of individuals, households, or communities to the sphere of structural relations among economic, social, and political stakeholders and institutions. Community or civil society action on health inequities cannot be separated from the responsibility of the state to guarantee a comprehensive set of rights and ensure the fair distribution of essential material and social goods among population groups. Top-down and bottom-up approaches are equally vital. All groups in society can be empowered through fair representation in decisions about how society operates, particularly in relation to health equity by a socially inclusive framework for policy making. Such inclusion can enable civil society to organise and act in a manner that promotes and realises the political and social rights affecting health equity. Good global governance Great differences in the health and life chances of peoples around the world reflect imbalance in the power and prosperity of nations. The benefits of globalisation remain profoundly unequally distributed. Progress in global economic growth and health equity made between 1960 and 1980 has been significantly dampened since (figure 6),39 as global economic policy hit social-sector spending and social development hard. Also associated with the second (post-1980) phase of globalisation, the world has seen significant increase in, and regularity of, financial crises, proliferating conflicts, and forced and voluntary migration. Through the recognition of common interests and interdependent futures, the international community must commit to a multilateral system in which all countries, rich and poor, engage with an equitable voice. </w:t>
      </w:r>
      <w:r w:rsidRPr="00DD2D90">
        <w:rPr>
          <w:rStyle w:val="StyleUnderline"/>
        </w:rPr>
        <w:t>Only through</w:t>
      </w:r>
      <w:r w:rsidRPr="00223414">
        <w:rPr>
          <w:sz w:val="16"/>
        </w:rPr>
        <w:t xml:space="preserve"> such a system of </w:t>
      </w:r>
      <w:r w:rsidRPr="00DD2D90">
        <w:rPr>
          <w:rStyle w:val="StyleUnderline"/>
        </w:rPr>
        <w:t>global governance</w:t>
      </w:r>
      <w:r w:rsidRPr="00223414">
        <w:rPr>
          <w:sz w:val="16"/>
        </w:rPr>
        <w:t>—</w:t>
      </w:r>
      <w:r w:rsidRPr="00DD2D90">
        <w:rPr>
          <w:rStyle w:val="StyleUnderline"/>
        </w:rPr>
        <w:t>that places fairness in health at the heart of the development agenda</w:t>
      </w:r>
      <w:r w:rsidRPr="00223414">
        <w:rPr>
          <w:sz w:val="16"/>
        </w:rPr>
        <w:t xml:space="preserve"> and genuine equality of influence at the heart of its decision making—</w:t>
      </w:r>
      <w:r w:rsidRPr="00DD2D90">
        <w:rPr>
          <w:rStyle w:val="StyleUnderline"/>
        </w:rPr>
        <w:t>will coherent attention to global health equity be possible</w:t>
      </w:r>
      <w:r w:rsidRPr="00223414">
        <w:rPr>
          <w:sz w:val="16"/>
        </w:rPr>
        <w:t xml:space="preserve">. Therefore </w:t>
      </w:r>
      <w:r w:rsidRPr="00DD2D90">
        <w:rPr>
          <w:rStyle w:val="StyleUnderline"/>
        </w:rPr>
        <w:t>health equity should become a global development goal</w:t>
      </w:r>
      <w:r w:rsidRPr="00223414">
        <w:rPr>
          <w:sz w:val="16"/>
        </w:rPr>
        <w:t xml:space="preserve">, and a framework of social determinants of health should be adopted to strengthen multilateral action on development. The UN, through WHO and the Economic and Social Council, should lead and use indicators of social determinants of health to monitor progress by establishing multilateral working groups on thematic social determinants of health. WHO should lead in global action by enshrining social determinants of health as guiding principles across its departments and country programmes. Understand the problem and evaluate action Action on the social determinants of health will be more effective if basic data systems are in place and there are mechanisms to ensure that the data can be understood and applied to develop more effective policies, systems, and programmes. Education and training in social determinants of health are essential. Lack of data often means that problems are unrecognised. Good evidence on levels of health and its distribution, and on the social determinants of health, is essential for the scale of the problem to be understood, the effects of actions assessed, and progress monitored. Experience shows that countries without basic data on mortality and morbidity stratified by socioeconomic indicators have difficulties in moving forward on health equity.40 Countries with the worst health problems have the poorest data. Many countries do not even have basic systems to register all births and deaths (table).41 The evidence base on health inequity, the social determinants of health, and what works to improve them needs further strengthening. Unfortunately, most health research funding remains overwhelmingly biomedically focused. Also, much research remains gender biased. Traditional hierarchies of evidence (which put randomised controlled trials and laboratory experiments at the top) generally do not work for research on the social determinants of health. Rather, evidence needs to be judged on fitness for purpose—that is, does it convincingly answer the question asked? Evidence is only one part of what swings policy decisions—political will and institutional capacity are important too. Policy makers need to understand what affects population health and how the gradient operates. Action on the social determinants of health also requires capacity building among practitioners, including the incorporation of teaching on social determinants of health into the curricula of health and medical personnel. In addition, training of policy makers and other stakeholders on social determinants of health and investment in public awareness are needed. Routine monitoring systems for health equity and the social determinants of health are needed, locally, nationally, and internationally. Combined with invest- ment, such systems will enable generation and sharing of new evidence on the ways in which social determinants influence population health and health equity and on the effectiveness of measures to reduce health inequities through action on social determinants. Conclusion Is closing the gap in a generation possible? This question has two clear answers. If we continue as we are, there is no chance at all. If there is a genuine desire to change, if there is a vision to </w:t>
      </w:r>
      <w:r w:rsidRPr="00DD2D90">
        <w:rPr>
          <w:rStyle w:val="StyleUnderline"/>
        </w:rPr>
        <w:t>create a better</w:t>
      </w:r>
      <w:r w:rsidRPr="00223414">
        <w:rPr>
          <w:sz w:val="16"/>
        </w:rPr>
        <w:t xml:space="preserve"> and fairer </w:t>
      </w:r>
      <w:r w:rsidRPr="00DD2D90">
        <w:rPr>
          <w:rStyle w:val="StyleUnderline"/>
        </w:rPr>
        <w:t>world where people’s life chances and their health will no longer be blighted by the accident of where they happen to be born, the colour of their skin, or the lack of opportunities afforded to their parents</w:t>
      </w:r>
      <w:r w:rsidRPr="00223414">
        <w:rPr>
          <w:sz w:val="16"/>
        </w:rPr>
        <w:t xml:space="preserve">, then the answer is: we could go a long way towards it. Action can be, and is being, taken. But coherent action must be fashioned across the determinants, rooting out structural inequity as much as ensuring more immediate wellbeing. In calling to close the gap in a generation, we do not imagine that the social gradient in health within countries, or the great differences between countries, will be abolished in 30 years. But the evidence, produced in the final report 1 of the Commission on Social Determinants of Health, encourages us that significant closing of the gap is indeed achievable. This is a long-term agenda, requiring investment starting now, with major changes in social policies, economic arrangements, and political action. At the centre of this action is empowerment of the people, communities, and countries that currently do not have their fair share. The knowledge and the means to change are at hand. What is needed now is the political will to implement these eminently difficult but feasible changes. </w:t>
      </w:r>
      <w:r w:rsidRPr="00DD2D90">
        <w:rPr>
          <w:rStyle w:val="StyleUnderline"/>
          <w:highlight w:val="green"/>
        </w:rPr>
        <w:t>Not</w:t>
      </w:r>
      <w:r w:rsidRPr="00223414">
        <w:rPr>
          <w:sz w:val="16"/>
          <w:highlight w:val="green"/>
        </w:rPr>
        <w:t xml:space="preserve"> </w:t>
      </w:r>
      <w:r w:rsidRPr="00DD2D90">
        <w:rPr>
          <w:rStyle w:val="StyleUnderline"/>
          <w:highlight w:val="green"/>
        </w:rPr>
        <w:t>to act will be seen</w:t>
      </w:r>
      <w:r w:rsidRPr="00DD2D90">
        <w:rPr>
          <w:rStyle w:val="StyleUnderline"/>
        </w:rPr>
        <w:t xml:space="preserve">, in decades to come, </w:t>
      </w:r>
      <w:r w:rsidRPr="00DD2D90">
        <w:rPr>
          <w:rStyle w:val="StyleUnderline"/>
          <w:highlight w:val="green"/>
        </w:rPr>
        <w:t xml:space="preserve">as failure on a grand scale </w:t>
      </w:r>
      <w:r w:rsidRPr="00DD2D90">
        <w:rPr>
          <w:rStyle w:val="StyleUnderline"/>
        </w:rPr>
        <w:t>to accept the responsibility that rests on all our shoulders</w:t>
      </w:r>
      <w:r w:rsidRPr="00223414">
        <w:rPr>
          <w:sz w:val="16"/>
        </w:rPr>
        <w:t>.</w:t>
      </w:r>
    </w:p>
    <w:p w14:paraId="543D11BB" w14:textId="77777777" w:rsidR="00810DF8" w:rsidRPr="00223414" w:rsidRDefault="00810DF8" w:rsidP="00810DF8">
      <w:pPr>
        <w:rPr>
          <w:sz w:val="16"/>
        </w:rPr>
      </w:pPr>
    </w:p>
    <w:p w14:paraId="7EA30F74" w14:textId="77777777" w:rsidR="00FA1D49" w:rsidRPr="00223414" w:rsidRDefault="00FA1D49">
      <w:pPr>
        <w:rPr>
          <w:rFonts w:eastAsiaTheme="majorEastAsia" w:cstheme="majorBidi"/>
          <w:b/>
          <w:iCs/>
          <w:sz w:val="16"/>
        </w:rPr>
      </w:pPr>
      <w:r w:rsidRPr="00223414">
        <w:rPr>
          <w:sz w:val="16"/>
        </w:rPr>
        <w:br w:type="page"/>
      </w:r>
    </w:p>
    <w:p w14:paraId="0549FB8F" w14:textId="6B3C2D4F" w:rsidR="00C10687" w:rsidRPr="00223414" w:rsidRDefault="00914D4F" w:rsidP="00C10687">
      <w:pPr>
        <w:pStyle w:val="Heading4"/>
        <w:rPr>
          <w:szCs w:val="26"/>
        </w:rPr>
      </w:pPr>
      <w:r w:rsidRPr="00223414">
        <w:rPr>
          <w:szCs w:val="26"/>
        </w:rPr>
        <w:t>Commodification of health fails to treat humanity with dignity</w:t>
      </w:r>
    </w:p>
    <w:p w14:paraId="02445AEB" w14:textId="77777777" w:rsidR="00C10687" w:rsidRPr="00DD2D90" w:rsidRDefault="00C10687" w:rsidP="00C10687">
      <w:r w:rsidRPr="00223414">
        <w:rPr>
          <w:b/>
          <w:bCs/>
          <w:sz w:val="26"/>
          <w:szCs w:val="26"/>
        </w:rPr>
        <w:t>Batifoulier et al. 25</w:t>
      </w:r>
      <w:r w:rsidRPr="00DD2D90">
        <w:t xml:space="preserve"> [Philippe Batifoulier, researcher at Université Sorbonne Paris Nord, Eve Chiapello, researcher at the School for Advanced Studies in the Social Sciences, Nicolas Da Silva, researcher at Université Sorbonne Paris Nord, and Robert McMaster, researcher at the University of Glasgow, 08-07-2025, “Health capitalism and financialization of healthcare. Introduction,” Review of Evolutionary Political Economy, https://link.springer.com/article/10.1007/s43253-025-00157-1]/Kankee</w:t>
      </w:r>
    </w:p>
    <w:p w14:paraId="1360A52B" w14:textId="77777777" w:rsidR="00C10687" w:rsidRPr="00223414" w:rsidRDefault="00C10687" w:rsidP="00C10687">
      <w:pPr>
        <w:rPr>
          <w:sz w:val="16"/>
        </w:rPr>
      </w:pPr>
      <w:r w:rsidRPr="00223414">
        <w:rPr>
          <w:sz w:val="16"/>
        </w:rPr>
        <w:t xml:space="preserve">Mishkin (1962) and Grossman (1972) introduce human capital theory into the conceptualization of health. Grossman’s thinking, in particular, has been especially influential on the evolution of theorizing about the economics of health (for example, Bhattacharya, et al, 2014; Lindgren 2017; Zweifel 2012). Employing the standard homo economicus assumption, </w:t>
      </w:r>
      <w:r w:rsidRPr="00DD2D90">
        <w:rPr>
          <w:rStyle w:val="StyleUnderline"/>
          <w:highlight w:val="green"/>
        </w:rPr>
        <w:t>Grossman</w:t>
      </w:r>
      <w:r w:rsidRPr="00223414">
        <w:rPr>
          <w:sz w:val="16"/>
        </w:rPr>
        <w:t xml:space="preserve"> (1972) </w:t>
      </w:r>
      <w:r w:rsidRPr="00DD2D90">
        <w:rPr>
          <w:rStyle w:val="StyleUnderline"/>
          <w:highlight w:val="green"/>
        </w:rPr>
        <w:t>argues</w:t>
      </w:r>
      <w:r w:rsidRPr="00223414">
        <w:rPr>
          <w:sz w:val="16"/>
        </w:rPr>
        <w:t xml:space="preserve"> that </w:t>
      </w:r>
      <w:r w:rsidRPr="00DD2D90">
        <w:rPr>
          <w:rStyle w:val="StyleUnderline"/>
        </w:rPr>
        <w:t>health can be conceived as a capital stock in which individuals choose to invest on the basis of constrained optimization</w:t>
      </w:r>
      <w:r w:rsidRPr="00223414">
        <w:rPr>
          <w:sz w:val="16"/>
        </w:rPr>
        <w:t>. The</w:t>
      </w:r>
      <w:r w:rsidRPr="00DD2D90">
        <w:rPr>
          <w:rStyle w:val="StyleUnderline"/>
        </w:rPr>
        <w:t xml:space="preserve"> demand </w:t>
      </w:r>
      <w:r w:rsidRPr="00223414">
        <w:rPr>
          <w:sz w:val="16"/>
        </w:rPr>
        <w:t xml:space="preserve">for health thus </w:t>
      </w:r>
      <w:r w:rsidRPr="00DD2D90">
        <w:rPr>
          <w:rStyle w:val="StyleUnderline"/>
        </w:rPr>
        <w:t>demonstrates</w:t>
      </w:r>
      <w:r w:rsidRPr="00223414">
        <w:rPr>
          <w:sz w:val="16"/>
        </w:rPr>
        <w:t xml:space="preserve"> </w:t>
      </w:r>
      <w:r w:rsidRPr="00DD2D90">
        <w:rPr>
          <w:rStyle w:val="StyleUnderline"/>
        </w:rPr>
        <w:t>consumption and investment properties</w:t>
      </w:r>
      <w:r w:rsidRPr="00223414">
        <w:rPr>
          <w:sz w:val="16"/>
        </w:rPr>
        <w:t xml:space="preserve">. Grossman’s emphasis lies on the latter, and accordingly health is demanded principally for its instrumental qualities. </w:t>
      </w:r>
      <w:r w:rsidRPr="00DD2D90">
        <w:rPr>
          <w:rStyle w:val="StyleUnderline"/>
        </w:rPr>
        <w:t>As the individual ages, so their health stock depreciates and it is steadily more expensive to invest in this and simultaneously, the flow of benefits declines</w:t>
      </w:r>
      <w:r w:rsidRPr="00223414">
        <w:rPr>
          <w:sz w:val="16"/>
        </w:rPr>
        <w:t xml:space="preserve">. Notably, death becomes part of the rational decision-making process. Under Grossman’s model, </w:t>
      </w:r>
      <w:r w:rsidRPr="00DD2D90">
        <w:rPr>
          <w:rStyle w:val="StyleUnderline"/>
          <w:highlight w:val="green"/>
        </w:rPr>
        <w:t>it is</w:t>
      </w:r>
      <w:r w:rsidRPr="00DD2D90">
        <w:rPr>
          <w:rStyle w:val="StyleUnderline"/>
        </w:rPr>
        <w:t xml:space="preserve"> entirely </w:t>
      </w:r>
      <w:r w:rsidRPr="00DD2D90">
        <w:rPr>
          <w:rStyle w:val="StyleUnderline"/>
          <w:highlight w:val="green"/>
        </w:rPr>
        <w:t>appropriate for the poor to die at a younger age than the wealthy</w:t>
      </w:r>
      <w:r w:rsidRPr="00223414">
        <w:rPr>
          <w:sz w:val="16"/>
        </w:rPr>
        <w:t xml:space="preserve">. </w:t>
      </w:r>
      <w:r w:rsidRPr="00DD2D90">
        <w:rPr>
          <w:rStyle w:val="StyleUnderline"/>
          <w:highlight w:val="green"/>
        </w:rPr>
        <w:t>There is no morality</w:t>
      </w:r>
      <w:r w:rsidRPr="00DD2D90">
        <w:rPr>
          <w:rStyle w:val="StyleUnderline"/>
        </w:rPr>
        <w:t xml:space="preserve"> to this, </w:t>
      </w:r>
      <w:r w:rsidRPr="00DD2D90">
        <w:rPr>
          <w:rStyle w:val="StyleUnderline"/>
          <w:highlight w:val="green"/>
        </w:rPr>
        <w:t>it is a consequence of</w:t>
      </w:r>
      <w:r w:rsidRPr="00DD2D90">
        <w:rPr>
          <w:rStyle w:val="StyleUnderline"/>
        </w:rPr>
        <w:t xml:space="preserve"> </w:t>
      </w:r>
      <w:r w:rsidRPr="00223414">
        <w:rPr>
          <w:sz w:val="16"/>
        </w:rPr>
        <w:t xml:space="preserve">constrained optimization. By conceiving of health as a capital stock, the standard approach to </w:t>
      </w:r>
      <w:r w:rsidRPr="00DD2D90">
        <w:rPr>
          <w:rStyle w:val="StyleUnderline"/>
        </w:rPr>
        <w:t>health</w:t>
      </w:r>
      <w:r w:rsidRPr="00223414">
        <w:rPr>
          <w:sz w:val="16"/>
        </w:rPr>
        <w:t xml:space="preserve"> </w:t>
      </w:r>
      <w:r w:rsidRPr="00DD2D90">
        <w:rPr>
          <w:rStyle w:val="StyleUnderline"/>
          <w:highlight w:val="green"/>
        </w:rPr>
        <w:t>economics</w:t>
      </w:r>
      <w:r w:rsidRPr="00223414">
        <w:rPr>
          <w:sz w:val="16"/>
        </w:rPr>
        <w:t xml:space="preserve"> invokes a Cartesian dualism between mind and body. In effect, the mind assumes the site of optimization, calculating the costs and benefits of continuing investment in a depreciating health stock. The body is akin to a machine. Its value is purely instrumental in the pursuit of utility maximization (Davis and McMaster 2015; 2017). The moral equivalence between the body as a stock of health and a machine is striking in that it infers a particular value orientation. </w:t>
      </w:r>
      <w:r w:rsidRPr="00DD2D90">
        <w:rPr>
          <w:rStyle w:val="StyleUnderline"/>
        </w:rPr>
        <w:t>Grossman’s model</w:t>
      </w:r>
      <w:r w:rsidRPr="00223414">
        <w:rPr>
          <w:sz w:val="16"/>
        </w:rPr>
        <w:t xml:space="preserve">, and subsequent amendments </w:t>
      </w:r>
      <w:r w:rsidRPr="00DD2D90">
        <w:rPr>
          <w:rStyle w:val="StyleUnderline"/>
        </w:rPr>
        <w:t>adopt a</w:t>
      </w:r>
      <w:r w:rsidRPr="00223414">
        <w:rPr>
          <w:sz w:val="16"/>
        </w:rPr>
        <w:t xml:space="preserve"> markedly </w:t>
      </w:r>
      <w:r w:rsidRPr="00DD2D90">
        <w:rPr>
          <w:rStyle w:val="StyleUnderline"/>
        </w:rPr>
        <w:t>Utilitarian perspective in that the value of health resides primarily in its stream of net benefits</w:t>
      </w:r>
      <w:r w:rsidRPr="00223414">
        <w:rPr>
          <w:sz w:val="16"/>
        </w:rPr>
        <w:t xml:space="preserve">. </w:t>
      </w:r>
      <w:r w:rsidRPr="00DD2D90">
        <w:rPr>
          <w:rStyle w:val="StyleUnderline"/>
          <w:highlight w:val="green"/>
        </w:rPr>
        <w:t xml:space="preserve">The uniqueness of being human is of </w:t>
      </w:r>
      <w:r w:rsidRPr="00DD2D90">
        <w:rPr>
          <w:rStyle w:val="Emphasis"/>
          <w:highlight w:val="green"/>
        </w:rPr>
        <w:t>little relevance</w:t>
      </w:r>
      <w:r w:rsidRPr="00DD2D90">
        <w:rPr>
          <w:rStyle w:val="StyleUnderline"/>
          <w:highlight w:val="green"/>
        </w:rPr>
        <w:t xml:space="preserve"> to</w:t>
      </w:r>
      <w:r w:rsidRPr="00DD2D90">
        <w:rPr>
          <w:rStyle w:val="StyleUnderline"/>
        </w:rPr>
        <w:t xml:space="preserve"> the properties of </w:t>
      </w:r>
      <w:r w:rsidRPr="00DD2D90">
        <w:rPr>
          <w:rStyle w:val="StyleUnderline"/>
          <w:highlight w:val="green"/>
        </w:rPr>
        <w:t>the model</w:t>
      </w:r>
      <w:r w:rsidRPr="00223414">
        <w:rPr>
          <w:sz w:val="16"/>
        </w:rPr>
        <w:t xml:space="preserve">. This resonates with a Kantian critique of Utilitarianism centring on the latter’s instrumentalism. </w:t>
      </w:r>
      <w:r w:rsidRPr="00DD2D90">
        <w:rPr>
          <w:rStyle w:val="StyleUnderline"/>
          <w:highlight w:val="green"/>
        </w:rPr>
        <w:t>For Kantians, by virtue of our humanity, an individual cannot assume the role of an instrument</w:t>
      </w:r>
      <w:r w:rsidRPr="00DD2D90">
        <w:rPr>
          <w:rStyle w:val="StyleUnderline"/>
        </w:rPr>
        <w:t>.</w:t>
      </w:r>
      <w:r w:rsidRPr="00223414">
        <w:rPr>
          <w:sz w:val="16"/>
        </w:rPr>
        <w:t xml:space="preserve"> </w:t>
      </w:r>
      <w:r w:rsidRPr="00DD2D90">
        <w:rPr>
          <w:rStyle w:val="StyleUnderline"/>
        </w:rPr>
        <w:t>To do so would deny the person respect and dignity</w:t>
      </w:r>
      <w:r w:rsidRPr="00223414">
        <w:rPr>
          <w:sz w:val="16"/>
        </w:rPr>
        <w:t xml:space="preserve"> (Davis and McMaster 2017) </w:t>
      </w:r>
      <w:r w:rsidRPr="00DD2D90">
        <w:rPr>
          <w:rStyle w:val="StyleUnderline"/>
        </w:rPr>
        <w:t>Health economics’ ‘pillars’ not only implies a restrictive account of care; it also suggests health and care are commodities</w:t>
      </w:r>
      <w:r w:rsidRPr="00223414">
        <w:rPr>
          <w:sz w:val="16"/>
        </w:rPr>
        <w:t xml:space="preserve">. In health economics, utility can supplant both money and profit, but evaluation techniques frequently involve monetization, as in the valuation of human life (Hildred and Beauvais 1995, Hildred and Watkins 1996). The analytical approach is at least similar. Two examples demonstrate. First, Grossman’s conception of health as capital is not readily, or directly tradable on a market, as Arrow (1963) argues, yet decisions to “invest” in one’s health stock are guided in the same way as other forms of capital. Trade-offs and tradability are part of the optimizing process over time. Second, </w:t>
      </w:r>
      <w:r w:rsidRPr="00DD2D90">
        <w:rPr>
          <w:rStyle w:val="StyleUnderline"/>
          <w:highlight w:val="green"/>
        </w:rPr>
        <w:t>conceiving care as an externality reduces it to an expression of</w:t>
      </w:r>
      <w:r w:rsidRPr="00DD2D90">
        <w:rPr>
          <w:rStyle w:val="StyleUnderline"/>
        </w:rPr>
        <w:t xml:space="preserve"> </w:t>
      </w:r>
      <w:r w:rsidRPr="00223414">
        <w:rPr>
          <w:sz w:val="16"/>
        </w:rPr>
        <w:t>preference</w:t>
      </w:r>
      <w:r w:rsidRPr="00DD2D90">
        <w:rPr>
          <w:rStyle w:val="StyleUnderline"/>
        </w:rPr>
        <w:t xml:space="preserve"> </w:t>
      </w:r>
      <w:r w:rsidRPr="00223414">
        <w:rPr>
          <w:sz w:val="16"/>
        </w:rPr>
        <w:t xml:space="preserve">by a utility maximiser. This reduces care to the moral equivalence of choosing between the consumption of a good and acts of caring (Ballet et al 2018). </w:t>
      </w:r>
      <w:r w:rsidRPr="00DD2D90">
        <w:rPr>
          <w:rStyle w:val="StyleUnderline"/>
          <w:highlight w:val="green"/>
        </w:rPr>
        <w:t>Choice</w:t>
      </w:r>
      <w:r w:rsidRPr="00223414">
        <w:rPr>
          <w:sz w:val="16"/>
        </w:rPr>
        <w:t xml:space="preserve"> is solely determined by expected utility. </w:t>
      </w:r>
      <w:r w:rsidRPr="00DD2D90">
        <w:rPr>
          <w:rStyle w:val="StyleUnderline"/>
          <w:highlight w:val="green"/>
        </w:rPr>
        <w:t>Considerations of duty and dignity, at best are secondary concerns</w:t>
      </w:r>
      <w:r w:rsidRPr="00223414">
        <w:rPr>
          <w:sz w:val="16"/>
        </w:rPr>
        <w:t xml:space="preserve">. The underlying philosophical basis of standard </w:t>
      </w:r>
      <w:r w:rsidRPr="00DD2D90">
        <w:rPr>
          <w:rStyle w:val="StyleUnderline"/>
          <w:highlight w:val="green"/>
        </w:rPr>
        <w:t>health economics lends an instrumentalism</w:t>
      </w:r>
      <w:r w:rsidRPr="00DD2D90">
        <w:rPr>
          <w:rStyle w:val="StyleUnderline"/>
        </w:rPr>
        <w:t xml:space="preserve"> and consequentialist orientation, </w:t>
      </w:r>
      <w:r w:rsidRPr="00DD2D90">
        <w:rPr>
          <w:rStyle w:val="StyleUnderline"/>
          <w:highlight w:val="green"/>
        </w:rPr>
        <w:t>which</w:t>
      </w:r>
      <w:r w:rsidRPr="00DD2D90">
        <w:rPr>
          <w:rStyle w:val="StyleUnderline"/>
        </w:rPr>
        <w:t xml:space="preserve"> renders a restrictive conception of care and caring, and </w:t>
      </w:r>
      <w:r w:rsidRPr="00DD2D90">
        <w:rPr>
          <w:rStyle w:val="StyleUnderline"/>
          <w:highlight w:val="green"/>
        </w:rPr>
        <w:t>reduces health</w:t>
      </w:r>
      <w:r w:rsidRPr="00DD2D90">
        <w:rPr>
          <w:rStyle w:val="StyleUnderline"/>
        </w:rPr>
        <w:t xml:space="preserve"> and healthcare </w:t>
      </w:r>
      <w:r w:rsidRPr="00DD2D90">
        <w:rPr>
          <w:rStyle w:val="StyleUnderline"/>
          <w:highlight w:val="green"/>
        </w:rPr>
        <w:t>to commodities</w:t>
      </w:r>
      <w:r w:rsidRPr="00223414">
        <w:rPr>
          <w:sz w:val="16"/>
        </w:rPr>
        <w:t xml:space="preserve">. On these bases, then </w:t>
      </w:r>
      <w:r w:rsidRPr="00DD2D90">
        <w:rPr>
          <w:rStyle w:val="StyleUnderline"/>
        </w:rPr>
        <w:t xml:space="preserve">the provision of medical care is essentially a market transaction </w:t>
      </w:r>
      <w:r w:rsidRPr="00223414">
        <w:rPr>
          <w:sz w:val="16"/>
        </w:rPr>
        <w:t>between parties that may be subject to varying constraints and informational asymmetries. Indeed, this is the framing effect of Arrow’s (1963) seminal analysis. Under the auspices of standard health economics, “</w:t>
      </w:r>
      <w:r w:rsidRPr="00DD2D90">
        <w:rPr>
          <w:rStyle w:val="StyleUnderline"/>
          <w:highlight w:val="green"/>
        </w:rPr>
        <w:t>health capitalism</w:t>
      </w:r>
      <w:r w:rsidRPr="00223414">
        <w:rPr>
          <w:sz w:val="16"/>
        </w:rPr>
        <w:t xml:space="preserve">” is the default institutional configuration that </w:t>
      </w:r>
      <w:r w:rsidRPr="00DD2D90">
        <w:rPr>
          <w:rStyle w:val="StyleUnderline"/>
          <w:highlight w:val="green"/>
        </w:rPr>
        <w:t>masquerades as a value-free “toolkit</w:t>
      </w:r>
      <w:r w:rsidRPr="00223414">
        <w:rPr>
          <w:sz w:val="16"/>
        </w:rPr>
        <w:t xml:space="preserve">”. 6. The Papers in This Special Issue </w:t>
      </w:r>
    </w:p>
    <w:p w14:paraId="79985967" w14:textId="77777777" w:rsidR="00FA1D49" w:rsidRPr="00223414" w:rsidRDefault="00FA1D49">
      <w:pPr>
        <w:rPr>
          <w:rFonts w:eastAsiaTheme="majorEastAsia" w:cstheme="majorBidi"/>
          <w:b/>
          <w:iCs/>
          <w:sz w:val="16"/>
        </w:rPr>
      </w:pPr>
      <w:r w:rsidRPr="00223414">
        <w:rPr>
          <w:sz w:val="16"/>
        </w:rPr>
        <w:br w:type="page"/>
      </w:r>
    </w:p>
    <w:p w14:paraId="570DDF62" w14:textId="5094DABD" w:rsidR="007318E9" w:rsidRPr="00223414" w:rsidRDefault="001E67CD" w:rsidP="007318E9">
      <w:pPr>
        <w:pStyle w:val="Heading4"/>
        <w:rPr>
          <w:szCs w:val="26"/>
        </w:rPr>
      </w:pPr>
      <w:r w:rsidRPr="00223414">
        <w:rPr>
          <w:szCs w:val="26"/>
        </w:rPr>
        <w:t>The US is in violation of international h</w:t>
      </w:r>
      <w:r w:rsidR="007318E9" w:rsidRPr="00223414">
        <w:rPr>
          <w:szCs w:val="26"/>
        </w:rPr>
        <w:t>uman rights</w:t>
      </w:r>
      <w:r w:rsidRPr="00223414">
        <w:rPr>
          <w:szCs w:val="26"/>
        </w:rPr>
        <w:t xml:space="preserve"> law by not implementing the right to health</w:t>
      </w:r>
    </w:p>
    <w:p w14:paraId="2EF10836" w14:textId="5FF2280B" w:rsidR="007318E9" w:rsidRPr="00DD2D90" w:rsidRDefault="00725F14" w:rsidP="007318E9">
      <w:r w:rsidRPr="00223414">
        <w:rPr>
          <w:b/>
          <w:bCs/>
          <w:sz w:val="26"/>
          <w:szCs w:val="26"/>
        </w:rPr>
        <w:t>Ryan 24</w:t>
      </w:r>
      <w:r w:rsidRPr="00DD2D90">
        <w:t xml:space="preserve"> [</w:t>
      </w:r>
      <w:r w:rsidR="007318E9" w:rsidRPr="00DD2D90">
        <w:t>Taiylor Ryan,</w:t>
      </w:r>
      <w:r w:rsidRPr="00DD2D90">
        <w:t xml:space="preserve"> graduate from the University of Cincinnati College of Law,</w:t>
      </w:r>
      <w:r w:rsidR="007318E9" w:rsidRPr="00DD2D90">
        <w:t xml:space="preserve"> 3-3-2024, "United States Denies the Human Right to Health Care", Immigration and Human Rights Law Review | The Blog, https://lawblogs.uc.edu/ihrlr/2024/03/03/united-states-denies-the-human-right-to-health-care/</w:t>
      </w:r>
      <w:r w:rsidR="0042011A" w:rsidRPr="00DD2D90">
        <w:t>]/Kankee</w:t>
      </w:r>
    </w:p>
    <w:p w14:paraId="36172D34" w14:textId="6926F9C5" w:rsidR="007318E9" w:rsidRPr="00223414" w:rsidRDefault="007318E9" w:rsidP="007318E9">
      <w:pPr>
        <w:rPr>
          <w:sz w:val="16"/>
        </w:rPr>
      </w:pPr>
      <w:r w:rsidRPr="00223414">
        <w:rPr>
          <w:sz w:val="16"/>
        </w:rPr>
        <w:t>Introduction</w:t>
      </w:r>
      <w:r w:rsidR="004B1A5B" w:rsidRPr="00223414">
        <w:rPr>
          <w:sz w:val="16"/>
        </w:rPr>
        <w:t xml:space="preserve"> </w:t>
      </w:r>
      <w:r w:rsidRPr="00DD2D90">
        <w:rPr>
          <w:rStyle w:val="StyleUnderline"/>
          <w:highlight w:val="green"/>
        </w:rPr>
        <w:t>Healthcare is a human right</w:t>
      </w:r>
      <w:r w:rsidRPr="00223414">
        <w:rPr>
          <w:sz w:val="16"/>
        </w:rPr>
        <w:t xml:space="preserve">.[1] </w:t>
      </w:r>
      <w:r w:rsidRPr="00DD2D90">
        <w:rPr>
          <w:rStyle w:val="StyleUnderline"/>
          <w:highlight w:val="green"/>
        </w:rPr>
        <w:t xml:space="preserve">Multiple covenants, declarations, and countries </w:t>
      </w:r>
      <w:r w:rsidRPr="00DD2D90">
        <w:rPr>
          <w:rStyle w:val="StyleUnderline"/>
        </w:rPr>
        <w:t xml:space="preserve">have </w:t>
      </w:r>
      <w:r w:rsidRPr="00DD2D90">
        <w:rPr>
          <w:rStyle w:val="StyleUnderline"/>
          <w:highlight w:val="green"/>
        </w:rPr>
        <w:t>recognized this right</w:t>
      </w:r>
      <w:r w:rsidRPr="00DD2D90">
        <w:rPr>
          <w:rStyle w:val="StyleUnderline"/>
        </w:rPr>
        <w:t xml:space="preserve"> and taken action to ensure it is protected</w:t>
      </w:r>
      <w:r w:rsidRPr="00223414">
        <w:rPr>
          <w:sz w:val="16"/>
        </w:rPr>
        <w:t xml:space="preserve">.[2] However, </w:t>
      </w:r>
      <w:r w:rsidRPr="00DD2D90">
        <w:rPr>
          <w:rStyle w:val="StyleUnderline"/>
          <w:highlight w:val="green"/>
        </w:rPr>
        <w:t>the</w:t>
      </w:r>
      <w:r w:rsidRPr="00DD2D90">
        <w:rPr>
          <w:rStyle w:val="StyleUnderline"/>
        </w:rPr>
        <w:t xml:space="preserve"> </w:t>
      </w:r>
      <w:r w:rsidRPr="00DD2D90">
        <w:rPr>
          <w:rStyle w:val="StyleUnderline"/>
          <w:highlight w:val="green"/>
        </w:rPr>
        <w:t>U</w:t>
      </w:r>
      <w:r w:rsidRPr="00DD2D90">
        <w:rPr>
          <w:rStyle w:val="StyleUnderline"/>
        </w:rPr>
        <w:t xml:space="preserve">nited </w:t>
      </w:r>
      <w:r w:rsidRPr="00DD2D90">
        <w:rPr>
          <w:rStyle w:val="StyleUnderline"/>
          <w:highlight w:val="green"/>
        </w:rPr>
        <w:t>S</w:t>
      </w:r>
      <w:r w:rsidRPr="00DD2D90">
        <w:rPr>
          <w:rStyle w:val="StyleUnderline"/>
        </w:rPr>
        <w:t xml:space="preserve">tates </w:t>
      </w:r>
      <w:r w:rsidRPr="00DD2D90">
        <w:rPr>
          <w:rStyle w:val="StyleUnderline"/>
          <w:highlight w:val="green"/>
        </w:rPr>
        <w:t>fails</w:t>
      </w:r>
      <w:r w:rsidRPr="00DD2D90">
        <w:rPr>
          <w:rStyle w:val="StyleUnderline"/>
        </w:rPr>
        <w:t xml:space="preserve"> to recognize healthcare as a human right</w:t>
      </w:r>
      <w:r w:rsidRPr="00223414">
        <w:rPr>
          <w:sz w:val="16"/>
        </w:rPr>
        <w:t>.[3] While a majority of other industrialized countries have a version of universal healthcare, the United States continues to use a system that many Americans find unaffordable.[4] There are several factors influencing the divide between the United States and other countries when it comes to recognizing universal healthcare.[5] While the United States has increased coverage for Americans, there has not been any action towards universal healthcare.[6] However, as healthcare prices continue to increase, consideration of next steps toward a universal healthcare system should occur.</w:t>
      </w:r>
      <w:r w:rsidR="004B1A5B" w:rsidRPr="00223414">
        <w:rPr>
          <w:sz w:val="16"/>
        </w:rPr>
        <w:t xml:space="preserve"> </w:t>
      </w:r>
      <w:r w:rsidRPr="00223414">
        <w:rPr>
          <w:sz w:val="16"/>
        </w:rPr>
        <w:t>This article will first discuss how healthcare is a human right, looking toward treaties and international law. Next, the article will analyze how internationally, countries have developed a system to ensure the right to healthcare. Following that discussion, the article will discuss the United States’ view of healthcare, looking at historical influences on this stance, past acts regarding healthcare such as Medicare, Medicaid, and the Affordable Care Act, and future steps towards establishing healthcare as a human right in the United States.</w:t>
      </w:r>
      <w:r w:rsidR="004B1A5B" w:rsidRPr="00223414">
        <w:rPr>
          <w:sz w:val="16"/>
        </w:rPr>
        <w:t xml:space="preserve"> </w:t>
      </w:r>
      <w:r w:rsidRPr="00223414">
        <w:rPr>
          <w:sz w:val="16"/>
        </w:rPr>
        <w:t>I. Health Care is a Human Right</w:t>
      </w:r>
      <w:r w:rsidR="004B1A5B" w:rsidRPr="00223414">
        <w:rPr>
          <w:sz w:val="16"/>
        </w:rPr>
        <w:t xml:space="preserve"> </w:t>
      </w:r>
      <w:r w:rsidRPr="00DD2D90">
        <w:rPr>
          <w:rStyle w:val="StyleUnderline"/>
        </w:rPr>
        <w:t xml:space="preserve">Article 25 of </w:t>
      </w:r>
      <w:r w:rsidRPr="00DD2D90">
        <w:rPr>
          <w:rStyle w:val="StyleUnderline"/>
          <w:highlight w:val="green"/>
        </w:rPr>
        <w:t>the</w:t>
      </w:r>
      <w:r w:rsidRPr="00DD2D90">
        <w:rPr>
          <w:rStyle w:val="StyleUnderline"/>
        </w:rPr>
        <w:t xml:space="preserve"> </w:t>
      </w:r>
      <w:r w:rsidRPr="00DD2D90">
        <w:rPr>
          <w:rStyle w:val="StyleUnderline"/>
          <w:highlight w:val="green"/>
        </w:rPr>
        <w:t>U</w:t>
      </w:r>
      <w:r w:rsidRPr="00DD2D90">
        <w:rPr>
          <w:rStyle w:val="StyleUnderline"/>
        </w:rPr>
        <w:t xml:space="preserve">niversal </w:t>
      </w:r>
      <w:r w:rsidRPr="00DD2D90">
        <w:rPr>
          <w:rStyle w:val="StyleUnderline"/>
          <w:highlight w:val="green"/>
        </w:rPr>
        <w:t>D</w:t>
      </w:r>
      <w:r w:rsidRPr="00DD2D90">
        <w:rPr>
          <w:rStyle w:val="StyleUnderline"/>
        </w:rPr>
        <w:t xml:space="preserve">eclaration of </w:t>
      </w:r>
      <w:r w:rsidRPr="00DD2D90">
        <w:rPr>
          <w:rStyle w:val="StyleUnderline"/>
          <w:highlight w:val="green"/>
        </w:rPr>
        <w:t>H</w:t>
      </w:r>
      <w:r w:rsidRPr="00DD2D90">
        <w:rPr>
          <w:rStyle w:val="StyleUnderline"/>
        </w:rPr>
        <w:t>uman</w:t>
      </w:r>
      <w:r w:rsidRPr="00223414">
        <w:rPr>
          <w:sz w:val="16"/>
        </w:rPr>
        <w:t xml:space="preserve"> </w:t>
      </w:r>
      <w:r w:rsidRPr="00DD2D90">
        <w:rPr>
          <w:rStyle w:val="StyleUnderline"/>
          <w:highlight w:val="green"/>
        </w:rPr>
        <w:t>R</w:t>
      </w:r>
      <w:r w:rsidRPr="00DD2D90">
        <w:rPr>
          <w:rStyle w:val="StyleUnderline"/>
        </w:rPr>
        <w:t xml:space="preserve">ights </w:t>
      </w:r>
      <w:r w:rsidRPr="00DD2D90">
        <w:rPr>
          <w:rStyle w:val="StyleUnderline"/>
          <w:highlight w:val="green"/>
        </w:rPr>
        <w:t>provides a right to</w:t>
      </w:r>
      <w:r w:rsidRPr="00DD2D90">
        <w:rPr>
          <w:rStyle w:val="StyleUnderline"/>
        </w:rPr>
        <w:t xml:space="preserve"> “a standard of living adequate for the health and wellbeing” of oneself which also includes the right to </w:t>
      </w:r>
      <w:r w:rsidRPr="00DD2D90">
        <w:rPr>
          <w:rStyle w:val="StyleUnderline"/>
          <w:highlight w:val="green"/>
        </w:rPr>
        <w:t>medical care</w:t>
      </w:r>
      <w:r w:rsidRPr="00223414">
        <w:rPr>
          <w:sz w:val="16"/>
        </w:rPr>
        <w:t xml:space="preserve">.[7] The right to health has different factors included, such as water, food, education, and equality.[8] Additionally, healthcare must be provided to everyone without discrimination.[9] Healthcare services must be available, with numerous facilities across the country, accessible (in terms of being available to everyone), acceptable facilities, and there must be quality services that are “scientifically and medically appropriate.”[10] It is important to note that this right does not mean all individuals must be in good health or that everyone’s health should be the same, but rather the factors and conditions necessary to ensure health should be equally available.[11] Additionally, </w:t>
      </w:r>
      <w:r w:rsidRPr="00DD2D90">
        <w:rPr>
          <w:rStyle w:val="StyleUnderline"/>
          <w:highlight w:val="green"/>
        </w:rPr>
        <w:t>this right is not</w:t>
      </w:r>
      <w:r w:rsidRPr="00DD2D90">
        <w:rPr>
          <w:rStyle w:val="StyleUnderline"/>
        </w:rPr>
        <w:t xml:space="preserve"> something</w:t>
      </w:r>
      <w:r w:rsidRPr="00223414">
        <w:rPr>
          <w:sz w:val="16"/>
        </w:rPr>
        <w:t xml:space="preserve"> that </w:t>
      </w:r>
      <w:r w:rsidRPr="00DD2D90">
        <w:rPr>
          <w:rStyle w:val="StyleUnderline"/>
        </w:rPr>
        <w:t xml:space="preserve">states should </w:t>
      </w:r>
      <w:r w:rsidRPr="00DD2D90">
        <w:rPr>
          <w:rStyle w:val="StyleUnderline"/>
          <w:highlight w:val="green"/>
        </w:rPr>
        <w:t>hope</w:t>
      </w:r>
      <w:r w:rsidRPr="00DD2D90">
        <w:rPr>
          <w:rStyle w:val="StyleUnderline"/>
        </w:rPr>
        <w:t xml:space="preserve"> to achieve</w:t>
      </w:r>
      <w:r w:rsidRPr="00223414">
        <w:rPr>
          <w:sz w:val="16"/>
        </w:rPr>
        <w:t xml:space="preserve"> as a </w:t>
      </w:r>
      <w:r w:rsidRPr="00DD2D90">
        <w:rPr>
          <w:rStyle w:val="StyleUnderline"/>
        </w:rPr>
        <w:t>long term</w:t>
      </w:r>
      <w:r w:rsidRPr="00223414">
        <w:rPr>
          <w:sz w:val="16"/>
        </w:rPr>
        <w:t xml:space="preserve"> goal, </w:t>
      </w:r>
      <w:r w:rsidRPr="00DD2D90">
        <w:rPr>
          <w:rStyle w:val="StyleUnderline"/>
        </w:rPr>
        <w:t xml:space="preserve">but </w:t>
      </w:r>
      <w:r w:rsidRPr="00DD2D90">
        <w:rPr>
          <w:rStyle w:val="StyleUnderline"/>
          <w:highlight w:val="green"/>
        </w:rPr>
        <w:t>a right</w:t>
      </w:r>
      <w:r w:rsidRPr="00DD2D90">
        <w:rPr>
          <w:rStyle w:val="StyleUnderline"/>
        </w:rPr>
        <w:t xml:space="preserve"> that </w:t>
      </w:r>
      <w:r w:rsidRPr="00DD2D90">
        <w:rPr>
          <w:rStyle w:val="StyleUnderline"/>
          <w:highlight w:val="green"/>
        </w:rPr>
        <w:t>requires immediate efforts to</w:t>
      </w:r>
      <w:r w:rsidRPr="00DD2D90">
        <w:rPr>
          <w:rStyle w:val="StyleUnderline"/>
        </w:rPr>
        <w:t xml:space="preserve"> “</w:t>
      </w:r>
      <w:r w:rsidRPr="00DD2D90">
        <w:rPr>
          <w:rStyle w:val="StyleUnderline"/>
          <w:highlight w:val="green"/>
        </w:rPr>
        <w:t>guarantee the right</w:t>
      </w:r>
      <w:r w:rsidRPr="00DD2D90">
        <w:rPr>
          <w:rStyle w:val="StyleUnderline"/>
        </w:rPr>
        <w:t xml:space="preserve"> to health.</w:t>
      </w:r>
      <w:r w:rsidRPr="00223414">
        <w:rPr>
          <w:sz w:val="16"/>
        </w:rPr>
        <w:t xml:space="preserve">”[12] While some states may argue that they are unable to </w:t>
      </w:r>
      <w:r w:rsidRPr="00DD2D90">
        <w:rPr>
          <w:rStyle w:val="StyleUnderline"/>
          <w:highlight w:val="green"/>
        </w:rPr>
        <w:t>financially</w:t>
      </w:r>
      <w:r w:rsidRPr="00223414">
        <w:rPr>
          <w:sz w:val="16"/>
        </w:rPr>
        <w:t xml:space="preserve"> afford a right to health, this </w:t>
      </w:r>
      <w:r w:rsidRPr="00DD2D90">
        <w:rPr>
          <w:rStyle w:val="StyleUnderline"/>
          <w:highlight w:val="green"/>
        </w:rPr>
        <w:t>justification fails to relieve a state from their obligations</w:t>
      </w:r>
      <w:r w:rsidRPr="00DD2D90">
        <w:rPr>
          <w:rStyle w:val="StyleUnderline"/>
        </w:rPr>
        <w:t xml:space="preserve"> to secure the right to health</w:t>
      </w:r>
      <w:r w:rsidRPr="00223414">
        <w:rPr>
          <w:sz w:val="16"/>
        </w:rPr>
        <w:t>.[13]</w:t>
      </w:r>
      <w:r w:rsidR="004B1A5B" w:rsidRPr="00223414">
        <w:rPr>
          <w:sz w:val="16"/>
        </w:rPr>
        <w:t xml:space="preserve"> </w:t>
      </w:r>
      <w:r w:rsidRPr="00223414">
        <w:rPr>
          <w:sz w:val="16"/>
        </w:rPr>
        <w:t xml:space="preserve">Additionally, </w:t>
      </w:r>
      <w:r w:rsidRPr="00DD2D90">
        <w:rPr>
          <w:rStyle w:val="StyleUnderline"/>
          <w:highlight w:val="green"/>
        </w:rPr>
        <w:t>the</w:t>
      </w:r>
      <w:r w:rsidRPr="00DD2D90">
        <w:rPr>
          <w:rStyle w:val="StyleUnderline"/>
        </w:rPr>
        <w:t xml:space="preserve"> </w:t>
      </w:r>
      <w:r w:rsidRPr="00DD2D90">
        <w:rPr>
          <w:rStyle w:val="StyleUnderline"/>
          <w:highlight w:val="green"/>
        </w:rPr>
        <w:t>I</w:t>
      </w:r>
      <w:r w:rsidRPr="00DD2D90">
        <w:rPr>
          <w:rStyle w:val="StyleUnderline"/>
        </w:rPr>
        <w:t xml:space="preserve">nternational </w:t>
      </w:r>
      <w:r w:rsidRPr="00DD2D90">
        <w:rPr>
          <w:rStyle w:val="StyleUnderline"/>
          <w:highlight w:val="green"/>
        </w:rPr>
        <w:t>C</w:t>
      </w:r>
      <w:r w:rsidRPr="00DD2D90">
        <w:rPr>
          <w:rStyle w:val="StyleUnderline"/>
        </w:rPr>
        <w:t xml:space="preserve">ovenant on </w:t>
      </w:r>
      <w:r w:rsidRPr="00DD2D90">
        <w:rPr>
          <w:rStyle w:val="StyleUnderline"/>
          <w:highlight w:val="green"/>
        </w:rPr>
        <w:t>E</w:t>
      </w:r>
      <w:r w:rsidRPr="00DD2D90">
        <w:rPr>
          <w:rStyle w:val="StyleUnderline"/>
        </w:rPr>
        <w:t xml:space="preserve">conomic, </w:t>
      </w:r>
      <w:r w:rsidRPr="00DD2D90">
        <w:rPr>
          <w:rStyle w:val="StyleUnderline"/>
          <w:highlight w:val="green"/>
        </w:rPr>
        <w:t>S</w:t>
      </w:r>
      <w:r w:rsidRPr="00DD2D90">
        <w:rPr>
          <w:rStyle w:val="StyleUnderline"/>
        </w:rPr>
        <w:t xml:space="preserve">ocial and </w:t>
      </w:r>
      <w:r w:rsidRPr="00DD2D90">
        <w:rPr>
          <w:rStyle w:val="StyleUnderline"/>
          <w:highlight w:val="green"/>
        </w:rPr>
        <w:t>C</w:t>
      </w:r>
      <w:r w:rsidRPr="00DD2D90">
        <w:rPr>
          <w:rStyle w:val="StyleUnderline"/>
        </w:rPr>
        <w:t xml:space="preserve">ultural </w:t>
      </w:r>
      <w:r w:rsidRPr="00DD2D90">
        <w:rPr>
          <w:rStyle w:val="StyleUnderline"/>
          <w:highlight w:val="green"/>
        </w:rPr>
        <w:t>R</w:t>
      </w:r>
      <w:r w:rsidRPr="00DD2D90">
        <w:rPr>
          <w:rStyle w:val="StyleUnderline"/>
        </w:rPr>
        <w:t>ights</w:t>
      </w:r>
      <w:r w:rsidRPr="00223414">
        <w:rPr>
          <w:sz w:val="16"/>
        </w:rPr>
        <w:t xml:space="preserve">, adopted in December of 1966, </w:t>
      </w:r>
      <w:r w:rsidRPr="00DD2D90">
        <w:rPr>
          <w:rStyle w:val="StyleUnderline"/>
          <w:highlight w:val="green"/>
        </w:rPr>
        <w:t>found</w:t>
      </w:r>
      <w:r w:rsidRPr="00223414">
        <w:rPr>
          <w:sz w:val="16"/>
        </w:rPr>
        <w:t xml:space="preserve"> that </w:t>
      </w:r>
      <w:r w:rsidRPr="00DD2D90">
        <w:rPr>
          <w:rStyle w:val="StyleUnderline"/>
        </w:rPr>
        <w:t xml:space="preserve">there was </w:t>
      </w:r>
      <w:r w:rsidRPr="00DD2D90">
        <w:rPr>
          <w:rStyle w:val="StyleUnderline"/>
          <w:highlight w:val="green"/>
        </w:rPr>
        <w:t>a right to</w:t>
      </w:r>
      <w:r w:rsidRPr="00DD2D90">
        <w:rPr>
          <w:rStyle w:val="StyleUnderline"/>
        </w:rPr>
        <w:t xml:space="preserve"> the “highest attainable standard of</w:t>
      </w:r>
      <w:r w:rsidRPr="00223414">
        <w:rPr>
          <w:sz w:val="16"/>
        </w:rPr>
        <w:t xml:space="preserve"> physical and mental </w:t>
      </w:r>
      <w:r w:rsidRPr="00DD2D90">
        <w:rPr>
          <w:rStyle w:val="StyleUnderline"/>
        </w:rPr>
        <w:t>health</w:t>
      </w:r>
      <w:r w:rsidRPr="00223414">
        <w:rPr>
          <w:sz w:val="16"/>
        </w:rPr>
        <w:t xml:space="preserve">.”[14] The Covenant lists steps that </w:t>
      </w:r>
      <w:r w:rsidRPr="00DD2D90">
        <w:rPr>
          <w:rStyle w:val="StyleUnderline"/>
        </w:rPr>
        <w:t>states</w:t>
      </w:r>
      <w:r w:rsidRPr="00223414">
        <w:rPr>
          <w:sz w:val="16"/>
        </w:rPr>
        <w:t xml:space="preserve"> who are party to the covenant </w:t>
      </w:r>
      <w:r w:rsidRPr="00DD2D90">
        <w:rPr>
          <w:rStyle w:val="StyleUnderline"/>
        </w:rPr>
        <w:t>must take to ensure the right to</w:t>
      </w:r>
      <w:r w:rsidRPr="00223414">
        <w:rPr>
          <w:sz w:val="16"/>
        </w:rPr>
        <w:t xml:space="preserve"> </w:t>
      </w:r>
      <w:r w:rsidRPr="00DD2D90">
        <w:rPr>
          <w:rStyle w:val="StyleUnderline"/>
          <w:highlight w:val="green"/>
        </w:rPr>
        <w:t>healthcare</w:t>
      </w:r>
      <w:r w:rsidRPr="00223414">
        <w:rPr>
          <w:sz w:val="16"/>
        </w:rPr>
        <w:t>.[15] These steps are:</w:t>
      </w:r>
      <w:r w:rsidR="004B1A5B" w:rsidRPr="00223414">
        <w:rPr>
          <w:sz w:val="16"/>
        </w:rPr>
        <w:t xml:space="preserve"> </w:t>
      </w:r>
      <w:r w:rsidRPr="00223414">
        <w:rPr>
          <w:sz w:val="16"/>
        </w:rPr>
        <w:t>“(a) The provision for the reduction of the stillbirth-rate and of infant mortality and for the healthy development of the child;</w:t>
      </w:r>
      <w:r w:rsidR="004B1A5B" w:rsidRPr="00223414">
        <w:rPr>
          <w:sz w:val="16"/>
        </w:rPr>
        <w:t xml:space="preserve"> </w:t>
      </w:r>
      <w:r w:rsidRPr="00223414">
        <w:rPr>
          <w:sz w:val="16"/>
        </w:rPr>
        <w:t>(b) The improvement of all aspects of environmental and industrial hygiene;</w:t>
      </w:r>
      <w:r w:rsidR="004B1A5B" w:rsidRPr="00223414">
        <w:rPr>
          <w:sz w:val="16"/>
        </w:rPr>
        <w:t xml:space="preserve"> </w:t>
      </w:r>
      <w:r w:rsidRPr="00223414">
        <w:rPr>
          <w:sz w:val="16"/>
        </w:rPr>
        <w:t>(c) The prevention, treatment and control of epidemic, endemic, occupational and other disease</w:t>
      </w:r>
      <w:r w:rsidR="004B1A5B" w:rsidRPr="00223414">
        <w:rPr>
          <w:sz w:val="16"/>
        </w:rPr>
        <w:t xml:space="preserve"> </w:t>
      </w:r>
      <w:r w:rsidRPr="00223414">
        <w:rPr>
          <w:sz w:val="16"/>
        </w:rPr>
        <w:t>(d) The creation of conditions which would assure to all medical service and medical attention in the event of sickness.”[16]</w:t>
      </w:r>
      <w:r w:rsidR="004B1A5B" w:rsidRPr="00223414">
        <w:rPr>
          <w:sz w:val="16"/>
        </w:rPr>
        <w:t xml:space="preserve"> </w:t>
      </w:r>
      <w:r w:rsidRPr="00DD2D90">
        <w:rPr>
          <w:rStyle w:val="StyleUnderline"/>
        </w:rPr>
        <w:t>The United States signed this covenant</w:t>
      </w:r>
      <w:r w:rsidRPr="00223414">
        <w:rPr>
          <w:sz w:val="16"/>
        </w:rPr>
        <w:t xml:space="preserve"> on October 5, 1977.[17] While many other industrialized countries such as China, France, United Kingdom, Germany, Italy, and others signed the covenant as well, they later ratified it.[18] The United States has still failed to ratify this covenant despite previously signing it, separating the country from other prominent powers.[19]</w:t>
      </w:r>
      <w:r w:rsidR="004B1A5B" w:rsidRPr="00223414">
        <w:rPr>
          <w:sz w:val="16"/>
        </w:rPr>
        <w:t xml:space="preserve"> </w:t>
      </w:r>
      <w:r w:rsidRPr="00223414">
        <w:rPr>
          <w:sz w:val="16"/>
        </w:rPr>
        <w:t>II. International Stance on Healthcare as a Right</w:t>
      </w:r>
      <w:r w:rsidR="004B1A5B" w:rsidRPr="00223414">
        <w:rPr>
          <w:sz w:val="16"/>
        </w:rPr>
        <w:t xml:space="preserve"> </w:t>
      </w:r>
      <w:r w:rsidRPr="00DD2D90">
        <w:rPr>
          <w:rStyle w:val="StyleUnderline"/>
        </w:rPr>
        <w:t>The majority of industrialized countries</w:t>
      </w:r>
      <w:r w:rsidRPr="00223414">
        <w:rPr>
          <w:sz w:val="16"/>
        </w:rPr>
        <w:t xml:space="preserve"> in Europe </w:t>
      </w:r>
      <w:r w:rsidRPr="00DD2D90">
        <w:rPr>
          <w:rStyle w:val="StyleUnderline"/>
        </w:rPr>
        <w:t>provide</w:t>
      </w:r>
      <w:r w:rsidRPr="00223414">
        <w:rPr>
          <w:sz w:val="16"/>
        </w:rPr>
        <w:t xml:space="preserve"> some version of </w:t>
      </w:r>
      <w:r w:rsidRPr="00DD2D90">
        <w:rPr>
          <w:rStyle w:val="StyleUnderline"/>
        </w:rPr>
        <w:t>universal healthcare</w:t>
      </w:r>
      <w:r w:rsidRPr="00223414">
        <w:rPr>
          <w:sz w:val="16"/>
        </w:rPr>
        <w:t xml:space="preserve"> to their citizens. [20] The World Health Organization defines universal healthcare as ensuring “that all people have access to the full range of quality health services they need, when and where they need them, without financial hardship.”[21] By taking away the financial burden of healthcare costs, universal healthcare minimizes the risk that people will face extreme debt or poverty for receiving the medical services they need.[22] Universal healthcare does not require uniform implementation and many European countries have their own system.[23] In general, most health systems around the world follow one of four models.[24]</w:t>
      </w:r>
      <w:r w:rsidR="004B1A5B" w:rsidRPr="00223414">
        <w:rPr>
          <w:sz w:val="16"/>
        </w:rPr>
        <w:t xml:space="preserve"> </w:t>
      </w:r>
      <w:r w:rsidRPr="00223414">
        <w:rPr>
          <w:sz w:val="16"/>
        </w:rPr>
        <w:t>The first model is referred to as the Beveridge Model.[25] In this type of system, the government funds health insurance through taxes.[26] Additionally, the government owns most of the hospitals.[27] Health care is “free at point of service,” and generally financed through taxes.[28] Great Britain implements a version of this model.[29] Great Britain’s health insurance is called “National Health Service” and was established in 1946.[30] This primarily tax-funded system provides coverage for nearly all of the population.[31]</w:t>
      </w:r>
      <w:r w:rsidR="004B1A5B" w:rsidRPr="00223414">
        <w:rPr>
          <w:sz w:val="16"/>
        </w:rPr>
        <w:t xml:space="preserve"> </w:t>
      </w:r>
      <w:r w:rsidRPr="00223414">
        <w:rPr>
          <w:sz w:val="16"/>
        </w:rPr>
        <w:t>Another type of health insurance system is the Bismarck Model.[32] This system is similar to the United States in the way that payroll deductions fund healthcare coverage.[33] However a significant difference between this model and the United States is that this system provides coverage for everyone.[34] In this system, most hospitals are privately owned.[35] Germany follows this type of system.[36] Germany requires all citizens to have health insurance but offers public health coverage through wage contributions from both employers and employees.[37] However, there is an option to opt out and enroll in private insurance if an individual earns more than $68,000.[38]</w:t>
      </w:r>
      <w:r w:rsidR="004B1A5B" w:rsidRPr="00223414">
        <w:rPr>
          <w:sz w:val="16"/>
        </w:rPr>
        <w:t xml:space="preserve"> </w:t>
      </w:r>
      <w:r w:rsidRPr="00223414">
        <w:rPr>
          <w:sz w:val="16"/>
        </w:rPr>
        <w:t>The National Health Insurance Model, also referred to as the single payer system, is another type of system that many countries tend to follow.[39] In this system, the government usually has a program that citizens pay into which funds the coverage provided.[40] Canada has adopted a version of this model.[41] While Canada provides free costs for necessary medical services, there are services that are not covered through the government, such as dental care and certain medications.[42] Despite the coverage provided by the government, nearly two-thirds of the population also has private coverage.[43] Private insurance generally covers the services that do not fall within the country’s provided coverage.[44] However, employers and other organizations cover the majority of premiums for private insurance.[45] Some common problems with single payer systems are the limitations when it comes to some services, usually elective procedures, as well as the long wait times to be seen by a physician.[46]</w:t>
      </w:r>
      <w:r w:rsidR="004B1A5B" w:rsidRPr="00223414">
        <w:rPr>
          <w:sz w:val="16"/>
        </w:rPr>
        <w:t xml:space="preserve"> </w:t>
      </w:r>
      <w:r w:rsidRPr="00223414">
        <w:rPr>
          <w:sz w:val="16"/>
        </w:rPr>
        <w:t>Developing countries generally do not have a health care system in place and rely on an out-of-pocket model instead.[47] In these countries, there is little insurance coverage, if any.[48] This means that only the individuals with the ability to afford medical services have access to health care.[49]</w:t>
      </w:r>
      <w:r w:rsidR="004B1A5B" w:rsidRPr="00223414">
        <w:rPr>
          <w:sz w:val="16"/>
        </w:rPr>
        <w:t xml:space="preserve"> </w:t>
      </w:r>
      <w:r w:rsidRPr="00223414">
        <w:rPr>
          <w:sz w:val="16"/>
        </w:rPr>
        <w:t>III. United Stats’s</w:t>
      </w:r>
      <w:r w:rsidR="004B1A5B" w:rsidRPr="00223414">
        <w:rPr>
          <w:sz w:val="16"/>
        </w:rPr>
        <w:t xml:space="preserve"> </w:t>
      </w:r>
      <w:r w:rsidRPr="00223414">
        <w:rPr>
          <w:sz w:val="16"/>
        </w:rPr>
        <w:t>Failure to Recognize Healthcare as a Right</w:t>
      </w:r>
      <w:r w:rsidR="004B1A5B" w:rsidRPr="00223414">
        <w:rPr>
          <w:sz w:val="16"/>
        </w:rPr>
        <w:t xml:space="preserve"> </w:t>
      </w:r>
      <w:r w:rsidRPr="00223414">
        <w:rPr>
          <w:sz w:val="16"/>
        </w:rPr>
        <w:t>Quality of Care: How Does the U.S. Healthcare System Compare Internationally?</w:t>
      </w:r>
      <w:r w:rsidR="004B1A5B" w:rsidRPr="00223414">
        <w:rPr>
          <w:sz w:val="16"/>
        </w:rPr>
        <w:t xml:space="preserve"> </w:t>
      </w:r>
      <w:r w:rsidRPr="00DD2D90">
        <w:rPr>
          <w:rStyle w:val="StyleUnderline"/>
        </w:rPr>
        <w:t>Almost every industrialized country has some version of universal healthcare; however, the United States fails to recognize the right to healthcare</w:t>
      </w:r>
      <w:r w:rsidRPr="00223414">
        <w:rPr>
          <w:sz w:val="16"/>
        </w:rPr>
        <w:t>.[50] A study has found that the United States healthcare system falls last in comparison to 11 other high-income countries.[51] The report indicates that economic status is determinative of the quality of healthcare in the United States.[52] Numerous reports show a large portion of low income U.S. citizens failing to receive certain care due to the costs of the services.[53] In terms of access to healthcare, regardless of economic status, all U.S. citizens face challenges due to the cost of care, “with 38 percent of adults reporting they did not receive recommended medical care in the past year because of costs.”[54]</w:t>
      </w:r>
      <w:r w:rsidR="004B1A5B" w:rsidRPr="00223414">
        <w:rPr>
          <w:sz w:val="16"/>
        </w:rPr>
        <w:t xml:space="preserve"> </w:t>
      </w:r>
      <w:r w:rsidRPr="00223414">
        <w:rPr>
          <w:sz w:val="16"/>
        </w:rPr>
        <w:t>When analyzing health outcomes, the United States comes in last place in comparison to the other countries, as the country struggles with “maternal mortality, infant mortality, life expectancy at age 60, and deaths that were potentially preventable with timely access to effective healthcare.”[55] The country also comes in last place for administrative efficiency due to the large amount of paperwork and issues with insurance.[56] However, the country does rank second when it comes to the care process, as there are higher rates of preventative care, but this placement is not enough to save the country’s overall ranking from last place.[57]</w:t>
      </w:r>
      <w:r w:rsidR="004B1A5B" w:rsidRPr="00223414">
        <w:rPr>
          <w:sz w:val="16"/>
        </w:rPr>
        <w:t xml:space="preserve"> </w:t>
      </w:r>
      <w:r w:rsidRPr="00223414">
        <w:rPr>
          <w:sz w:val="16"/>
        </w:rPr>
        <w:t>U.S. Stance on Healthcare</w:t>
      </w:r>
      <w:r w:rsidR="004B1A5B" w:rsidRPr="00223414">
        <w:rPr>
          <w:sz w:val="16"/>
        </w:rPr>
        <w:t xml:space="preserve"> </w:t>
      </w:r>
      <w:r w:rsidRPr="00223414">
        <w:rPr>
          <w:sz w:val="16"/>
        </w:rPr>
        <w:t xml:space="preserve">There are numerous reasons why the United States struggles to stand with other nations when it comes to healthcare. One explanation for the United States’ stance is the attitude of the nation.[58] Generally, Americans have had a more negative perception of the government than other countries.[59] This negative view influences the public’s trust in the government, especially when it comes to something as serious as their healthcare.[60] Further, Americans have had an individualistic view as well.[61] Individuals with these views typically want less government involvement in society and generally does not hold the government responsible when it comes to the healthcare of citizens.[62] While this may have been the belief historically, recent polls have indicated a shift, with studies showing that </w:t>
      </w:r>
      <w:r w:rsidRPr="00DD2D90">
        <w:rPr>
          <w:rStyle w:val="StyleUnderline"/>
        </w:rPr>
        <w:t>63% of adults in the United States believe “the government has the responsibility to provide healthcare for all</w:t>
      </w:r>
      <w:r w:rsidRPr="00223414">
        <w:rPr>
          <w:sz w:val="16"/>
        </w:rPr>
        <w:t>.”[63] Further, this study found that there was an increase among Democrats when it comes to support for a single payer system.[64]</w:t>
      </w:r>
      <w:r w:rsidR="004B1A5B" w:rsidRPr="00223414">
        <w:rPr>
          <w:sz w:val="16"/>
        </w:rPr>
        <w:t xml:space="preserve"> </w:t>
      </w:r>
      <w:r w:rsidRPr="00223414">
        <w:rPr>
          <w:sz w:val="16"/>
        </w:rPr>
        <w:t>In addition to the culture of the nation, outside corporations and industries play a role in influencing the United States’ stance on healthcare.[65] Groups that stand to face significant financial losses with the creation of universal healthcare in the United States, such as</w:t>
      </w:r>
      <w:r w:rsidR="004B1A5B" w:rsidRPr="00223414">
        <w:rPr>
          <w:sz w:val="16"/>
        </w:rPr>
        <w:t xml:space="preserve"> </w:t>
      </w:r>
      <w:r w:rsidRPr="00223414">
        <w:rPr>
          <w:sz w:val="16"/>
        </w:rPr>
        <w:t>pharmaceutical and insurance industries, have pushed against any kind of healthcare reform through lobbyists.[66] These hired lobbyists attempt to influence elected officials responsible for healthcare reform to protect their employers’ interests.[67] By spending thousands on lobbyists and campaigns, misinformation was spread, creating fear and uncertainty in citizens, stunting growth in the healthcare reform movement.[68]</w:t>
      </w:r>
      <w:r w:rsidR="004B1A5B" w:rsidRPr="00223414">
        <w:rPr>
          <w:sz w:val="16"/>
        </w:rPr>
        <w:t xml:space="preserve"> </w:t>
      </w:r>
      <w:r w:rsidRPr="00223414">
        <w:rPr>
          <w:sz w:val="16"/>
        </w:rPr>
        <w:t>An example of industries fighting back against universal healthcare is when the insurance industry fought against the Affordable Care Act (ACA).[69] While not universal healthcare, the ACA stood to impact the industry, leading the industry to use lobbyists and campaigns to push back against the Act.[70] A universal healthcare system poses a serious threat to private insurance and the industry is unlikely to back down anytime soon.[71]</w:t>
      </w:r>
      <w:r w:rsidR="004B1A5B" w:rsidRPr="00223414">
        <w:rPr>
          <w:sz w:val="16"/>
        </w:rPr>
        <w:t xml:space="preserve"> </w:t>
      </w:r>
      <w:r w:rsidRPr="00223414">
        <w:rPr>
          <w:sz w:val="16"/>
        </w:rPr>
        <w:t>U.S. Steps Towards Increasing Coverage for Citizens</w:t>
      </w:r>
      <w:r w:rsidR="004B1A5B" w:rsidRPr="00223414">
        <w:rPr>
          <w:sz w:val="16"/>
        </w:rPr>
        <w:t xml:space="preserve"> </w:t>
      </w:r>
      <w:r w:rsidRPr="00223414">
        <w:rPr>
          <w:sz w:val="16"/>
        </w:rPr>
        <w:t>While the United States has not recognized healthcare as a human right, there have been some efforts to address the problem that many Americans face: lack of coverage for medical services. Medicare and Medicaid programs increased healthcare coverage for low-income and older citizens.[72] Most recently, the Affordable Care Act (ACA) passed with the intention of helping increase insurance coverage across the nation.[73] However, none of these programs or acts are a sufficient stand in for universal healthcare.[74]</w:t>
      </w:r>
      <w:r w:rsidR="004B1A5B" w:rsidRPr="00223414">
        <w:rPr>
          <w:sz w:val="16"/>
        </w:rPr>
        <w:t xml:space="preserve"> </w:t>
      </w:r>
      <w:r w:rsidRPr="00223414">
        <w:rPr>
          <w:sz w:val="16"/>
        </w:rPr>
        <w:t>Some states have taken matters into their own hands, attempting to create universal healthcare through a single payer system in their state.[75] One state that has consistently been pushing for universal healthcare is California, whose Governor recently signed a bill that works toward that goal.[76] However, states looking to change their healthcare system struggle with securing funding.[77] Since the program would only be through the state and not the nation, states would have to find a way to fund the new system.[78] Obtaining funding “would require each state to apply for waivers to divert federal funds used for Medicare, Medicaid, and Affordable Care Act exchanges” to fund the state’s “single- payer plans.”[79] While states may request these exchanges, the Department of Health and Human Services is not obligated to grant the request.[80]This means that states would likely have to rely on tax increases to fund the new system.[81]</w:t>
      </w:r>
      <w:r w:rsidR="004B1A5B" w:rsidRPr="00223414">
        <w:rPr>
          <w:sz w:val="16"/>
        </w:rPr>
        <w:t xml:space="preserve"> </w:t>
      </w:r>
      <w:r w:rsidRPr="00223414">
        <w:rPr>
          <w:sz w:val="16"/>
        </w:rPr>
        <w:t>Another obstacle for states attempting to establish a single payer system comes from existing insurance plans.[82] Many Americans obtain insurance through their employers.[83] Employer-provided insurance could drastically affect a single payer state system because states generally lack the ability to regulate insurance provided by employers.[84]</w:t>
      </w:r>
      <w:r w:rsidR="004B1A5B" w:rsidRPr="00223414">
        <w:rPr>
          <w:sz w:val="16"/>
        </w:rPr>
        <w:t xml:space="preserve"> </w:t>
      </w:r>
      <w:r w:rsidRPr="00223414">
        <w:rPr>
          <w:sz w:val="16"/>
        </w:rPr>
        <w:t>Trying to implement this new system would be difficult without changing the current private insurance plans that most Americans rely on.[85]</w:t>
      </w:r>
      <w:r w:rsidR="004B1A5B" w:rsidRPr="00223414">
        <w:rPr>
          <w:sz w:val="16"/>
        </w:rPr>
        <w:t xml:space="preserve"> </w:t>
      </w:r>
      <w:r w:rsidRPr="00223414">
        <w:rPr>
          <w:sz w:val="16"/>
        </w:rPr>
        <w:t>Benefits of a Single Payer System in the U.S.</w:t>
      </w:r>
      <w:r w:rsidR="004B1A5B" w:rsidRPr="00223414">
        <w:rPr>
          <w:sz w:val="16"/>
        </w:rPr>
        <w:t xml:space="preserve"> </w:t>
      </w:r>
      <w:r w:rsidRPr="00223414">
        <w:rPr>
          <w:sz w:val="16"/>
        </w:rPr>
        <w:t>While there are many routes to take when it comes to universal healthcare as other countries have shown, a single payer system could significantly improve multiple aspects of the healthcare system of the United States.[86] First, and arguably most importantly, moving towards a single payer system would prevent deaths, as Harvard Medical School conducted a study in 2009 that found almost “45,000 annual deaths are associated with lack of health insurance.”[87]</w:t>
      </w:r>
      <w:r w:rsidR="004B1A5B" w:rsidRPr="00223414">
        <w:rPr>
          <w:sz w:val="16"/>
        </w:rPr>
        <w:t xml:space="preserve"> </w:t>
      </w:r>
      <w:r w:rsidRPr="00223414">
        <w:rPr>
          <w:sz w:val="16"/>
        </w:rPr>
        <w:t>Similarly, this system would allow more individuals to receive medical services that were once unaffordable.[88] A study comparing countries’ health care systems found that 50% of low income and 27% of high-income Americans reported they did not receive care due to costs of medical services.[89] No one should have to decline medical care due to unaffordable costs. As an industrialized country, one that often claims to be the best, citizens should not face financial instability as a result of receiving medical services.</w:t>
      </w:r>
      <w:r w:rsidR="004B1A5B" w:rsidRPr="00223414">
        <w:rPr>
          <w:sz w:val="16"/>
        </w:rPr>
        <w:t xml:space="preserve"> </w:t>
      </w:r>
      <w:r w:rsidRPr="00223414">
        <w:rPr>
          <w:sz w:val="16"/>
        </w:rPr>
        <w:t>Additionally, recognizing healthcare as a human right would allow the United States to live up to international law.[90] With numerous covenants and treatises, it is clear that healthcare is an internationally recognized right.[91] All other industrialized countries have recognized it, and it is time the United States does the same.[92]</w:t>
      </w:r>
      <w:r w:rsidR="004B1A5B" w:rsidRPr="00223414">
        <w:rPr>
          <w:sz w:val="16"/>
        </w:rPr>
        <w:t xml:space="preserve"> </w:t>
      </w:r>
      <w:r w:rsidRPr="00223414">
        <w:rPr>
          <w:sz w:val="16"/>
        </w:rPr>
        <w:t>Finally, funds and resources currently spent on addressing medical problems after they arise could be directed to addressing the root cause of health issues, mitigating the prevalence of the medical issues in the future.[93]</w:t>
      </w:r>
      <w:r w:rsidR="004B1A5B" w:rsidRPr="00223414">
        <w:rPr>
          <w:sz w:val="16"/>
        </w:rPr>
        <w:t xml:space="preserve"> </w:t>
      </w:r>
      <w:r w:rsidRPr="00223414">
        <w:rPr>
          <w:sz w:val="16"/>
        </w:rPr>
        <w:t>Conclusion</w:t>
      </w:r>
      <w:r w:rsidR="004B1A5B" w:rsidRPr="00223414">
        <w:rPr>
          <w:sz w:val="16"/>
        </w:rPr>
        <w:t xml:space="preserve"> </w:t>
      </w:r>
      <w:r w:rsidRPr="00223414">
        <w:rPr>
          <w:sz w:val="16"/>
        </w:rPr>
        <w:t xml:space="preserve">Numerous declarations and international laws recognize the human right to healthcare.[94] These declarations and laws lay out the factors that affect the right to health and healthcare, as well as steps to achieve the right to healthcare.[95] Most industrialized countries agree that healthcare is a right, implementing systems to ensure everyone has this right.[96] Despite this, </w:t>
      </w:r>
      <w:r w:rsidRPr="00DD2D90">
        <w:rPr>
          <w:rStyle w:val="StyleUnderline"/>
        </w:rPr>
        <w:t xml:space="preserve">the United States rejects this right for its citizens, leaving Americans </w:t>
      </w:r>
      <w:r w:rsidRPr="00DD2D90">
        <w:rPr>
          <w:rStyle w:val="Emphasis"/>
        </w:rPr>
        <w:t>struggling</w:t>
      </w:r>
      <w:r w:rsidRPr="00DD2D90">
        <w:rPr>
          <w:rStyle w:val="StyleUnderline"/>
        </w:rPr>
        <w:t xml:space="preserve"> to afford needed healthcare</w:t>
      </w:r>
      <w:r w:rsidRPr="00223414">
        <w:rPr>
          <w:sz w:val="16"/>
        </w:rPr>
        <w:t>.[97] Studies have shown that that the U.S. healthcare system falls behind other countries in terms of outcome and care, leaving Americans paying high costs for a system with worse quality.[98] The United States has recognized problems presented when millions are left uninsured and has taken steps to try to extend coverage, however more drastic steps need to occur in order to ensure the protection of the right to healthcare.</w:t>
      </w:r>
    </w:p>
    <w:p w14:paraId="03071EF6" w14:textId="77777777" w:rsidR="00FA1D49" w:rsidRPr="00223414" w:rsidRDefault="00FA1D49">
      <w:pPr>
        <w:rPr>
          <w:rFonts w:eastAsiaTheme="majorEastAsia" w:cstheme="majorBidi"/>
          <w:b/>
          <w:iCs/>
          <w:sz w:val="16"/>
        </w:rPr>
      </w:pPr>
      <w:r w:rsidRPr="00223414">
        <w:rPr>
          <w:sz w:val="16"/>
        </w:rPr>
        <w:br w:type="page"/>
      </w:r>
    </w:p>
    <w:p w14:paraId="73CA1752" w14:textId="64AAAEF7" w:rsidR="0059489F" w:rsidRPr="00223414" w:rsidRDefault="006C433E" w:rsidP="0059489F">
      <w:pPr>
        <w:pStyle w:val="Heading4"/>
        <w:rPr>
          <w:szCs w:val="26"/>
          <w:lang w:val="vi-VN"/>
        </w:rPr>
      </w:pPr>
      <w:r w:rsidRPr="00223414">
        <w:rPr>
          <w:szCs w:val="26"/>
        </w:rPr>
        <w:t>Healthcare inequality causes unprecedented social murder</w:t>
      </w:r>
      <w:r w:rsidR="00716F9F" w:rsidRPr="00223414">
        <w:rPr>
          <w:szCs w:val="26"/>
        </w:rPr>
        <w:t xml:space="preserve"> on the scale of genocide</w:t>
      </w:r>
      <w:r w:rsidRPr="00223414">
        <w:rPr>
          <w:szCs w:val="26"/>
        </w:rPr>
        <w:t xml:space="preserve"> </w:t>
      </w:r>
    </w:p>
    <w:p w14:paraId="2AED927C" w14:textId="77777777" w:rsidR="0059489F" w:rsidRPr="00DD2D90" w:rsidRDefault="0059489F" w:rsidP="0059489F">
      <w:pPr>
        <w:rPr>
          <w:lang w:val="vi-VN"/>
        </w:rPr>
      </w:pPr>
      <w:r w:rsidRPr="00223414">
        <w:rPr>
          <w:b/>
          <w:bCs/>
          <w:sz w:val="26"/>
          <w:szCs w:val="26"/>
          <w:lang w:val="vi-VN"/>
        </w:rPr>
        <w:t>Riley 20</w:t>
      </w:r>
      <w:r w:rsidRPr="00DD2D90">
        <w:rPr>
          <w:b/>
          <w:bCs/>
          <w:lang w:val="vi-VN"/>
        </w:rPr>
        <w:t xml:space="preserve"> </w:t>
      </w:r>
      <w:r w:rsidRPr="00DD2D90">
        <w:rPr>
          <w:lang w:val="vi-VN"/>
        </w:rPr>
        <w:t>[Mark Riley, Academic Department of Military General Practice, Royal Centre for Defence Medicine, Birmingham, 07/21/2020</w:t>
      </w:r>
      <w:r w:rsidRPr="00DD2D90">
        <w:rPr>
          <w:rFonts w:hint="eastAsia"/>
          <w:lang w:val="vi-VN" w:eastAsia="zh-CN"/>
        </w:rPr>
        <w:t>,</w:t>
      </w:r>
      <w:r w:rsidRPr="00DD2D90">
        <w:rPr>
          <w:lang w:val="vi-VN" w:eastAsia="zh-CN"/>
        </w:rPr>
        <w:t xml:space="preserve"> </w:t>
      </w:r>
      <w:r w:rsidRPr="00DD2D90">
        <w:rPr>
          <w:lang w:val="vi-VN"/>
        </w:rPr>
        <w:t>“Health inequality and COVID-19: the culmination of two centuries of social murder”, National Library of Medicine National Center for Biotechnology Information, https://pmc.ncbi.nlm.nih.gov/articles/PMC7384815/] Kankee</w:t>
      </w:r>
    </w:p>
    <w:p w14:paraId="771975E3" w14:textId="77777777" w:rsidR="0059489F" w:rsidRPr="00DD2D90" w:rsidRDefault="0059489F" w:rsidP="0059489F">
      <w:pPr>
        <w:rPr>
          <w:rStyle w:val="Emphasis"/>
          <w:lang w:val="vi-VN"/>
        </w:rPr>
      </w:pPr>
      <w:r w:rsidRPr="00223414">
        <w:rPr>
          <w:sz w:val="16"/>
        </w:rPr>
        <w:t>Engels was born in 1820 in Germany and went on to become a radical socialist, co-authoring The Communist Manifesto with Karl Marx. In 1845 he published The Condition of the Working Class in England, recording his observations of the ill health of workers in post-industrial England.5 He documented entire families living in single rooms, in cities where the air was polluted with coal smoke and the streets littered with filth. He drew stark facts from government reports on the impact of this way of life on the people</w:t>
      </w:r>
      <w:r w:rsidRPr="00DD2D90">
        <w:rPr>
          <w:rStyle w:val="Emphasis"/>
        </w:rPr>
        <w:t xml:space="preserve"> </w:t>
      </w:r>
      <w:r w:rsidRPr="00223414">
        <w:rPr>
          <w:sz w:val="16"/>
        </w:rPr>
        <w:t xml:space="preserve">enduring it; in one district of Leeds, </w:t>
      </w:r>
      <w:r w:rsidRPr="00DD2D90">
        <w:rPr>
          <w:rStyle w:val="StyleUnderline"/>
        </w:rPr>
        <w:t>there were three deaths for every two births</w:t>
      </w:r>
      <w:r w:rsidRPr="00223414">
        <w:rPr>
          <w:sz w:val="16"/>
        </w:rPr>
        <w:t xml:space="preserve">. </w:t>
      </w:r>
      <w:r w:rsidRPr="00DD2D90">
        <w:rPr>
          <w:rStyle w:val="StyleUnderline"/>
        </w:rPr>
        <w:t>The living conditions in the North of England resulted in regular tuberculosis, typhoid, and scarlet fever epidemics among the working classes</w:t>
      </w:r>
      <w:r w:rsidRPr="00223414">
        <w:rPr>
          <w:sz w:val="16"/>
        </w:rPr>
        <w:t xml:space="preserve">, and Engels regarded the inaction of society </w:t>
      </w:r>
      <w:r w:rsidRPr="00DD2D90">
        <w:rPr>
          <w:rStyle w:val="Emphasis"/>
          <w:b w:val="0"/>
          <w:bCs/>
          <w:highlight w:val="green"/>
        </w:rPr>
        <w:t>in tackling</w:t>
      </w:r>
      <w:r w:rsidRPr="00DD2D90">
        <w:rPr>
          <w:rStyle w:val="Emphasis"/>
          <w:b w:val="0"/>
          <w:bCs/>
        </w:rPr>
        <w:t xml:space="preserve"> </w:t>
      </w:r>
      <w:r w:rsidRPr="00DD2D90">
        <w:rPr>
          <w:rStyle w:val="Emphasis"/>
          <w:b w:val="0"/>
          <w:bCs/>
          <w:highlight w:val="green"/>
        </w:rPr>
        <w:t>this as ‘social murder</w:t>
      </w:r>
      <w:r w:rsidRPr="00DD2D90">
        <w:rPr>
          <w:rStyle w:val="Emphasis"/>
          <w:b w:val="0"/>
          <w:bCs/>
        </w:rPr>
        <w:t>’</w:t>
      </w:r>
      <w:r w:rsidRPr="00DD2D90">
        <w:rPr>
          <w:rStyle w:val="Emphasis"/>
        </w:rPr>
        <w:t>.</w:t>
      </w:r>
      <w:r w:rsidRPr="00223414">
        <w:rPr>
          <w:sz w:val="16"/>
        </w:rPr>
        <w:t xml:space="preserve">6 1848: RUDOLF VIRCHOW </w:t>
      </w:r>
      <w:r w:rsidRPr="00DD2D90">
        <w:rPr>
          <w:rStyle w:val="Emphasis"/>
          <w:b w:val="0"/>
          <w:bCs/>
        </w:rPr>
        <w:t>Virchow</w:t>
      </w:r>
      <w:r w:rsidRPr="00223414">
        <w:rPr>
          <w:sz w:val="16"/>
        </w:rPr>
        <w:t xml:space="preserve">, a doctor, was born in the same year as Engels, and is regarded as the father of cellular pathology. He </w:t>
      </w:r>
      <w:r w:rsidRPr="00DD2D90">
        <w:rPr>
          <w:rStyle w:val="Emphasis"/>
          <w:b w:val="0"/>
          <w:bCs/>
        </w:rPr>
        <w:t xml:space="preserve">saw that </w:t>
      </w:r>
      <w:r w:rsidRPr="00DD2D90">
        <w:rPr>
          <w:rStyle w:val="Emphasis"/>
          <w:b w:val="0"/>
          <w:bCs/>
          <w:highlight w:val="green"/>
        </w:rPr>
        <w:t>inequalities in society were responsible</w:t>
      </w:r>
      <w:r w:rsidRPr="00DD2D90">
        <w:rPr>
          <w:rStyle w:val="Emphasis"/>
          <w:b w:val="0"/>
          <w:bCs/>
        </w:rPr>
        <w:t xml:space="preserve"> </w:t>
      </w:r>
      <w:r w:rsidRPr="00DD2D90">
        <w:rPr>
          <w:rStyle w:val="Emphasis"/>
          <w:b w:val="0"/>
          <w:bCs/>
          <w:highlight w:val="green"/>
        </w:rPr>
        <w:t>for</w:t>
      </w:r>
      <w:r w:rsidRPr="00DD2D90">
        <w:rPr>
          <w:rStyle w:val="Emphasis"/>
          <w:b w:val="0"/>
          <w:bCs/>
        </w:rPr>
        <w:t xml:space="preserve"> much of the </w:t>
      </w:r>
      <w:r w:rsidRPr="00DD2D90">
        <w:rPr>
          <w:rStyle w:val="Emphasis"/>
          <w:b w:val="0"/>
          <w:bCs/>
          <w:highlight w:val="green"/>
        </w:rPr>
        <w:t>burden of disease</w:t>
      </w:r>
      <w:r w:rsidRPr="00223414">
        <w:rPr>
          <w:sz w:val="16"/>
        </w:rPr>
        <w:t xml:space="preserve"> at the time. In 1848 he w</w:t>
      </w:r>
      <w:r w:rsidRPr="00DD2D90">
        <w:rPr>
          <w:rStyle w:val="StyleUnderline"/>
        </w:rPr>
        <w:t>rote: ‘Medicine is a social science, and politics nothing but medicine at a larger scale’</w:t>
      </w:r>
      <w:r w:rsidRPr="00223414">
        <w:rPr>
          <w:sz w:val="16"/>
        </w:rPr>
        <w:t xml:space="preserve"> after investigating an epidemic and </w:t>
      </w:r>
      <w:r w:rsidRPr="00DD2D90">
        <w:rPr>
          <w:rStyle w:val="Emphasis"/>
          <w:b w:val="0"/>
          <w:bCs/>
        </w:rPr>
        <w:t xml:space="preserve">observing that </w:t>
      </w:r>
      <w:r w:rsidRPr="00DD2D90">
        <w:rPr>
          <w:rStyle w:val="Emphasis"/>
          <w:b w:val="0"/>
          <w:bCs/>
          <w:highlight w:val="green"/>
        </w:rPr>
        <w:t>the</w:t>
      </w:r>
      <w:r w:rsidRPr="00223414">
        <w:rPr>
          <w:b/>
          <w:bCs/>
          <w:sz w:val="16"/>
          <w:highlight w:val="green"/>
        </w:rPr>
        <w:t xml:space="preserve"> </w:t>
      </w:r>
      <w:r w:rsidRPr="00DD2D90">
        <w:rPr>
          <w:rStyle w:val="Emphasis"/>
          <w:b w:val="0"/>
          <w:bCs/>
          <w:highlight w:val="green"/>
        </w:rPr>
        <w:t>poor were</w:t>
      </w:r>
      <w:r w:rsidRPr="00DD2D90">
        <w:rPr>
          <w:rStyle w:val="Emphasis"/>
          <w:b w:val="0"/>
          <w:bCs/>
        </w:rPr>
        <w:t xml:space="preserve"> much more </w:t>
      </w:r>
      <w:r w:rsidRPr="00DD2D90">
        <w:rPr>
          <w:rStyle w:val="Emphasis"/>
          <w:b w:val="0"/>
          <w:bCs/>
          <w:highlight w:val="green"/>
        </w:rPr>
        <w:t>prone to disease than the rich</w:t>
      </w:r>
      <w:r w:rsidRPr="00223414">
        <w:rPr>
          <w:sz w:val="16"/>
        </w:rPr>
        <w:t xml:space="preserve">. He argued </w:t>
      </w:r>
      <w:r w:rsidRPr="00DD2D90">
        <w:rPr>
          <w:rStyle w:val="Emphasis"/>
          <w:b w:val="0"/>
          <w:bCs/>
        </w:rPr>
        <w:t xml:space="preserve">that disease </w:t>
      </w:r>
      <w:r w:rsidRPr="00DD2D90">
        <w:rPr>
          <w:rStyle w:val="Emphasis"/>
          <w:b w:val="0"/>
          <w:bCs/>
          <w:highlight w:val="green"/>
        </w:rPr>
        <w:t>epidemics could only be eliminated through</w:t>
      </w:r>
      <w:r w:rsidRPr="00DD2D90">
        <w:rPr>
          <w:rStyle w:val="Emphasis"/>
          <w:b w:val="0"/>
          <w:bCs/>
        </w:rPr>
        <w:t xml:space="preserve"> </w:t>
      </w:r>
      <w:r w:rsidRPr="00DD2D90">
        <w:rPr>
          <w:rStyle w:val="Emphasis"/>
          <w:b w:val="0"/>
          <w:bCs/>
          <w:highlight w:val="green"/>
        </w:rPr>
        <w:t>tackling social inequality</w:t>
      </w:r>
      <w:r w:rsidRPr="00223414">
        <w:rPr>
          <w:sz w:val="16"/>
        </w:rPr>
        <w:t xml:space="preserve">. 7 Although they were both socialists, and likely to see how society impacted health when others of their era didn’t, it adds strength to Engels’ observations that a renowned doctor of the age concurred with them. 2010: SIR MICHAEL MARMOT AND THE MARMOT REVIEW </w:t>
      </w:r>
      <w:r w:rsidRPr="00DD2D90">
        <w:rPr>
          <w:rStyle w:val="Emphasis"/>
          <w:b w:val="0"/>
          <w:bCs/>
        </w:rPr>
        <w:t>Marmot</w:t>
      </w:r>
      <w:r w:rsidRPr="00223414">
        <w:rPr>
          <w:sz w:val="16"/>
        </w:rPr>
        <w:t>’s position is clear: ‘</w:t>
      </w:r>
      <w:r w:rsidRPr="00DD2D90">
        <w:rPr>
          <w:rStyle w:val="Emphasis"/>
          <w:b w:val="0"/>
          <w:bCs/>
          <w:highlight w:val="green"/>
        </w:rPr>
        <w:t>Inequalities</w:t>
      </w:r>
      <w:r w:rsidRPr="00DD2D90">
        <w:rPr>
          <w:rStyle w:val="Emphasis"/>
          <w:b w:val="0"/>
          <w:bCs/>
        </w:rPr>
        <w:t xml:space="preserve"> that </w:t>
      </w:r>
      <w:r w:rsidRPr="00DD2D90">
        <w:rPr>
          <w:rStyle w:val="Emphasis"/>
          <w:b w:val="0"/>
          <w:bCs/>
          <w:highlight w:val="green"/>
        </w:rPr>
        <w:t xml:space="preserve">are preventable by reasonable means are </w:t>
      </w:r>
      <w:r w:rsidRPr="00DD2D90">
        <w:rPr>
          <w:rStyle w:val="Emphasis"/>
          <w:highlight w:val="green"/>
        </w:rPr>
        <w:t>unfair</w:t>
      </w:r>
      <w:r w:rsidRPr="00223414">
        <w:rPr>
          <w:sz w:val="16"/>
        </w:rPr>
        <w:t xml:space="preserve">. Putting them right is a matter of social justice.’8 One </w:t>
      </w:r>
      <w:r w:rsidRPr="00DD2D90">
        <w:rPr>
          <w:rStyle w:val="StyleUnderline"/>
        </w:rPr>
        <w:t>example given</w:t>
      </w:r>
      <w:r w:rsidRPr="00223414">
        <w:rPr>
          <w:sz w:val="16"/>
        </w:rPr>
        <w:t xml:space="preserve"> in the review describes health inequalities in the over30 years age group; </w:t>
      </w:r>
      <w:r w:rsidRPr="00DD2D90">
        <w:rPr>
          <w:rStyle w:val="Emphasis"/>
          <w:b w:val="0"/>
          <w:bCs/>
        </w:rPr>
        <w:t>if</w:t>
      </w:r>
      <w:r w:rsidRPr="00DD2D90">
        <w:rPr>
          <w:rStyle w:val="Emphasis"/>
        </w:rPr>
        <w:t xml:space="preserve"> </w:t>
      </w:r>
      <w:r w:rsidRPr="00DD2D90">
        <w:rPr>
          <w:rStyle w:val="StyleUnderline"/>
        </w:rPr>
        <w:t>those without a university education had their death rate matched with people of the same age with a degree, 202 000 premature deaths per year in England would be prevented.</w:t>
      </w:r>
      <w:r w:rsidRPr="00223414">
        <w:rPr>
          <w:sz w:val="16"/>
        </w:rPr>
        <w:t xml:space="preserve"> This impact of social position on health is referred to as the social gradient in health.4 </w:t>
      </w:r>
      <w:r w:rsidRPr="00DD2D90">
        <w:rPr>
          <w:rStyle w:val="Emphasis"/>
          <w:b w:val="0"/>
          <w:bCs/>
        </w:rPr>
        <w:t xml:space="preserve">If </w:t>
      </w:r>
      <w:r w:rsidRPr="00DD2D90">
        <w:rPr>
          <w:rStyle w:val="Emphasis"/>
          <w:b w:val="0"/>
          <w:bCs/>
          <w:highlight w:val="green"/>
        </w:rPr>
        <w:t>Engels witnessed social murder</w:t>
      </w:r>
      <w:r w:rsidRPr="00223414">
        <w:rPr>
          <w:sz w:val="16"/>
        </w:rPr>
        <w:t>, then</w:t>
      </w:r>
      <w:r w:rsidRPr="00DD2D90">
        <w:rPr>
          <w:rStyle w:val="Emphasis"/>
        </w:rPr>
        <w:t xml:space="preserve"> </w:t>
      </w:r>
      <w:r w:rsidRPr="00DD2D90">
        <w:rPr>
          <w:rStyle w:val="Emphasis"/>
          <w:b w:val="0"/>
          <w:bCs/>
          <w:highlight w:val="green"/>
        </w:rPr>
        <w:t xml:space="preserve">this could be considered 21st-century </w:t>
      </w:r>
      <w:r w:rsidRPr="00DD2D90">
        <w:rPr>
          <w:rStyle w:val="Emphasis"/>
          <w:highlight w:val="green"/>
        </w:rPr>
        <w:t>social genocide</w:t>
      </w:r>
      <w:r w:rsidRPr="00223414">
        <w:rPr>
          <w:sz w:val="16"/>
        </w:rPr>
        <w:t>.</w:t>
      </w:r>
      <w:r w:rsidRPr="00223414">
        <w:rPr>
          <w:sz w:val="16"/>
          <w:lang w:val="vi-VN"/>
        </w:rPr>
        <w:t xml:space="preserve"> </w:t>
      </w:r>
      <w:r w:rsidRPr="00223414">
        <w:rPr>
          <w:sz w:val="16"/>
        </w:rPr>
        <w:t xml:space="preserve">COVID-19 DEATHS AND SOCIOECONOMIC DEPRIVATION Office for National Statistics data show that </w:t>
      </w:r>
      <w:r w:rsidRPr="00DD2D90">
        <w:rPr>
          <w:rStyle w:val="StyleUnderline"/>
        </w:rPr>
        <w:t>there is a social gradient in the mortality rates from COVID-19</w:t>
      </w:r>
      <w:r w:rsidRPr="00223414">
        <w:rPr>
          <w:sz w:val="16"/>
        </w:rPr>
        <w:t xml:space="preserve">. Figures for England show that the most deprived areas have more than double the age-standardised mortality rate for deaths involving </w:t>
      </w:r>
      <w:r w:rsidRPr="00DD2D90">
        <w:rPr>
          <w:rStyle w:val="Emphasis"/>
          <w:b w:val="0"/>
          <w:bCs/>
        </w:rPr>
        <w:t>COVID19 at 128.3 deaths per 100 000 population compared with 58.8 deaths per 100 000 population</w:t>
      </w:r>
      <w:r w:rsidRPr="00223414">
        <w:rPr>
          <w:sz w:val="16"/>
        </w:rPr>
        <w:t xml:space="preserve"> in the least deprived areas. Figures for Wales are similar, </w:t>
      </w:r>
      <w:r w:rsidRPr="00DD2D90">
        <w:rPr>
          <w:rStyle w:val="StyleUnderline"/>
        </w:rPr>
        <w:t>with 109.5 deaths per 100 000 population</w:t>
      </w:r>
      <w:r w:rsidRPr="00DD2D90">
        <w:rPr>
          <w:rStyle w:val="Emphasis"/>
        </w:rPr>
        <w:t xml:space="preserve"> </w:t>
      </w:r>
      <w:r w:rsidRPr="00DD2D90">
        <w:rPr>
          <w:rStyle w:val="Emphasis"/>
          <w:b w:val="0"/>
          <w:bCs/>
        </w:rPr>
        <w:t>in the most deprived areas, compared with 57.5 deaths per 100 000 population in the least deprived areas</w:t>
      </w:r>
      <w:r w:rsidRPr="00223414">
        <w:rPr>
          <w:sz w:val="16"/>
        </w:rPr>
        <w:t>.9</w:t>
      </w:r>
      <w:r w:rsidRPr="00223414">
        <w:rPr>
          <w:sz w:val="16"/>
          <w:lang w:val="vi-VN"/>
        </w:rPr>
        <w:t xml:space="preserve"> </w:t>
      </w:r>
      <w:r w:rsidRPr="00223414">
        <w:rPr>
          <w:sz w:val="16"/>
        </w:rPr>
        <w:t xml:space="preserve">CONCLUSION </w:t>
      </w:r>
      <w:r w:rsidRPr="00DD2D90">
        <w:rPr>
          <w:rStyle w:val="StyleUnderline"/>
        </w:rPr>
        <w:t>Health experts and politicians have warned</w:t>
      </w:r>
      <w:r w:rsidRPr="00223414">
        <w:rPr>
          <w:sz w:val="16"/>
        </w:rPr>
        <w:t xml:space="preserve"> for </w:t>
      </w:r>
      <w:r w:rsidRPr="00DD2D90">
        <w:rPr>
          <w:rStyle w:val="Emphasis"/>
          <w:b w:val="0"/>
          <w:bCs/>
          <w:highlight w:val="green"/>
        </w:rPr>
        <w:t>over 170 years</w:t>
      </w:r>
      <w:r w:rsidRPr="00DD2D90">
        <w:rPr>
          <w:rStyle w:val="Emphasis"/>
          <w:b w:val="0"/>
          <w:bCs/>
        </w:rPr>
        <w:t xml:space="preserve"> that </w:t>
      </w:r>
      <w:r w:rsidRPr="00DD2D90">
        <w:rPr>
          <w:rStyle w:val="Emphasis"/>
          <w:b w:val="0"/>
          <w:bCs/>
          <w:highlight w:val="green"/>
        </w:rPr>
        <w:t xml:space="preserve">health inequality is </w:t>
      </w:r>
      <w:r w:rsidRPr="00DD2D90">
        <w:rPr>
          <w:rStyle w:val="Emphasis"/>
          <w:highlight w:val="green"/>
        </w:rPr>
        <w:t>killing</w:t>
      </w:r>
      <w:r w:rsidRPr="00DD2D90">
        <w:rPr>
          <w:rStyle w:val="Emphasis"/>
          <w:b w:val="0"/>
          <w:bCs/>
        </w:rPr>
        <w:t xml:space="preserve"> </w:t>
      </w:r>
      <w:r w:rsidRPr="00DD2D90">
        <w:rPr>
          <w:rStyle w:val="Emphasis"/>
          <w:b w:val="0"/>
          <w:bCs/>
          <w:highlight w:val="green"/>
        </w:rPr>
        <w:t>those in the most deprived parts of society</w:t>
      </w:r>
      <w:r w:rsidRPr="00223414">
        <w:rPr>
          <w:sz w:val="16"/>
        </w:rPr>
        <w:t xml:space="preserve">. The poorest in society have died disproportionately of COVID-19, suggesting that the social murder observed by Engels in 1845 is still going on today. </w:t>
      </w:r>
      <w:r w:rsidRPr="00DD2D90">
        <w:rPr>
          <w:rStyle w:val="Emphasis"/>
          <w:b w:val="0"/>
          <w:bCs/>
        </w:rPr>
        <w:t xml:space="preserve">The social gradient in </w:t>
      </w:r>
      <w:r w:rsidRPr="00DD2D90">
        <w:rPr>
          <w:rStyle w:val="Emphasis"/>
          <w:b w:val="0"/>
          <w:bCs/>
          <w:highlight w:val="green"/>
        </w:rPr>
        <w:t xml:space="preserve">COVID-19 mortality needs to be the wake-up call </w:t>
      </w:r>
      <w:r w:rsidRPr="00DD2D90">
        <w:rPr>
          <w:rStyle w:val="Emphasis"/>
          <w:b w:val="0"/>
          <w:bCs/>
        </w:rPr>
        <w:t>for governments and health policymakers</w:t>
      </w:r>
      <w:r w:rsidRPr="00223414">
        <w:rPr>
          <w:b/>
          <w:bCs/>
          <w:sz w:val="16"/>
        </w:rPr>
        <w:t xml:space="preserve"> </w:t>
      </w:r>
      <w:r w:rsidRPr="00DD2D90">
        <w:rPr>
          <w:rStyle w:val="StyleUnderline"/>
          <w:highlight w:val="green"/>
        </w:rPr>
        <w:t>to</w:t>
      </w:r>
      <w:r w:rsidRPr="00223414">
        <w:rPr>
          <w:b/>
          <w:bCs/>
          <w:sz w:val="16"/>
          <w:highlight w:val="green"/>
        </w:rPr>
        <w:t xml:space="preserve"> </w:t>
      </w:r>
      <w:r w:rsidRPr="00DD2D90">
        <w:rPr>
          <w:rStyle w:val="Emphasis"/>
          <w:b w:val="0"/>
          <w:bCs/>
          <w:highlight w:val="green"/>
        </w:rPr>
        <w:t>ensure such unequal loss of life</w:t>
      </w:r>
      <w:r w:rsidRPr="00DD2D90">
        <w:rPr>
          <w:rStyle w:val="Emphasis"/>
          <w:b w:val="0"/>
          <w:bCs/>
        </w:rPr>
        <w:t xml:space="preserve"> is not repeated in a future pandemic</w:t>
      </w:r>
      <w:r w:rsidRPr="00DD2D90">
        <w:rPr>
          <w:rStyle w:val="Emphasis"/>
        </w:rPr>
        <w:t>.</w:t>
      </w:r>
    </w:p>
    <w:p w14:paraId="5D9293E3" w14:textId="77777777" w:rsidR="00FA1D49" w:rsidRPr="00223414" w:rsidRDefault="00FA1D49">
      <w:pPr>
        <w:rPr>
          <w:rFonts w:eastAsiaTheme="majorEastAsia" w:cstheme="majorBidi"/>
          <w:b/>
          <w:iCs/>
          <w:sz w:val="16"/>
        </w:rPr>
      </w:pPr>
      <w:r w:rsidRPr="00223414">
        <w:rPr>
          <w:sz w:val="16"/>
        </w:rPr>
        <w:br w:type="page"/>
      </w:r>
    </w:p>
    <w:p w14:paraId="672EC9A3" w14:textId="7E254ADD" w:rsidR="0059489F" w:rsidRPr="00223414" w:rsidRDefault="00FA1D49" w:rsidP="0059489F">
      <w:pPr>
        <w:pStyle w:val="Heading4"/>
        <w:rPr>
          <w:szCs w:val="26"/>
        </w:rPr>
      </w:pPr>
      <w:r w:rsidRPr="00223414">
        <w:rPr>
          <w:szCs w:val="26"/>
        </w:rPr>
        <w:t>S</w:t>
      </w:r>
      <w:r w:rsidR="0059489F" w:rsidRPr="00223414">
        <w:rPr>
          <w:szCs w:val="26"/>
          <w:lang w:val="vi-VN"/>
        </w:rPr>
        <w:t>ocial murder</w:t>
      </w:r>
      <w:r w:rsidRPr="00223414">
        <w:rPr>
          <w:szCs w:val="26"/>
        </w:rPr>
        <w:t xml:space="preserve"> in healthcare</w:t>
      </w:r>
      <w:r w:rsidR="00716F9F" w:rsidRPr="00223414">
        <w:rPr>
          <w:szCs w:val="26"/>
        </w:rPr>
        <w:t xml:space="preserve"> harms minority folk</w:t>
      </w:r>
    </w:p>
    <w:p w14:paraId="08FA580C" w14:textId="77777777" w:rsidR="0059489F" w:rsidRPr="00DD2D90" w:rsidRDefault="0059489F" w:rsidP="0059489F">
      <w:pPr>
        <w:rPr>
          <w:lang w:val="vi-VN"/>
        </w:rPr>
      </w:pPr>
      <w:r w:rsidRPr="00223414">
        <w:rPr>
          <w:b/>
          <w:bCs/>
          <w:sz w:val="26"/>
          <w:szCs w:val="26"/>
          <w:lang w:val="vi-VN"/>
        </w:rPr>
        <w:t>Medvedyuk et al. 24</w:t>
      </w:r>
      <w:r w:rsidRPr="00DD2D90">
        <w:rPr>
          <w:b/>
          <w:bCs/>
          <w:lang w:val="vi-VN"/>
        </w:rPr>
        <w:t xml:space="preserve"> </w:t>
      </w:r>
      <w:r w:rsidRPr="00DD2D90">
        <w:rPr>
          <w:lang w:val="vi-VN"/>
        </w:rPr>
        <w:t>[Stella Medvedyuk, work at School of Health Policy and Management, York University, Toronto, Canada, 11</w:t>
      </w:r>
      <w:r w:rsidRPr="00DD2D90">
        <w:t>-</w:t>
      </w:r>
      <w:r w:rsidRPr="00DD2D90">
        <w:rPr>
          <w:lang w:val="vi-VN"/>
        </w:rPr>
        <w:t>2021, “The reemergence of Engels’ concept of social murder in response to growing social and health inequalities”, p.5-6, Science Direct, https://www.sciencedirect.com/science/article/pii/S0277953621007097?via%3Dihub] Kankee</w:t>
      </w:r>
    </w:p>
    <w:p w14:paraId="07108913" w14:textId="77777777" w:rsidR="0059489F" w:rsidRPr="00223414" w:rsidRDefault="0059489F" w:rsidP="0059489F">
      <w:pPr>
        <w:rPr>
          <w:sz w:val="16"/>
          <w:lang w:val="vi-VN"/>
        </w:rPr>
      </w:pPr>
      <w:r w:rsidRPr="00223414">
        <w:rPr>
          <w:sz w:val="16"/>
        </w:rPr>
        <w:t xml:space="preserve">Within </w:t>
      </w:r>
      <w:r w:rsidRPr="00DD2D90">
        <w:rPr>
          <w:rStyle w:val="Emphasis"/>
          <w:b w:val="0"/>
          <w:bCs/>
        </w:rPr>
        <w:t xml:space="preserve">the concept of </w:t>
      </w:r>
      <w:r w:rsidRPr="00DD2D90">
        <w:rPr>
          <w:rStyle w:val="Emphasis"/>
          <w:b w:val="0"/>
          <w:bCs/>
          <w:highlight w:val="green"/>
        </w:rPr>
        <w:t>capitalist exploitation</w:t>
      </w:r>
      <w:r w:rsidRPr="00223414">
        <w:rPr>
          <w:sz w:val="16"/>
        </w:rPr>
        <w:t xml:space="preserve">, 30 articles examined health inequalities. Cooper et al. (1981) investigated </w:t>
      </w:r>
      <w:r w:rsidRPr="00DD2D90">
        <w:rPr>
          <w:rStyle w:val="Emphasis"/>
          <w:b w:val="0"/>
          <w:bCs/>
        </w:rPr>
        <w:t>the social origins of race-based health inequalities</w:t>
      </w:r>
      <w:r w:rsidRPr="00223414">
        <w:rPr>
          <w:sz w:val="16"/>
        </w:rPr>
        <w:t xml:space="preserve"> by examining bio-medical mechanisms </w:t>
      </w:r>
      <w:r w:rsidRPr="00DD2D90">
        <w:rPr>
          <w:rStyle w:val="StyleUnderline"/>
        </w:rPr>
        <w:t>in combination with Marxist social theory</w:t>
      </w:r>
      <w:r w:rsidRPr="00223414">
        <w:rPr>
          <w:sz w:val="16"/>
        </w:rPr>
        <w:t>. The authors state that one of the major “contradictions created by the capitalist mode of production</w:t>
      </w:r>
      <w:r w:rsidRPr="00DD2D90">
        <w:rPr>
          <w:rStyle w:val="Emphasis"/>
        </w:rPr>
        <w:t xml:space="preserve"> </w:t>
      </w:r>
      <w:r w:rsidRPr="00DD2D90">
        <w:rPr>
          <w:rStyle w:val="Emphasis"/>
          <w:b w:val="0"/>
          <w:bCs/>
          <w:highlight w:val="green"/>
        </w:rPr>
        <w:t>is the promotion of mass disease</w:t>
      </w:r>
      <w:r w:rsidRPr="00DD2D90">
        <w:rPr>
          <w:rStyle w:val="Emphasis"/>
          <w:b w:val="0"/>
          <w:bCs/>
        </w:rPr>
        <w:t>”</w:t>
      </w:r>
      <w:r w:rsidRPr="00223414">
        <w:rPr>
          <w:sz w:val="16"/>
        </w:rPr>
        <w:t xml:space="preserve"> (p. 409) </w:t>
      </w:r>
      <w:r w:rsidRPr="00DD2D90">
        <w:rPr>
          <w:rStyle w:val="Emphasis"/>
          <w:b w:val="0"/>
          <w:bCs/>
        </w:rPr>
        <w:t xml:space="preserve">of which </w:t>
      </w:r>
      <w:r w:rsidRPr="00DD2D90">
        <w:rPr>
          <w:rStyle w:val="Emphasis"/>
          <w:b w:val="0"/>
          <w:bCs/>
          <w:highlight w:val="green"/>
        </w:rPr>
        <w:t xml:space="preserve">racism is an </w:t>
      </w:r>
      <w:r w:rsidRPr="00DD2D90">
        <w:rPr>
          <w:rStyle w:val="Emphasis"/>
          <w:highlight w:val="green"/>
        </w:rPr>
        <w:t>essential</w:t>
      </w:r>
      <w:r w:rsidRPr="00DD2D90">
        <w:rPr>
          <w:rStyle w:val="Emphasis"/>
          <w:b w:val="0"/>
          <w:bCs/>
          <w:highlight w:val="green"/>
        </w:rPr>
        <w:t xml:space="preserve"> element</w:t>
      </w:r>
      <w:r w:rsidRPr="00223414">
        <w:rPr>
          <w:sz w:val="16"/>
        </w:rPr>
        <w:t xml:space="preserve">. Twelve years later, </w:t>
      </w:r>
      <w:r w:rsidRPr="00DD2D90">
        <w:rPr>
          <w:rStyle w:val="StyleUnderline"/>
        </w:rPr>
        <w:t xml:space="preserve">Cooper (1993) examines </w:t>
      </w:r>
      <w:r w:rsidRPr="00223414">
        <w:rPr>
          <w:sz w:val="16"/>
        </w:rPr>
        <w:t xml:space="preserve">health inequalities </w:t>
      </w:r>
      <w:r w:rsidRPr="00DD2D90">
        <w:rPr>
          <w:rStyle w:val="Emphasis"/>
          <w:b w:val="0"/>
          <w:bCs/>
        </w:rPr>
        <w:t xml:space="preserve">between Black and white Americans arguing that racism </w:t>
      </w:r>
      <w:r w:rsidRPr="00DD2D90">
        <w:rPr>
          <w:rStyle w:val="Emphasis"/>
          <w:b w:val="0"/>
          <w:bCs/>
          <w:highlight w:val="green"/>
        </w:rPr>
        <w:t>within the economic structure</w:t>
      </w:r>
      <w:r w:rsidRPr="00DD2D90">
        <w:rPr>
          <w:rStyle w:val="Emphasis"/>
        </w:rPr>
        <w:t xml:space="preserve"> </w:t>
      </w:r>
      <w:r w:rsidRPr="00223414">
        <w:rPr>
          <w:sz w:val="16"/>
        </w:rPr>
        <w:t xml:space="preserve">of the 1970–1980s solidified the exploitative </w:t>
      </w:r>
      <w:r w:rsidRPr="00DD2D90">
        <w:rPr>
          <w:rStyle w:val="Emphasis"/>
          <w:b w:val="0"/>
          <w:bCs/>
        </w:rPr>
        <w:t xml:space="preserve">nature of capitalism </w:t>
      </w:r>
      <w:r w:rsidRPr="00DD2D90">
        <w:rPr>
          <w:rStyle w:val="Emphasis"/>
          <w:b w:val="0"/>
          <w:bCs/>
          <w:highlight w:val="green"/>
        </w:rPr>
        <w:t>leading to poorer health</w:t>
      </w:r>
      <w:r w:rsidRPr="00DD2D90">
        <w:rPr>
          <w:rStyle w:val="Emphasis"/>
          <w:b w:val="0"/>
          <w:bCs/>
        </w:rPr>
        <w:t xml:space="preserve"> </w:t>
      </w:r>
      <w:r w:rsidRPr="00DD2D90">
        <w:rPr>
          <w:rStyle w:val="Emphasis"/>
          <w:b w:val="0"/>
          <w:bCs/>
          <w:highlight w:val="green"/>
        </w:rPr>
        <w:t>status</w:t>
      </w:r>
      <w:r w:rsidRPr="00DD2D90">
        <w:rPr>
          <w:rStyle w:val="Emphasis"/>
          <w:b w:val="0"/>
          <w:bCs/>
        </w:rPr>
        <w:t xml:space="preserve"> </w:t>
      </w:r>
      <w:r w:rsidRPr="00DD2D90">
        <w:rPr>
          <w:rStyle w:val="Emphasis"/>
          <w:b w:val="0"/>
          <w:bCs/>
          <w:highlight w:val="green"/>
        </w:rPr>
        <w:t>and higher mortality for the Black population</w:t>
      </w:r>
      <w:r w:rsidRPr="00223414">
        <w:rPr>
          <w:sz w:val="16"/>
        </w:rPr>
        <w:t xml:space="preserve">. </w:t>
      </w:r>
      <w:r w:rsidRPr="00DD2D90">
        <w:rPr>
          <w:rStyle w:val="StyleUnderline"/>
        </w:rPr>
        <w:t>Singer</w:t>
      </w:r>
      <w:r w:rsidRPr="00223414">
        <w:rPr>
          <w:sz w:val="16"/>
        </w:rPr>
        <w:t xml:space="preserve"> (1990) suggests that medical anthropologists</w:t>
      </w:r>
      <w:r w:rsidRPr="00DD2D90">
        <w:rPr>
          <w:rStyle w:val="Emphasis"/>
        </w:rPr>
        <w:t xml:space="preserve"> </w:t>
      </w:r>
      <w:r w:rsidRPr="00DD2D90">
        <w:rPr>
          <w:rStyle w:val="Emphasis"/>
          <w:b w:val="0"/>
          <w:bCs/>
        </w:rPr>
        <w:t xml:space="preserve">draw upon </w:t>
      </w:r>
      <w:r w:rsidRPr="00DD2D90">
        <w:rPr>
          <w:rStyle w:val="Emphasis"/>
          <w:b w:val="0"/>
          <w:bCs/>
          <w:highlight w:val="green"/>
        </w:rPr>
        <w:t>Engels’ account of living and working conditions</w:t>
      </w:r>
      <w:r w:rsidRPr="00DD2D90">
        <w:rPr>
          <w:rStyle w:val="Emphasis"/>
          <w:b w:val="0"/>
          <w:bCs/>
        </w:rPr>
        <w:t xml:space="preserve"> resulting </w:t>
      </w:r>
      <w:r w:rsidRPr="00DD2D90">
        <w:rPr>
          <w:rStyle w:val="Emphasis"/>
          <w:b w:val="0"/>
          <w:bCs/>
          <w:highlight w:val="green"/>
        </w:rPr>
        <w:t>in social murder</w:t>
      </w:r>
      <w:r w:rsidRPr="00DD2D90">
        <w:rPr>
          <w:rStyle w:val="Emphasis"/>
        </w:rPr>
        <w:t xml:space="preserve"> </w:t>
      </w:r>
      <w:r w:rsidRPr="00223414">
        <w:rPr>
          <w:sz w:val="16"/>
        </w:rPr>
        <w:t>to identify micro-</w:t>
      </w:r>
      <w:r w:rsidRPr="00DD2D90">
        <w:rPr>
          <w:rStyle w:val="Emphasis"/>
        </w:rPr>
        <w:t xml:space="preserve"> </w:t>
      </w:r>
      <w:r w:rsidRPr="00223414">
        <w:rPr>
          <w:sz w:val="16"/>
        </w:rPr>
        <w:t xml:space="preserve">and macro-level processes that </w:t>
      </w:r>
      <w:r w:rsidRPr="00DD2D90">
        <w:rPr>
          <w:rStyle w:val="Emphasis"/>
          <w:b w:val="0"/>
          <w:bCs/>
          <w:highlight w:val="green"/>
        </w:rPr>
        <w:t>lead to</w:t>
      </w:r>
      <w:r w:rsidRPr="00DD2D90">
        <w:rPr>
          <w:rStyle w:val="Emphasis"/>
          <w:b w:val="0"/>
          <w:bCs/>
        </w:rPr>
        <w:t xml:space="preserve"> health inequalities</w:t>
      </w:r>
      <w:r w:rsidRPr="00223414">
        <w:rPr>
          <w:sz w:val="16"/>
        </w:rPr>
        <w:t xml:space="preserve">. Wojnarowicz and Guattari (1990) highlight how </w:t>
      </w:r>
      <w:r w:rsidRPr="00DD2D90">
        <w:rPr>
          <w:rStyle w:val="Emphasis"/>
          <w:b w:val="0"/>
          <w:bCs/>
          <w:highlight w:val="green"/>
        </w:rPr>
        <w:t>unjust treatment and exclusion of HIV/AIDS-positive individuals</w:t>
      </w:r>
      <w:r w:rsidRPr="00223414">
        <w:rPr>
          <w:sz w:val="16"/>
        </w:rPr>
        <w:t xml:space="preserve"> </w:t>
      </w:r>
      <w:r w:rsidRPr="00DD2D90">
        <w:rPr>
          <w:rStyle w:val="StyleUnderline"/>
        </w:rPr>
        <w:t>by the medical industry causes social murder which is legitimized by politicians</w:t>
      </w:r>
      <w:r w:rsidRPr="00223414">
        <w:rPr>
          <w:sz w:val="16"/>
        </w:rPr>
        <w:t xml:space="preserve">, the medical complex, and religious organizations. Scott-Samuel (1995) reviews eight selected writings, which by exemplifying the exploitative nature of capitalist relationships, help explain the sources of health inequalities. Birn (2009) sees </w:t>
      </w:r>
      <w:r w:rsidRPr="00DD2D90">
        <w:rPr>
          <w:rStyle w:val="StyleUnderline"/>
        </w:rPr>
        <w:t xml:space="preserve">the </w:t>
      </w:r>
      <w:r w:rsidRPr="00DD2D90">
        <w:rPr>
          <w:rStyle w:val="Emphasis"/>
          <w:b w:val="0"/>
          <w:bCs/>
          <w:highlight w:val="green"/>
        </w:rPr>
        <w:t>W</w:t>
      </w:r>
      <w:r w:rsidRPr="00DD2D90">
        <w:rPr>
          <w:rStyle w:val="Emphasis"/>
          <w:b w:val="0"/>
          <w:bCs/>
        </w:rPr>
        <w:t xml:space="preserve">orld </w:t>
      </w:r>
      <w:r w:rsidRPr="00DD2D90">
        <w:rPr>
          <w:rStyle w:val="Emphasis"/>
          <w:b w:val="0"/>
          <w:bCs/>
          <w:highlight w:val="green"/>
        </w:rPr>
        <w:t>H</w:t>
      </w:r>
      <w:r w:rsidRPr="00DD2D90">
        <w:rPr>
          <w:rStyle w:val="Emphasis"/>
          <w:b w:val="0"/>
          <w:bCs/>
        </w:rPr>
        <w:t xml:space="preserve">ealth </w:t>
      </w:r>
      <w:r w:rsidRPr="00DD2D90">
        <w:rPr>
          <w:rStyle w:val="Emphasis"/>
          <w:b w:val="0"/>
          <w:bCs/>
          <w:highlight w:val="green"/>
        </w:rPr>
        <w:t>O</w:t>
      </w:r>
      <w:r w:rsidRPr="00DD2D90">
        <w:rPr>
          <w:rStyle w:val="Emphasis"/>
          <w:b w:val="0"/>
          <w:bCs/>
        </w:rPr>
        <w:t xml:space="preserve">rganization’s Closing the Gap in a Generation </w:t>
      </w:r>
      <w:r w:rsidRPr="00DD2D90">
        <w:rPr>
          <w:rStyle w:val="Emphasis"/>
          <w:b w:val="0"/>
          <w:bCs/>
          <w:highlight w:val="green"/>
        </w:rPr>
        <w:t>report</w:t>
      </w:r>
      <w:r w:rsidRPr="00DD2D90">
        <w:rPr>
          <w:rStyle w:val="Emphasis"/>
        </w:rPr>
        <w:t xml:space="preserve"> </w:t>
      </w:r>
      <w:r w:rsidRPr="00223414">
        <w:rPr>
          <w:sz w:val="16"/>
        </w:rPr>
        <w:t xml:space="preserve">as </w:t>
      </w:r>
      <w:r w:rsidRPr="00DD2D90">
        <w:rPr>
          <w:rStyle w:val="Emphasis"/>
          <w:b w:val="0"/>
          <w:bCs/>
        </w:rPr>
        <w:t xml:space="preserve">apolitical and </w:t>
      </w:r>
      <w:r w:rsidRPr="00DD2D90">
        <w:rPr>
          <w:rStyle w:val="Emphasis"/>
          <w:b w:val="0"/>
          <w:bCs/>
          <w:highlight w:val="green"/>
        </w:rPr>
        <w:t>directs attention to the works of Engels</w:t>
      </w:r>
      <w:r w:rsidRPr="00DD2D90">
        <w:rPr>
          <w:rStyle w:val="Emphasis"/>
          <w:b w:val="0"/>
          <w:bCs/>
        </w:rPr>
        <w:t>, Virchow and Chadwick</w:t>
      </w:r>
      <w:r w:rsidRPr="00223414">
        <w:rPr>
          <w:sz w:val="16"/>
        </w:rPr>
        <w:t xml:space="preserve"> and </w:t>
      </w:r>
      <w:r w:rsidRPr="00DD2D90">
        <w:rPr>
          <w:rStyle w:val="StyleUnderline"/>
        </w:rPr>
        <w:t>the beliefs and ideologies shaping their proposed solutions</w:t>
      </w:r>
      <w:r w:rsidRPr="00223414">
        <w:rPr>
          <w:sz w:val="16"/>
        </w:rPr>
        <w:t xml:space="preserve">. Tootle, Ziegler and Singer (2015) call for making explicit the politics behind approaches in drug treatment interventions. The authors see the rich and powerful </w:t>
      </w:r>
      <w:r w:rsidRPr="00DD2D90">
        <w:rPr>
          <w:rStyle w:val="Emphasis"/>
          <w:b w:val="0"/>
          <w:bCs/>
          <w:highlight w:val="green"/>
        </w:rPr>
        <w:t xml:space="preserve">committing </w:t>
      </w:r>
      <w:r w:rsidRPr="00DD2D90">
        <w:rPr>
          <w:rStyle w:val="Emphasis"/>
          <w:highlight w:val="green"/>
        </w:rPr>
        <w:t xml:space="preserve">social murder </w:t>
      </w:r>
      <w:r w:rsidRPr="00DD2D90">
        <w:rPr>
          <w:rStyle w:val="StyleUnderline"/>
        </w:rPr>
        <w:t>by legitimizing a legal system</w:t>
      </w:r>
      <w:r w:rsidRPr="00DD2D90">
        <w:rPr>
          <w:rStyle w:val="Emphasis"/>
        </w:rPr>
        <w:t xml:space="preserve"> </w:t>
      </w:r>
      <w:r w:rsidRPr="00DD2D90">
        <w:rPr>
          <w:rStyle w:val="Emphasis"/>
          <w:b w:val="0"/>
          <w:bCs/>
          <w:highlight w:val="green"/>
        </w:rPr>
        <w:t>that punishes drug</w:t>
      </w:r>
      <w:r w:rsidRPr="00DD2D90">
        <w:rPr>
          <w:rStyle w:val="Emphasis"/>
          <w:b w:val="0"/>
          <w:bCs/>
        </w:rPr>
        <w:t xml:space="preserve"> </w:t>
      </w:r>
      <w:r w:rsidRPr="00DD2D90">
        <w:rPr>
          <w:rStyle w:val="Emphasis"/>
          <w:b w:val="0"/>
          <w:bCs/>
          <w:highlight w:val="green"/>
        </w:rPr>
        <w:t>users</w:t>
      </w:r>
      <w:r w:rsidRPr="00DD2D90">
        <w:rPr>
          <w:rStyle w:val="Emphasis"/>
        </w:rPr>
        <w:t xml:space="preserve">. </w:t>
      </w:r>
      <w:r w:rsidRPr="00223414">
        <w:rPr>
          <w:sz w:val="16"/>
        </w:rPr>
        <w:t xml:space="preserve">Most recently, Eisenberg-Guyot and Prins (2020), Borras (2020), Riley (2020) and Kipp and Kretz (2021) saw health inequalities growing under capitalism. Eisenberg-Guyot and Prins (2020) look at temporal trends in self-rated health and mortality rates in the USA and how the relationship between class and mortality varies by race. Borras (2020) calls for an intersectional approach to address health inequities, seeing social murder as a consequence of economic distributions that adversely shape working and living conditions for the working class. Riley (2020) and Kipp and Kretz (2021) examine health inequalities under capitalism in relation to the current COVID-19 pandemic. </w:t>
      </w:r>
      <w:r w:rsidRPr="00DD2D90">
        <w:rPr>
          <w:rStyle w:val="Emphasis"/>
          <w:b w:val="0"/>
          <w:bCs/>
        </w:rPr>
        <w:t>Riley discusses the work of Engels, Virchow and Marmot in relation to COVID-19 deaths and socioeconomic deprivation</w:t>
      </w:r>
      <w:r w:rsidRPr="00223414">
        <w:rPr>
          <w:sz w:val="16"/>
        </w:rPr>
        <w:t xml:space="preserve">. Riley (2020) </w:t>
      </w:r>
      <w:r w:rsidRPr="00DD2D90">
        <w:rPr>
          <w:rStyle w:val="StyleUnderline"/>
        </w:rPr>
        <w:t>concludes that “the poorest in society have died disproportionately of COVID-19</w:t>
      </w:r>
      <w:r w:rsidRPr="00223414">
        <w:rPr>
          <w:sz w:val="16"/>
        </w:rPr>
        <w:t xml:space="preserve">, suggesting that </w:t>
      </w:r>
      <w:r w:rsidRPr="00DD2D90">
        <w:rPr>
          <w:rStyle w:val="Emphasis"/>
          <w:b w:val="0"/>
          <w:bCs/>
        </w:rPr>
        <w:t>the social murder observed by Engels in 1845 is still going on today</w:t>
      </w:r>
      <w:r w:rsidRPr="00223414">
        <w:rPr>
          <w:sz w:val="16"/>
        </w:rPr>
        <w:t xml:space="preserve">” (p. 1). Kretz is a visual artist who designed face masks with “social murder” to </w:t>
      </w:r>
      <w:r w:rsidRPr="00DD2D90">
        <w:rPr>
          <w:rStyle w:val="Emphasis"/>
          <w:b w:val="0"/>
          <w:bCs/>
        </w:rPr>
        <w:t>portray how the bourgeoisie risk the lives of working-class frontline workers while they enjoy life as usual</w:t>
      </w:r>
      <w:r w:rsidRPr="00DD2D90">
        <w:rPr>
          <w:rStyle w:val="Emphasis"/>
        </w:rPr>
        <w:t>.</w:t>
      </w:r>
    </w:p>
    <w:p w14:paraId="206740AC" w14:textId="77777777" w:rsidR="0059489F" w:rsidRPr="00223414" w:rsidRDefault="0059489F" w:rsidP="0059489F">
      <w:pPr>
        <w:rPr>
          <w:sz w:val="16"/>
        </w:rPr>
      </w:pPr>
    </w:p>
    <w:p w14:paraId="239E784C" w14:textId="77777777" w:rsidR="00893021" w:rsidRPr="00223414" w:rsidRDefault="00893021" w:rsidP="00893021">
      <w:pPr>
        <w:rPr>
          <w:sz w:val="16"/>
        </w:rPr>
      </w:pPr>
    </w:p>
    <w:p w14:paraId="1DB61C4B" w14:textId="77777777" w:rsidR="00FA1D49" w:rsidRPr="00223414" w:rsidRDefault="00FA1D49">
      <w:pPr>
        <w:rPr>
          <w:rFonts w:eastAsiaTheme="majorEastAsia" w:cstheme="majorBidi"/>
          <w:b/>
          <w:iCs/>
          <w:sz w:val="16"/>
        </w:rPr>
      </w:pPr>
      <w:r w:rsidRPr="00223414">
        <w:rPr>
          <w:sz w:val="16"/>
        </w:rPr>
        <w:br w:type="page"/>
      </w:r>
    </w:p>
    <w:p w14:paraId="03E3F03D" w14:textId="77B60A4D" w:rsidR="00893021" w:rsidRPr="00223414" w:rsidRDefault="00AA30B8" w:rsidP="00893021">
      <w:pPr>
        <w:pStyle w:val="Heading4"/>
        <w:rPr>
          <w:szCs w:val="26"/>
        </w:rPr>
      </w:pPr>
      <w:r w:rsidRPr="00223414">
        <w:rPr>
          <w:szCs w:val="26"/>
        </w:rPr>
        <w:t>Commodification short-circuits the moral purpose of healthcare</w:t>
      </w:r>
    </w:p>
    <w:p w14:paraId="5A83FAF9" w14:textId="19CE7B04" w:rsidR="00893021" w:rsidRPr="00DD2D90" w:rsidRDefault="00902936" w:rsidP="00893021">
      <w:r w:rsidRPr="00223414">
        <w:rPr>
          <w:b/>
          <w:bCs/>
          <w:sz w:val="26"/>
          <w:szCs w:val="26"/>
        </w:rPr>
        <w:t>Praill 25</w:t>
      </w:r>
      <w:r w:rsidRPr="00DD2D90">
        <w:t xml:space="preserve"> [</w:t>
      </w:r>
      <w:r w:rsidR="00893021" w:rsidRPr="00DD2D90">
        <w:t xml:space="preserve">David Praill, </w:t>
      </w:r>
      <w:r w:rsidR="008F6E15" w:rsidRPr="00DD2D90">
        <w:t xml:space="preserve">UK-trained Consultant in Palliative Medicine at Burjeel Medical City, </w:t>
      </w:r>
      <w:r w:rsidR="00893021" w:rsidRPr="00DD2D90">
        <w:t xml:space="preserve">12-1-2025, "Health Care Should Not Be a Commodity: Reclaiming the Moral Purpose of Medicine", </w:t>
      </w:r>
      <w:r w:rsidR="008F6E15" w:rsidRPr="00DD2D90">
        <w:t>eHospice</w:t>
      </w:r>
      <w:r w:rsidR="00893021" w:rsidRPr="00DD2D90">
        <w:t>, https://ehospice.com/editorial_posts/health-care-should-not-be-a-commodity-reclaiming-the-moral-purpose-of-medicine-dr-neil-nijhawan/</w:t>
      </w:r>
      <w:r w:rsidR="00E06C55" w:rsidRPr="00DD2D90">
        <w:t>]/Kankee</w:t>
      </w:r>
    </w:p>
    <w:p w14:paraId="143FFFBF" w14:textId="77777777" w:rsidR="00893021" w:rsidRPr="00223414" w:rsidRDefault="00893021" w:rsidP="00893021">
      <w:pPr>
        <w:rPr>
          <w:sz w:val="16"/>
        </w:rPr>
      </w:pPr>
      <w:r w:rsidRPr="00223414">
        <w:rPr>
          <w:sz w:val="16"/>
        </w:rPr>
        <w:t xml:space="preserve">Introduction </w:t>
      </w:r>
      <w:r w:rsidRPr="00DD2D90">
        <w:rPr>
          <w:rStyle w:val="StyleUnderline"/>
          <w:highlight w:val="green"/>
        </w:rPr>
        <w:t>Health care</w:t>
      </w:r>
      <w:r w:rsidRPr="00DD2D90">
        <w:rPr>
          <w:rStyle w:val="StyleUnderline"/>
        </w:rPr>
        <w:t xml:space="preserve"> has </w:t>
      </w:r>
      <w:r w:rsidRPr="00DD2D90">
        <w:rPr>
          <w:rStyle w:val="Emphasis"/>
        </w:rPr>
        <w:t>never</w:t>
      </w:r>
      <w:r w:rsidRPr="00DD2D90">
        <w:rPr>
          <w:rStyle w:val="StyleUnderline"/>
        </w:rPr>
        <w:t xml:space="preserve"> been simply an economic transaction</w:t>
      </w:r>
      <w:r w:rsidRPr="00223414">
        <w:rPr>
          <w:sz w:val="16"/>
        </w:rPr>
        <w:t xml:space="preserve">. Rather, it </w:t>
      </w:r>
      <w:r w:rsidRPr="00DD2D90">
        <w:rPr>
          <w:rStyle w:val="StyleUnderline"/>
          <w:highlight w:val="green"/>
        </w:rPr>
        <w:t xml:space="preserve">is a moral undertaking dedicated to </w:t>
      </w:r>
      <w:r w:rsidRPr="00DD2D90">
        <w:rPr>
          <w:rStyle w:val="StyleUnderline"/>
        </w:rPr>
        <w:t xml:space="preserve">relieving suffering, </w:t>
      </w:r>
      <w:r w:rsidRPr="00DD2D90">
        <w:rPr>
          <w:rStyle w:val="StyleUnderline"/>
          <w:highlight w:val="green"/>
        </w:rPr>
        <w:t xml:space="preserve">affirming </w:t>
      </w:r>
      <w:r w:rsidRPr="00DD2D90">
        <w:rPr>
          <w:rStyle w:val="Emphasis"/>
          <w:highlight w:val="green"/>
        </w:rPr>
        <w:t>dignity</w:t>
      </w:r>
      <w:r w:rsidRPr="00DD2D90">
        <w:rPr>
          <w:rStyle w:val="StyleUnderline"/>
        </w:rPr>
        <w:t xml:space="preserve">, </w:t>
      </w:r>
      <w:r w:rsidRPr="00DD2D90">
        <w:rPr>
          <w:rStyle w:val="StyleUnderline"/>
          <w:highlight w:val="green"/>
        </w:rPr>
        <w:t>and preserving life</w:t>
      </w:r>
      <w:r w:rsidRPr="00223414">
        <w:rPr>
          <w:sz w:val="16"/>
        </w:rPr>
        <w:t xml:space="preserve">. </w:t>
      </w:r>
      <w:r w:rsidRPr="00DD2D90">
        <w:rPr>
          <w:rStyle w:val="StyleUnderline"/>
        </w:rPr>
        <w:t>Yet</w:t>
      </w:r>
      <w:r w:rsidRPr="00223414">
        <w:rPr>
          <w:sz w:val="16"/>
        </w:rPr>
        <w:t xml:space="preserve"> in the twenty-first century, health systems around the world increasingly operate according to </w:t>
      </w:r>
      <w:r w:rsidRPr="00DD2D90">
        <w:rPr>
          <w:rStyle w:val="StyleUnderline"/>
        </w:rPr>
        <w:t>market logic</w:t>
      </w:r>
      <w:r w:rsidRPr="00223414">
        <w:rPr>
          <w:sz w:val="16"/>
        </w:rPr>
        <w:t xml:space="preserve">. </w:t>
      </w:r>
      <w:r w:rsidRPr="00DD2D90">
        <w:rPr>
          <w:rStyle w:val="StyleUnderline"/>
        </w:rPr>
        <w:t>Patients are reframed as consumers, clinicians as service providers, and hospitals as profit centres</w:t>
      </w:r>
      <w:r w:rsidRPr="00223414">
        <w:rPr>
          <w:sz w:val="16"/>
        </w:rPr>
        <w:t xml:space="preserve">. This trend — the </w:t>
      </w:r>
      <w:r w:rsidRPr="00DD2D90">
        <w:rPr>
          <w:rStyle w:val="StyleUnderline"/>
          <w:highlight w:val="green"/>
        </w:rPr>
        <w:t>commodification</w:t>
      </w:r>
      <w:r w:rsidRPr="00DD2D90">
        <w:rPr>
          <w:rStyle w:val="StyleUnderline"/>
        </w:rPr>
        <w:t xml:space="preserve"> of health care</w:t>
      </w:r>
      <w:r w:rsidRPr="00223414">
        <w:rPr>
          <w:sz w:val="16"/>
        </w:rPr>
        <w:t xml:space="preserve"> — </w:t>
      </w:r>
      <w:r w:rsidRPr="00DD2D90">
        <w:rPr>
          <w:rStyle w:val="StyleUnderline"/>
          <w:highlight w:val="green"/>
        </w:rPr>
        <w:t xml:space="preserve">threatens the </w:t>
      </w:r>
      <w:r w:rsidRPr="00DD2D90">
        <w:rPr>
          <w:rStyle w:val="Emphasis"/>
          <w:highlight w:val="green"/>
        </w:rPr>
        <w:t>ethical foundations</w:t>
      </w:r>
      <w:r w:rsidRPr="00223414">
        <w:rPr>
          <w:sz w:val="16"/>
        </w:rPr>
        <w:t xml:space="preserve"> </w:t>
      </w:r>
      <w:r w:rsidRPr="00DD2D90">
        <w:rPr>
          <w:rStyle w:val="StyleUnderline"/>
        </w:rPr>
        <w:t>that</w:t>
      </w:r>
      <w:r w:rsidRPr="00223414">
        <w:rPr>
          <w:sz w:val="16"/>
        </w:rPr>
        <w:t xml:space="preserve"> historically </w:t>
      </w:r>
      <w:r w:rsidRPr="00DD2D90">
        <w:rPr>
          <w:rStyle w:val="StyleUnderline"/>
        </w:rPr>
        <w:t>distinguished medicine</w:t>
      </w:r>
      <w:r w:rsidRPr="00223414">
        <w:rPr>
          <w:sz w:val="16"/>
        </w:rPr>
        <w:t xml:space="preserve"> from </w:t>
      </w:r>
      <w:r w:rsidRPr="00DD2D90">
        <w:rPr>
          <w:rStyle w:val="StyleUnderline"/>
        </w:rPr>
        <w:t>commercial enterprise</w:t>
      </w:r>
      <w:r w:rsidRPr="00223414">
        <w:rPr>
          <w:sz w:val="16"/>
        </w:rPr>
        <w:t>. This paper argues that health care should not be treated as</w:t>
      </w:r>
      <w:r w:rsidRPr="00DD2D90">
        <w:rPr>
          <w:rStyle w:val="StyleUnderline"/>
        </w:rPr>
        <w:t xml:space="preserve"> a commodity,</w:t>
      </w:r>
      <w:r w:rsidRPr="00223414">
        <w:rPr>
          <w:sz w:val="16"/>
        </w:rPr>
        <w:t xml:space="preserve"> because doing so </w:t>
      </w:r>
      <w:r w:rsidRPr="00DD2D90">
        <w:rPr>
          <w:rStyle w:val="StyleUnderline"/>
        </w:rPr>
        <w:t xml:space="preserve">undermines </w:t>
      </w:r>
      <w:r w:rsidRPr="00DD2D90">
        <w:rPr>
          <w:rStyle w:val="StyleUnderline"/>
          <w:highlight w:val="green"/>
        </w:rPr>
        <w:t>equity</w:t>
      </w:r>
      <w:r w:rsidRPr="00DD2D90">
        <w:rPr>
          <w:rStyle w:val="StyleUnderline"/>
        </w:rPr>
        <w:t xml:space="preserve">, </w:t>
      </w:r>
      <w:r w:rsidRPr="00DD2D90">
        <w:rPr>
          <w:rStyle w:val="StyleUnderline"/>
          <w:highlight w:val="green"/>
        </w:rPr>
        <w:t>solidarity</w:t>
      </w:r>
      <w:r w:rsidRPr="00DD2D90">
        <w:rPr>
          <w:rStyle w:val="StyleUnderline"/>
        </w:rPr>
        <w:t xml:space="preserve">, </w:t>
      </w:r>
      <w:r w:rsidRPr="00DD2D90">
        <w:rPr>
          <w:rStyle w:val="StyleUnderline"/>
          <w:highlight w:val="green"/>
        </w:rPr>
        <w:t>and</w:t>
      </w:r>
      <w:r w:rsidRPr="00DD2D90">
        <w:rPr>
          <w:rStyle w:val="StyleUnderline"/>
        </w:rPr>
        <w:t xml:space="preserve"> the </w:t>
      </w:r>
      <w:r w:rsidRPr="00DD2D90">
        <w:rPr>
          <w:rStyle w:val="StyleUnderline"/>
          <w:highlight w:val="green"/>
        </w:rPr>
        <w:t>humanistic purpose</w:t>
      </w:r>
      <w:r w:rsidRPr="00223414">
        <w:rPr>
          <w:sz w:val="16"/>
        </w:rPr>
        <w:t xml:space="preserve"> </w:t>
      </w:r>
      <w:r w:rsidRPr="00DD2D90">
        <w:rPr>
          <w:rStyle w:val="StyleUnderline"/>
        </w:rPr>
        <w:t>of healing</w:t>
      </w:r>
      <w:r w:rsidRPr="00223414">
        <w:rPr>
          <w:sz w:val="16"/>
        </w:rPr>
        <w:t xml:space="preserve">. Health Care and the Limits of Market Logic </w:t>
      </w:r>
      <w:r w:rsidRPr="00DD2D90">
        <w:rPr>
          <w:rStyle w:val="StyleUnderline"/>
        </w:rPr>
        <w:t>In classical economics</w:t>
      </w:r>
      <w:r w:rsidRPr="00223414">
        <w:rPr>
          <w:sz w:val="16"/>
        </w:rPr>
        <w:t xml:space="preserve">, </w:t>
      </w:r>
      <w:r w:rsidRPr="00DD2D90">
        <w:rPr>
          <w:rStyle w:val="StyleUnderline"/>
        </w:rPr>
        <w:t>commodities</w:t>
      </w:r>
      <w:r w:rsidRPr="00223414">
        <w:rPr>
          <w:sz w:val="16"/>
        </w:rPr>
        <w:t xml:space="preserve"> are goods or services traded according to supply and demand. Their </w:t>
      </w:r>
      <w:r w:rsidRPr="00DD2D90">
        <w:rPr>
          <w:rStyle w:val="StyleUnderline"/>
        </w:rPr>
        <w:t>value is</w:t>
      </w:r>
      <w:r w:rsidRPr="00223414">
        <w:rPr>
          <w:sz w:val="16"/>
        </w:rPr>
        <w:t xml:space="preserve"> </w:t>
      </w:r>
      <w:r w:rsidRPr="00DD2D90">
        <w:rPr>
          <w:rStyle w:val="StyleUnderline"/>
        </w:rPr>
        <w:t>determined by</w:t>
      </w:r>
      <w:r w:rsidRPr="00223414">
        <w:rPr>
          <w:sz w:val="16"/>
        </w:rPr>
        <w:t xml:space="preserve"> scarcity, cost, and </w:t>
      </w:r>
      <w:r w:rsidRPr="00DD2D90">
        <w:rPr>
          <w:rStyle w:val="StyleUnderline"/>
        </w:rPr>
        <w:t>willingness to pay — not by intrinsic moral significance</w:t>
      </w:r>
      <w:r w:rsidRPr="00223414">
        <w:rPr>
          <w:sz w:val="16"/>
        </w:rPr>
        <w:t xml:space="preserve">. </w:t>
      </w:r>
      <w:r w:rsidRPr="00DD2D90">
        <w:rPr>
          <w:rStyle w:val="StyleUnderline"/>
          <w:highlight w:val="green"/>
        </w:rPr>
        <w:t>Health care</w:t>
      </w:r>
      <w:r w:rsidRPr="00223414">
        <w:rPr>
          <w:sz w:val="16"/>
        </w:rPr>
        <w:t xml:space="preserve">, by contrast, </w:t>
      </w:r>
      <w:r w:rsidRPr="00DD2D90">
        <w:rPr>
          <w:rStyle w:val="StyleUnderline"/>
        </w:rPr>
        <w:t xml:space="preserve">is </w:t>
      </w:r>
      <w:r w:rsidRPr="00DD2D90">
        <w:rPr>
          <w:rStyle w:val="Emphasis"/>
        </w:rPr>
        <w:t>not</w:t>
      </w:r>
      <w:r w:rsidRPr="00223414">
        <w:rPr>
          <w:sz w:val="16"/>
        </w:rPr>
        <w:t xml:space="preserve"> an </w:t>
      </w:r>
      <w:r w:rsidRPr="00DD2D90">
        <w:rPr>
          <w:rStyle w:val="Emphasis"/>
        </w:rPr>
        <w:t>optional</w:t>
      </w:r>
      <w:r w:rsidRPr="00223414">
        <w:rPr>
          <w:sz w:val="16"/>
        </w:rPr>
        <w:t xml:space="preserve"> consumer product</w:t>
      </w:r>
      <w:r w:rsidRPr="00DD2D90">
        <w:rPr>
          <w:rStyle w:val="StyleUnderline"/>
        </w:rPr>
        <w:t xml:space="preserve">: it </w:t>
      </w:r>
      <w:r w:rsidRPr="00DD2D90">
        <w:rPr>
          <w:rStyle w:val="StyleUnderline"/>
          <w:highlight w:val="green"/>
        </w:rPr>
        <w:t>is a social necessity and a human right</w:t>
      </w:r>
      <w:r w:rsidRPr="00DD2D90">
        <w:rPr>
          <w:rStyle w:val="StyleUnderline"/>
        </w:rPr>
        <w:t xml:space="preserve">, </w:t>
      </w:r>
      <w:r w:rsidRPr="00DD2D90">
        <w:rPr>
          <w:rStyle w:val="Emphasis"/>
          <w:highlight w:val="green"/>
        </w:rPr>
        <w:t>integral</w:t>
      </w:r>
      <w:r w:rsidRPr="00DD2D90">
        <w:rPr>
          <w:rStyle w:val="StyleUnderline"/>
          <w:highlight w:val="green"/>
        </w:rPr>
        <w:t xml:space="preserve"> to</w:t>
      </w:r>
      <w:r w:rsidRPr="00DD2D90">
        <w:rPr>
          <w:rStyle w:val="StyleUnderline"/>
        </w:rPr>
        <w:t xml:space="preserve"> the protection of </w:t>
      </w:r>
      <w:r w:rsidRPr="00DD2D90">
        <w:rPr>
          <w:rStyle w:val="StyleUnderline"/>
          <w:highlight w:val="green"/>
        </w:rPr>
        <w:t>life</w:t>
      </w:r>
      <w:r w:rsidRPr="00DD2D90">
        <w:rPr>
          <w:rStyle w:val="StyleUnderline"/>
        </w:rPr>
        <w:t xml:space="preserve"> and wellbeing</w:t>
      </w:r>
      <w:r w:rsidRPr="00223414">
        <w:rPr>
          <w:sz w:val="16"/>
        </w:rPr>
        <w:t xml:space="preserve"> (World Health Organization, 2017). Market logic assumes rational decision-making, competition, and informed choice. </w:t>
      </w:r>
      <w:r w:rsidRPr="00DD2D90">
        <w:rPr>
          <w:rStyle w:val="StyleUnderline"/>
          <w:highlight w:val="green"/>
        </w:rPr>
        <w:t>Illness</w:t>
      </w:r>
      <w:r w:rsidRPr="00223414">
        <w:rPr>
          <w:sz w:val="16"/>
        </w:rPr>
        <w:t xml:space="preserve">, however, </w:t>
      </w:r>
      <w:r w:rsidRPr="00DD2D90">
        <w:rPr>
          <w:rStyle w:val="StyleUnderline"/>
          <w:highlight w:val="green"/>
        </w:rPr>
        <w:t>disrupts rationality</w:t>
      </w:r>
      <w:r w:rsidRPr="00223414">
        <w:rPr>
          <w:sz w:val="16"/>
        </w:rPr>
        <w:t xml:space="preserve">. </w:t>
      </w:r>
      <w:r w:rsidRPr="00DD2D90">
        <w:rPr>
          <w:rStyle w:val="StyleUnderline"/>
          <w:highlight w:val="green"/>
        </w:rPr>
        <w:t>Patients cannot “shop</w:t>
      </w:r>
      <w:r w:rsidRPr="00223414">
        <w:rPr>
          <w:sz w:val="16"/>
          <w:highlight w:val="green"/>
        </w:rPr>
        <w:t xml:space="preserve"> </w:t>
      </w:r>
      <w:r w:rsidRPr="00DD2D90">
        <w:rPr>
          <w:rStyle w:val="StyleUnderline"/>
          <w:highlight w:val="green"/>
        </w:rPr>
        <w:t>around</w:t>
      </w:r>
      <w:r w:rsidRPr="00223414">
        <w:rPr>
          <w:sz w:val="16"/>
        </w:rPr>
        <w:t xml:space="preserve">” in cardiac arrest </w:t>
      </w:r>
      <w:r w:rsidRPr="00DD2D90">
        <w:rPr>
          <w:rStyle w:val="StyleUnderline"/>
        </w:rPr>
        <w:t>or compare prices during chemotherapy</w:t>
      </w:r>
      <w:r w:rsidRPr="00223414">
        <w:rPr>
          <w:sz w:val="16"/>
        </w:rPr>
        <w:t xml:space="preserve">. </w:t>
      </w:r>
      <w:r w:rsidRPr="00DD2D90">
        <w:rPr>
          <w:rStyle w:val="StyleUnderline"/>
          <w:highlight w:val="green"/>
        </w:rPr>
        <w:t>Nor do the most</w:t>
      </w:r>
      <w:r w:rsidRPr="00DD2D90">
        <w:rPr>
          <w:rStyle w:val="StyleUnderline"/>
        </w:rPr>
        <w:t xml:space="preserve"> </w:t>
      </w:r>
      <w:r w:rsidRPr="00DD2D90">
        <w:rPr>
          <w:rStyle w:val="StyleUnderline"/>
          <w:highlight w:val="green"/>
        </w:rPr>
        <w:t>vulnerable</w:t>
      </w:r>
      <w:r w:rsidRPr="00223414">
        <w:rPr>
          <w:sz w:val="16"/>
        </w:rPr>
        <w:t xml:space="preserve"> — the poor, the elderly, the chronically ill — </w:t>
      </w:r>
      <w:r w:rsidRPr="00DD2D90">
        <w:rPr>
          <w:rStyle w:val="StyleUnderline"/>
          <w:highlight w:val="green"/>
        </w:rPr>
        <w:t>behave like traditional consumers</w:t>
      </w:r>
      <w:r w:rsidRPr="00223414">
        <w:rPr>
          <w:sz w:val="16"/>
        </w:rPr>
        <w:t xml:space="preserve">. When health systems adopt a market ethos, </w:t>
      </w:r>
      <w:r w:rsidRPr="00DD2D90">
        <w:rPr>
          <w:rStyle w:val="StyleUnderline"/>
          <w:highlight w:val="green"/>
        </w:rPr>
        <w:t>care risks becoming transactional rather than relational</w:t>
      </w:r>
      <w:r w:rsidRPr="00DD2D90">
        <w:rPr>
          <w:rStyle w:val="StyleUnderline"/>
        </w:rPr>
        <w:t xml:space="preserve">; </w:t>
      </w:r>
      <w:r w:rsidRPr="00DD2D90">
        <w:rPr>
          <w:rStyle w:val="StyleUnderline"/>
          <w:highlight w:val="green"/>
        </w:rPr>
        <w:t>attention shifts from healing to throughput</w:t>
      </w:r>
      <w:r w:rsidRPr="00DD2D90">
        <w:rPr>
          <w:rStyle w:val="StyleUnderline"/>
        </w:rPr>
        <w:t xml:space="preserve">, </w:t>
      </w:r>
      <w:r w:rsidRPr="00DD2D90">
        <w:rPr>
          <w:rStyle w:val="StyleUnderline"/>
          <w:highlight w:val="green"/>
        </w:rPr>
        <w:t>from compassion to cost recovery</w:t>
      </w:r>
      <w:r w:rsidRPr="00223414">
        <w:rPr>
          <w:sz w:val="16"/>
        </w:rPr>
        <w:t xml:space="preserve">. Market forces cannot equitably allocate health care because </w:t>
      </w:r>
      <w:r w:rsidRPr="00DD2D90">
        <w:rPr>
          <w:rStyle w:val="StyleUnderline"/>
        </w:rPr>
        <w:t>illness does not follow economic laws</w:t>
      </w:r>
      <w:r w:rsidRPr="00223414">
        <w:rPr>
          <w:sz w:val="16"/>
        </w:rPr>
        <w:t xml:space="preserve">. Historical Shifts: From Solidarity to Marketisation Historically, health care developed within moral and religious frameworks that emphasised duty, compassion, and collective care. In the Islamic world, bimaristans (ancient precursors to modern hospitals) were endowed through waqf charitable foundations to ensure universal access to treatment, regardless of faith, wealth, or background (Al Khalili, 2019). Similarly, early European hospitals were civic and religious institutions motivated by charity rather than profit. The industrial revolution brought professionalisation, urbanisation, and insurance models that gradually shifted health care into the economic sphere. The later twentieth century, particularly under neoliberal reforms, saw accelerating privatisation and the rise of corporate health systems. </w:t>
      </w:r>
      <w:r w:rsidRPr="00DD2D90">
        <w:rPr>
          <w:rStyle w:val="StyleUnderline"/>
        </w:rPr>
        <w:t xml:space="preserve">The </w:t>
      </w:r>
      <w:r w:rsidRPr="00DD2D90">
        <w:rPr>
          <w:rStyle w:val="StyleUnderline"/>
          <w:highlight w:val="green"/>
        </w:rPr>
        <w:t>language</w:t>
      </w:r>
      <w:r w:rsidRPr="00DD2D90">
        <w:rPr>
          <w:rStyle w:val="StyleUnderline"/>
        </w:rPr>
        <w:t xml:space="preserve"> of care </w:t>
      </w:r>
      <w:r w:rsidRPr="00DD2D90">
        <w:rPr>
          <w:rStyle w:val="StyleUnderline"/>
          <w:highlight w:val="green"/>
        </w:rPr>
        <w:t>became</w:t>
      </w:r>
      <w:r w:rsidRPr="00DD2D90">
        <w:rPr>
          <w:rStyle w:val="StyleUnderline"/>
        </w:rPr>
        <w:t xml:space="preserve"> increasingly </w:t>
      </w:r>
      <w:r w:rsidRPr="00DD2D90">
        <w:rPr>
          <w:rStyle w:val="StyleUnderline"/>
          <w:highlight w:val="green"/>
        </w:rPr>
        <w:t>financial</w:t>
      </w:r>
      <w:r w:rsidRPr="00DD2D90">
        <w:rPr>
          <w:rStyle w:val="StyleUnderline"/>
        </w:rPr>
        <w:t xml:space="preserve"> — efficiency, productivity, and return on investment — </w:t>
      </w:r>
      <w:r w:rsidRPr="00DD2D90">
        <w:rPr>
          <w:rStyle w:val="StyleUnderline"/>
          <w:highlight w:val="green"/>
        </w:rPr>
        <w:t>diluting</w:t>
      </w:r>
      <w:r w:rsidRPr="00DD2D90">
        <w:rPr>
          <w:rStyle w:val="StyleUnderline"/>
        </w:rPr>
        <w:t xml:space="preserve"> </w:t>
      </w:r>
      <w:r w:rsidRPr="00DD2D90">
        <w:rPr>
          <w:rStyle w:val="StyleUnderline"/>
          <w:highlight w:val="green"/>
        </w:rPr>
        <w:t>the moral vocabulary</w:t>
      </w:r>
      <w:r w:rsidRPr="00DD2D90">
        <w:rPr>
          <w:rStyle w:val="StyleUnderline"/>
        </w:rPr>
        <w:t xml:space="preserve"> of service, solidarity, and stewardship</w:t>
      </w:r>
      <w:r w:rsidRPr="00223414">
        <w:rPr>
          <w:sz w:val="16"/>
        </w:rPr>
        <w:t xml:space="preserve">. Consequences of Commodification Treating health care as a commodity has wide-ranging ethical and social consequences: Inequity of Access: </w:t>
      </w:r>
      <w:r w:rsidRPr="00DD2D90">
        <w:rPr>
          <w:rStyle w:val="StyleUnderline"/>
        </w:rPr>
        <w:t>Market-based systems distribute care according to ability to pay, entrenching disparities and excluding the most vulnerable</w:t>
      </w:r>
      <w:r w:rsidRPr="00223414">
        <w:rPr>
          <w:sz w:val="16"/>
        </w:rPr>
        <w:t xml:space="preserve"> (Klein, 2019). </w:t>
      </w:r>
      <w:r w:rsidRPr="00DD2D90">
        <w:rPr>
          <w:rStyle w:val="Emphasis"/>
        </w:rPr>
        <w:t>Moral Distortion</w:t>
      </w:r>
      <w:r w:rsidRPr="00223414">
        <w:rPr>
          <w:sz w:val="16"/>
        </w:rPr>
        <w:t xml:space="preserve">: </w:t>
      </w:r>
      <w:r w:rsidRPr="00DD2D90">
        <w:rPr>
          <w:rStyle w:val="StyleUnderline"/>
        </w:rPr>
        <w:t xml:space="preserve">Profit-driven incentives marginalise essential but less lucrative services — especially palliative care, primary care, and mental health </w:t>
      </w:r>
      <w:r w:rsidRPr="00223414">
        <w:rPr>
          <w:sz w:val="16"/>
        </w:rPr>
        <w:t xml:space="preserve">(Dasgupta, 2021). </w:t>
      </w:r>
      <w:r w:rsidRPr="00DD2D90">
        <w:rPr>
          <w:rStyle w:val="StyleUnderline"/>
        </w:rPr>
        <w:t>Erosion of Professional Integrity</w:t>
      </w:r>
      <w:r w:rsidRPr="00223414">
        <w:rPr>
          <w:sz w:val="16"/>
        </w:rPr>
        <w:t xml:space="preserve">: </w:t>
      </w:r>
      <w:r w:rsidRPr="00DD2D90">
        <w:rPr>
          <w:rStyle w:val="StyleUnderline"/>
          <w:highlight w:val="green"/>
        </w:rPr>
        <w:t>Clinicians face</w:t>
      </w:r>
      <w:r w:rsidRPr="00DD2D90">
        <w:rPr>
          <w:rStyle w:val="StyleUnderline"/>
        </w:rPr>
        <w:t xml:space="preserve"> growing pressures to meet </w:t>
      </w:r>
      <w:r w:rsidRPr="00DD2D90">
        <w:rPr>
          <w:rStyle w:val="StyleUnderline"/>
          <w:highlight w:val="green"/>
        </w:rPr>
        <w:t>financial targets</w:t>
      </w:r>
      <w:r w:rsidRPr="00DD2D90">
        <w:rPr>
          <w:rStyle w:val="StyleUnderline"/>
        </w:rPr>
        <w:t xml:space="preserve">, reducing autonomy and </w:t>
      </w:r>
      <w:r w:rsidRPr="00DD2D90">
        <w:rPr>
          <w:rStyle w:val="StyleUnderline"/>
          <w:highlight w:val="green"/>
        </w:rPr>
        <w:t>compromising</w:t>
      </w:r>
      <w:r w:rsidRPr="00DD2D90">
        <w:rPr>
          <w:rStyle w:val="StyleUnderline"/>
        </w:rPr>
        <w:t xml:space="preserve"> the ethos of </w:t>
      </w:r>
      <w:r w:rsidRPr="00DD2D90">
        <w:rPr>
          <w:rStyle w:val="StyleUnderline"/>
          <w:highlight w:val="green"/>
        </w:rPr>
        <w:t>patient-centred care</w:t>
      </w:r>
      <w:r w:rsidRPr="00DD2D90">
        <w:rPr>
          <w:rStyle w:val="StyleUnderline"/>
        </w:rPr>
        <w:t xml:space="preserve">. Dehumanisation of Patients: </w:t>
      </w:r>
      <w:r w:rsidRPr="00DD2D90">
        <w:rPr>
          <w:rStyle w:val="StyleUnderline"/>
          <w:highlight w:val="green"/>
        </w:rPr>
        <w:t>Individuals are reframed as consumers</w:t>
      </w:r>
      <w:r w:rsidRPr="00223414">
        <w:rPr>
          <w:sz w:val="16"/>
        </w:rPr>
        <w:t xml:space="preserve"> navigating opaque billing structures, </w:t>
      </w:r>
      <w:r w:rsidRPr="00DD2D90">
        <w:rPr>
          <w:rStyle w:val="StyleUnderline"/>
          <w:highlight w:val="green"/>
        </w:rPr>
        <w:t>undermining trust and relational continuity</w:t>
      </w:r>
      <w:r w:rsidRPr="00223414">
        <w:rPr>
          <w:sz w:val="16"/>
        </w:rPr>
        <w:t xml:space="preserve">. Loss of Public Confidence: </w:t>
      </w:r>
      <w:r w:rsidRPr="00DD2D90">
        <w:rPr>
          <w:rStyle w:val="StyleUnderline"/>
        </w:rPr>
        <w:t xml:space="preserve">When corporate priorities dominate, </w:t>
      </w:r>
      <w:r w:rsidRPr="00DD2D90">
        <w:rPr>
          <w:rStyle w:val="StyleUnderline"/>
          <w:highlight w:val="green"/>
        </w:rPr>
        <w:t>communities perceive health</w:t>
      </w:r>
      <w:r w:rsidRPr="00DD2D90">
        <w:rPr>
          <w:rStyle w:val="StyleUnderline"/>
        </w:rPr>
        <w:t xml:space="preserve"> </w:t>
      </w:r>
      <w:r w:rsidRPr="00DD2D90">
        <w:rPr>
          <w:rStyle w:val="StyleUnderline"/>
          <w:highlight w:val="green"/>
        </w:rPr>
        <w:t>institutions as businesses rather than guardians of public wellbeing</w:t>
      </w:r>
      <w:r w:rsidRPr="00223414">
        <w:rPr>
          <w:sz w:val="16"/>
        </w:rPr>
        <w:t xml:space="preserve">. Palliative Care as a Corrective Model Palliative care stands as a compelling counterpoint to commodified health systems. It prioritises comfort, dignity, meaning, and the alleviation of suffering — outcomes that resist monetisation and are poorly captured by traditional financial metrics. Its emphasis on compassion, communication, and holistic support exposes the limits of market-centred care. Precisely because its benefits are relational rather than profitable, </w:t>
      </w:r>
      <w:r w:rsidRPr="00DD2D90">
        <w:rPr>
          <w:rStyle w:val="StyleUnderline"/>
        </w:rPr>
        <w:t>palliative care often struggles for funding in market-driven environments</w:t>
      </w:r>
      <w:r w:rsidRPr="00223414">
        <w:rPr>
          <w:sz w:val="16"/>
        </w:rPr>
        <w:t xml:space="preserve">. Yet its moral clarity highlights what health care is fundamentally for: accompaniment through vulnerability, not revenue generation. Palliative care demonstrates that </w:t>
      </w:r>
      <w:r w:rsidRPr="00DD2D90">
        <w:rPr>
          <w:rStyle w:val="StyleUnderline"/>
        </w:rPr>
        <w:t>humane and sustainable systems are possible when care is guided by ethics rather than economics.</w:t>
      </w:r>
      <w:r w:rsidRPr="00223414">
        <w:rPr>
          <w:sz w:val="16"/>
        </w:rPr>
        <w:t xml:space="preserve"> Health Care as a Social Contract </w:t>
      </w:r>
      <w:r w:rsidRPr="00DD2D90">
        <w:rPr>
          <w:rStyle w:val="StyleUnderline"/>
        </w:rPr>
        <w:t xml:space="preserve">If </w:t>
      </w:r>
      <w:r w:rsidRPr="00DD2D90">
        <w:rPr>
          <w:rStyle w:val="StyleUnderline"/>
          <w:highlight w:val="green"/>
        </w:rPr>
        <w:t xml:space="preserve">health care cannot function effectively as a market, it must operate as a </w:t>
      </w:r>
      <w:r w:rsidRPr="00DD2D90">
        <w:rPr>
          <w:rStyle w:val="Emphasis"/>
          <w:highlight w:val="green"/>
        </w:rPr>
        <w:t>social contract</w:t>
      </w:r>
      <w:r w:rsidRPr="00223414">
        <w:rPr>
          <w:sz w:val="16"/>
        </w:rPr>
        <w:t xml:space="preserve">. In this model, the state, professionals, and society share responsibility to ensure that no one is denied essential care on the basis of income, geography, or social position. This principle underpins </w:t>
      </w:r>
      <w:r w:rsidRPr="00DD2D90">
        <w:rPr>
          <w:rStyle w:val="StyleUnderline"/>
        </w:rPr>
        <w:t>solidarity</w:t>
      </w:r>
      <w:r w:rsidRPr="00223414">
        <w:rPr>
          <w:sz w:val="16"/>
        </w:rPr>
        <w:t xml:space="preserve">-based systems such as those in Scandinavia and the UK (Klein, 2019). In the GCC and wider Islamic tradition, the principle of takaful — mutual solidarity and shared responsibility — reinforces this view. Caring for the sick is understood as a communal obligation, not a discretionary consumer preference. These </w:t>
      </w:r>
      <w:r w:rsidRPr="00DD2D90">
        <w:rPr>
          <w:rStyle w:val="StyleUnderline"/>
        </w:rPr>
        <w:t xml:space="preserve">traditions provide ethical foundations for health systems that treat care as a </w:t>
      </w:r>
      <w:r w:rsidRPr="00DD2D90">
        <w:rPr>
          <w:rStyle w:val="Emphasis"/>
        </w:rPr>
        <w:t>public good</w:t>
      </w:r>
      <w:r w:rsidRPr="00223414">
        <w:rPr>
          <w:sz w:val="16"/>
        </w:rPr>
        <w:t xml:space="preserve">. Reframing the Debate: From Commodity to Common Good </w:t>
      </w:r>
      <w:r w:rsidRPr="00DD2D90">
        <w:rPr>
          <w:rStyle w:val="StyleUnderline"/>
        </w:rPr>
        <w:t>Rejecting commodification</w:t>
      </w:r>
      <w:r w:rsidRPr="00223414">
        <w:rPr>
          <w:sz w:val="16"/>
        </w:rPr>
        <w:t xml:space="preserve"> does not demand rejecting efficiency or sound management. Instead, it </w:t>
      </w:r>
      <w:r w:rsidRPr="00DD2D90">
        <w:rPr>
          <w:rStyle w:val="StyleUnderline"/>
        </w:rPr>
        <w:t>requires a reorientation of purpose</w:t>
      </w:r>
      <w:r w:rsidRPr="00223414">
        <w:rPr>
          <w:sz w:val="16"/>
        </w:rPr>
        <w:t xml:space="preserve">. </w:t>
      </w:r>
      <w:r w:rsidRPr="00DD2D90">
        <w:rPr>
          <w:rStyle w:val="StyleUnderline"/>
        </w:rPr>
        <w:t xml:space="preserve">Health care must be recognised as a </w:t>
      </w:r>
      <w:r w:rsidRPr="00223414">
        <w:rPr>
          <w:sz w:val="16"/>
        </w:rPr>
        <w:t xml:space="preserve">common good — a </w:t>
      </w:r>
      <w:r w:rsidRPr="00DD2D90">
        <w:rPr>
          <w:rStyle w:val="StyleUnderline"/>
        </w:rPr>
        <w:t>shared resource</w:t>
      </w:r>
      <w:r w:rsidRPr="00223414">
        <w:rPr>
          <w:sz w:val="16"/>
        </w:rPr>
        <w:t xml:space="preserve"> sustained by society because it strengthens society. Achieving this requires structural and cultural shifts: – Policy frameworks that </w:t>
      </w:r>
      <w:r w:rsidRPr="00DD2D90">
        <w:rPr>
          <w:rStyle w:val="StyleUnderline"/>
          <w:highlight w:val="green"/>
        </w:rPr>
        <w:t>reward compassion and continuity, not volume or profitability</w:t>
      </w:r>
      <w:r w:rsidRPr="00223414">
        <w:rPr>
          <w:sz w:val="16"/>
        </w:rPr>
        <w:t xml:space="preserve"> – Educational systems that embed ethics alongside clinical training – Metrics that </w:t>
      </w:r>
      <w:r w:rsidRPr="00DD2D90">
        <w:rPr>
          <w:rStyle w:val="StyleUnderline"/>
          <w:highlight w:val="green"/>
        </w:rPr>
        <w:t>capture quality, dignity, and patient experience rather than throughput</w:t>
      </w:r>
      <w:r w:rsidRPr="00223414">
        <w:rPr>
          <w:sz w:val="16"/>
        </w:rPr>
        <w:t xml:space="preserve"> alone – Financing models that </w:t>
      </w:r>
      <w:r w:rsidRPr="00DD2D90">
        <w:rPr>
          <w:rStyle w:val="StyleUnderline"/>
          <w:highlight w:val="green"/>
        </w:rPr>
        <w:t>prioritise equity, prevention, and community wellbeing</w:t>
      </w:r>
      <w:r w:rsidRPr="00223414">
        <w:rPr>
          <w:sz w:val="16"/>
        </w:rPr>
        <w:t xml:space="preserve"> Conclusion Health care accompanies people through birth, illness, frailty, and death — the most vulnerable points of the human experience. To subject such moments to market logic is to misunderstand the nature of care itself. </w:t>
      </w:r>
      <w:r w:rsidRPr="00DD2D90">
        <w:rPr>
          <w:rStyle w:val="StyleUnderline"/>
        </w:rPr>
        <w:t xml:space="preserve">Societies that allow health care to </w:t>
      </w:r>
      <w:r w:rsidRPr="00DD2D90">
        <w:rPr>
          <w:rStyle w:val="StyleUnderline"/>
          <w:highlight w:val="green"/>
        </w:rPr>
        <w:t>become a commodity risk losing</w:t>
      </w:r>
      <w:r w:rsidRPr="00DD2D90">
        <w:rPr>
          <w:rStyle w:val="StyleUnderline"/>
        </w:rPr>
        <w:t xml:space="preserve"> not only fairness, but </w:t>
      </w:r>
      <w:r w:rsidRPr="00DD2D90">
        <w:rPr>
          <w:rStyle w:val="StyleUnderline"/>
          <w:highlight w:val="green"/>
        </w:rPr>
        <w:t>humanity</w:t>
      </w:r>
      <w:r w:rsidRPr="00223414">
        <w:rPr>
          <w:sz w:val="16"/>
        </w:rPr>
        <w:t xml:space="preserve">. </w:t>
      </w:r>
      <w:r w:rsidRPr="00DD2D90">
        <w:rPr>
          <w:rStyle w:val="StyleUnderline"/>
          <w:highlight w:val="green"/>
        </w:rPr>
        <w:t>Reasserting health care as a moral enterprise grounded in</w:t>
      </w:r>
      <w:r w:rsidRPr="00DD2D90">
        <w:rPr>
          <w:rStyle w:val="StyleUnderline"/>
        </w:rPr>
        <w:t xml:space="preserve"> dignity, solidarity, and </w:t>
      </w:r>
      <w:r w:rsidRPr="00DD2D90">
        <w:rPr>
          <w:rStyle w:val="StyleUnderline"/>
          <w:highlight w:val="green"/>
        </w:rPr>
        <w:t>compassion</w:t>
      </w:r>
      <w:r w:rsidRPr="00DD2D90">
        <w:rPr>
          <w:rStyle w:val="StyleUnderline"/>
        </w:rPr>
        <w:t xml:space="preserve"> </w:t>
      </w:r>
      <w:r w:rsidRPr="00DD2D90">
        <w:rPr>
          <w:rStyle w:val="StyleUnderline"/>
          <w:highlight w:val="green"/>
        </w:rPr>
        <w:t>is</w:t>
      </w:r>
      <w:r w:rsidRPr="00223414">
        <w:rPr>
          <w:sz w:val="16"/>
          <w:highlight w:val="green"/>
        </w:rPr>
        <w:t xml:space="preserve"> </w:t>
      </w:r>
      <w:r w:rsidRPr="00DD2D90">
        <w:rPr>
          <w:rStyle w:val="StyleUnderline"/>
          <w:highlight w:val="green"/>
        </w:rPr>
        <w:t>essential</w:t>
      </w:r>
      <w:r w:rsidRPr="00223414">
        <w:rPr>
          <w:sz w:val="16"/>
        </w:rPr>
        <w:t xml:space="preserve">. Palliative care exemplifies the kind of relational, humane, and justice-oriented model that can guide this transformation. Ultimately, health care must be reclaimed not as a commodity, but as a public trust — a shared commitment to the wellbeing of all. </w:t>
      </w:r>
    </w:p>
    <w:p w14:paraId="2CC0A442" w14:textId="77777777" w:rsidR="00FA1D49" w:rsidRPr="00223414" w:rsidRDefault="00FA1D49">
      <w:pPr>
        <w:rPr>
          <w:rFonts w:eastAsiaTheme="majorEastAsia" w:cstheme="majorBidi"/>
          <w:b/>
          <w:iCs/>
          <w:sz w:val="16"/>
        </w:rPr>
      </w:pPr>
      <w:r w:rsidRPr="00223414">
        <w:rPr>
          <w:sz w:val="16"/>
        </w:rPr>
        <w:br w:type="page"/>
      </w:r>
    </w:p>
    <w:p w14:paraId="4984B1B1" w14:textId="6E682782" w:rsidR="00893021" w:rsidRPr="00223414" w:rsidRDefault="00893021" w:rsidP="00893021">
      <w:pPr>
        <w:pStyle w:val="Heading4"/>
        <w:rPr>
          <w:szCs w:val="26"/>
        </w:rPr>
      </w:pPr>
      <w:r w:rsidRPr="00223414">
        <w:rPr>
          <w:szCs w:val="26"/>
        </w:rPr>
        <w:t xml:space="preserve">Commodified bodies </w:t>
      </w:r>
      <w:proofErr w:type="gramStart"/>
      <w:r w:rsidRPr="00223414">
        <w:rPr>
          <w:szCs w:val="26"/>
        </w:rPr>
        <w:t>leads</w:t>
      </w:r>
      <w:proofErr w:type="gramEnd"/>
      <w:r w:rsidRPr="00223414">
        <w:rPr>
          <w:szCs w:val="26"/>
        </w:rPr>
        <w:t xml:space="preserve"> to forced organ harvesting and international illegal organ markets that </w:t>
      </w:r>
      <w:proofErr w:type="gramStart"/>
      <w:r w:rsidRPr="00223414">
        <w:rPr>
          <w:szCs w:val="26"/>
        </w:rPr>
        <w:t>exploits</w:t>
      </w:r>
      <w:proofErr w:type="gramEnd"/>
      <w:r w:rsidRPr="00223414">
        <w:rPr>
          <w:szCs w:val="26"/>
        </w:rPr>
        <w:t xml:space="preserve"> marginalized people and poor countries </w:t>
      </w:r>
      <w:proofErr w:type="gramStart"/>
      <w:r w:rsidRPr="00223414">
        <w:rPr>
          <w:szCs w:val="26"/>
        </w:rPr>
        <w:t>as a means to</w:t>
      </w:r>
      <w:proofErr w:type="gramEnd"/>
      <w:r w:rsidRPr="00223414">
        <w:rPr>
          <w:szCs w:val="26"/>
        </w:rPr>
        <w:t xml:space="preserve"> an end</w:t>
      </w:r>
    </w:p>
    <w:p w14:paraId="02A1A2BB" w14:textId="77777777" w:rsidR="00893021" w:rsidRPr="00DD2D90" w:rsidRDefault="00893021" w:rsidP="00893021">
      <w:r w:rsidRPr="00223414">
        <w:rPr>
          <w:b/>
          <w:bCs/>
          <w:sz w:val="26"/>
          <w:szCs w:val="26"/>
        </w:rPr>
        <w:t>Scheper-Hughes 2</w:t>
      </w:r>
      <w:r w:rsidRPr="00DD2D90">
        <w:t xml:space="preserve"> [Nancy Scheper-Hughes, Professor of anthropology at UC Berkeley and Director of Organs Watch, 2002, “The Ends of the Body,” SAIS Review, https://www.jstor.org/stable/26996387?seq=1]/Kankee</w:t>
      </w:r>
    </w:p>
    <w:p w14:paraId="0DEC81BB" w14:textId="77777777" w:rsidR="00893021" w:rsidRPr="00223414" w:rsidRDefault="00893021" w:rsidP="00893021">
      <w:pPr>
        <w:rPr>
          <w:sz w:val="16"/>
        </w:rPr>
      </w:pPr>
      <w:r w:rsidRPr="00223414">
        <w:rPr>
          <w:sz w:val="16"/>
        </w:rPr>
        <w:t xml:space="preserve">Amidst the neoliberal readjustments of the new global economy, there has been a rapid growth of “medical tourism” for trans- plant surgery and other advanced biomedical and surgical proce- dures. </w:t>
      </w:r>
      <w:r w:rsidRPr="00DD2D90">
        <w:rPr>
          <w:rStyle w:val="StyleUnderline"/>
        </w:rPr>
        <w:t>A</w:t>
      </w:r>
      <w:r w:rsidRPr="00223414">
        <w:rPr>
          <w:sz w:val="16"/>
        </w:rPr>
        <w:t xml:space="preserve"> grotesque niche </w:t>
      </w:r>
      <w:r w:rsidRPr="00DD2D90">
        <w:rPr>
          <w:rStyle w:val="StyleUnderline"/>
        </w:rPr>
        <w:t>market for</w:t>
      </w:r>
      <w:r w:rsidRPr="00223414">
        <w:rPr>
          <w:sz w:val="16"/>
        </w:rPr>
        <w:t xml:space="preserve"> sold </w:t>
      </w:r>
      <w:r w:rsidRPr="00DD2D90">
        <w:rPr>
          <w:rStyle w:val="StyleUnderline"/>
        </w:rPr>
        <w:t>organs</w:t>
      </w:r>
      <w:r w:rsidRPr="00223414">
        <w:rPr>
          <w:sz w:val="16"/>
        </w:rPr>
        <w:t xml:space="preserve">, tissues, and other body parts has </w:t>
      </w:r>
      <w:r w:rsidRPr="00DD2D90">
        <w:rPr>
          <w:rStyle w:val="StyleUnderline"/>
        </w:rPr>
        <w:t>exacerbated</w:t>
      </w:r>
      <w:r w:rsidRPr="00223414">
        <w:rPr>
          <w:sz w:val="16"/>
        </w:rPr>
        <w:t xml:space="preserve"> older </w:t>
      </w:r>
      <w:r w:rsidRPr="00DD2D90">
        <w:rPr>
          <w:rStyle w:val="StyleUnderline"/>
        </w:rPr>
        <w:t>divisions between North and South</w:t>
      </w:r>
      <w:r w:rsidRPr="00223414">
        <w:rPr>
          <w:sz w:val="16"/>
        </w:rPr>
        <w:t xml:space="preserve">, haves and have-nots, organ donors and organ recipients. Indeed, a kind of </w:t>
      </w:r>
      <w:r w:rsidRPr="00DD2D90">
        <w:rPr>
          <w:rStyle w:val="Emphasis"/>
          <w:highlight w:val="green"/>
        </w:rPr>
        <w:t>medical apartheid</w:t>
      </w:r>
      <w:r w:rsidRPr="00223414">
        <w:rPr>
          <w:sz w:val="16"/>
        </w:rPr>
        <w:t xml:space="preserve"> has also emerged that has </w:t>
      </w:r>
      <w:r w:rsidRPr="00DD2D90">
        <w:rPr>
          <w:rStyle w:val="StyleUnderline"/>
          <w:highlight w:val="green"/>
        </w:rPr>
        <w:t>sepa- rated the world int</w:t>
      </w:r>
      <w:r w:rsidRPr="00DD2D90">
        <w:rPr>
          <w:rStyle w:val="StyleUnderline"/>
        </w:rPr>
        <w:t>o</w:t>
      </w:r>
      <w:r w:rsidRPr="00223414">
        <w:rPr>
          <w:sz w:val="16"/>
        </w:rPr>
        <w:t xml:space="preserve"> two populations—</w:t>
      </w:r>
      <w:r w:rsidRPr="00DD2D90">
        <w:rPr>
          <w:rStyle w:val="StyleUnderline"/>
          <w:highlight w:val="green"/>
        </w:rPr>
        <w:t>organ givers and organ re- ceivers</w:t>
      </w:r>
      <w:r w:rsidRPr="00223414">
        <w:rPr>
          <w:sz w:val="16"/>
          <w:highlight w:val="green"/>
        </w:rPr>
        <w:t>.</w:t>
      </w:r>
      <w:r w:rsidRPr="00223414">
        <w:rPr>
          <w:sz w:val="16"/>
        </w:rPr>
        <w:t xml:space="preserve"> Over the past 30 years, organ transplantation—especially kid- ney transplantation—has become a common procedure in hospi- tals and clinics throughout the world. The spread of transplant technologies has created a global scarcity of viable organs. At the same time the spirit of a triumphant global and “democratic” </w:t>
      </w:r>
      <w:r w:rsidRPr="00DD2D90">
        <w:rPr>
          <w:rStyle w:val="StyleUnderline"/>
          <w:highlight w:val="green"/>
        </w:rPr>
        <w:t>capi- talism</w:t>
      </w:r>
      <w:r w:rsidRPr="00223414">
        <w:rPr>
          <w:sz w:val="16"/>
        </w:rPr>
        <w:t xml:space="preserve"> has </w:t>
      </w:r>
      <w:r w:rsidRPr="00DD2D90">
        <w:rPr>
          <w:rStyle w:val="StyleUnderline"/>
        </w:rPr>
        <w:t>released a voracious appetite for “fresh” bodies</w:t>
      </w:r>
      <w:r w:rsidRPr="00223414">
        <w:rPr>
          <w:sz w:val="16"/>
        </w:rPr>
        <w:t xml:space="preserve"> from which organs can be procured. The confluence in the flows of im- migrant workers and itinerant kidney sellers who fall prey to so- phisticated but unscrupulous transnational organ brokers is a subtext in the recent history of globalization. Today’s organ pro- curement transactions are a blend of altruism and commerce; of science and superstition; of gifting, barter, and theft; and of voluntarism and coercion. International Organ Markets, Bioethics, and Social Justice The problem with </w:t>
      </w:r>
      <w:r w:rsidRPr="00DD2D90">
        <w:rPr>
          <w:rStyle w:val="StyleUnderline"/>
        </w:rPr>
        <w:t>markets</w:t>
      </w:r>
      <w:r w:rsidRPr="00223414">
        <w:rPr>
          <w:sz w:val="16"/>
        </w:rPr>
        <w:t xml:space="preserve"> is that </w:t>
      </w:r>
      <w:r w:rsidRPr="00DD2D90">
        <w:rPr>
          <w:rStyle w:val="StyleUnderline"/>
        </w:rPr>
        <w:t xml:space="preserve">they </w:t>
      </w:r>
      <w:r w:rsidRPr="00DD2D90">
        <w:rPr>
          <w:rStyle w:val="StyleUnderline"/>
          <w:highlight w:val="green"/>
        </w:rPr>
        <w:t>reduce everything—includ- ing human beings</w:t>
      </w:r>
      <w:r w:rsidRPr="00223414">
        <w:rPr>
          <w:sz w:val="16"/>
        </w:rPr>
        <w:t xml:space="preserve">, their labor, and their reproductive capacity— </w:t>
      </w:r>
      <w:r w:rsidRPr="00DD2D90">
        <w:rPr>
          <w:rStyle w:val="StyleUnderline"/>
          <w:highlight w:val="green"/>
        </w:rPr>
        <w:t>to</w:t>
      </w:r>
      <w:r w:rsidRPr="00223414">
        <w:rPr>
          <w:sz w:val="16"/>
        </w:rPr>
        <w:t xml:space="preserve"> the status of </w:t>
      </w:r>
      <w:r w:rsidRPr="00DD2D90">
        <w:rPr>
          <w:rStyle w:val="Emphasis"/>
          <w:highlight w:val="green"/>
        </w:rPr>
        <w:t>commodities</w:t>
      </w:r>
      <w:r w:rsidRPr="00223414">
        <w:rPr>
          <w:sz w:val="16"/>
        </w:rPr>
        <w:t xml:space="preserve"> that can be bought, sold, traded, and stolen. Nowhere is this more dramatically illustrated than in the market for human organs and tissues. The concepts of the </w:t>
      </w:r>
      <w:r w:rsidRPr="00DD2D90">
        <w:rPr>
          <w:rStyle w:val="StyleUnderline"/>
          <w:highlight w:val="green"/>
        </w:rPr>
        <w:t>in- tegrity</w:t>
      </w:r>
      <w:r w:rsidRPr="00DD2D90">
        <w:rPr>
          <w:rStyle w:val="StyleUnderline"/>
        </w:rPr>
        <w:t xml:space="preserve"> of the body </w:t>
      </w:r>
      <w:r w:rsidRPr="00DD2D90">
        <w:rPr>
          <w:rStyle w:val="StyleUnderline"/>
          <w:highlight w:val="green"/>
        </w:rPr>
        <w:t>and</w:t>
      </w:r>
      <w:r w:rsidRPr="00DD2D90">
        <w:rPr>
          <w:rStyle w:val="StyleUnderline"/>
        </w:rPr>
        <w:t xml:space="preserve"> human </w:t>
      </w:r>
      <w:r w:rsidRPr="00DD2D90">
        <w:rPr>
          <w:rStyle w:val="StyleUnderline"/>
          <w:highlight w:val="green"/>
        </w:rPr>
        <w:t>dignity</w:t>
      </w:r>
      <w:r w:rsidRPr="00DD2D90">
        <w:rPr>
          <w:rStyle w:val="StyleUnderline"/>
        </w:rPr>
        <w:t xml:space="preserve"> </w:t>
      </w:r>
      <w:r w:rsidRPr="00DD2D90">
        <w:rPr>
          <w:rStyle w:val="StyleUnderline"/>
          <w:highlight w:val="green"/>
        </w:rPr>
        <w:t>have given way</w:t>
      </w:r>
      <w:r w:rsidRPr="00DD2D90">
        <w:rPr>
          <w:rStyle w:val="StyleUnderline"/>
        </w:rPr>
        <w:t xml:space="preserve"> </w:t>
      </w:r>
      <w:r w:rsidRPr="00DD2D90">
        <w:rPr>
          <w:rStyle w:val="StyleUnderline"/>
          <w:highlight w:val="green"/>
        </w:rPr>
        <w:t>to</w:t>
      </w:r>
      <w:r w:rsidRPr="00DD2D90">
        <w:rPr>
          <w:rStyle w:val="StyleUnderline"/>
        </w:rPr>
        <w:t xml:space="preserve"> ideas of </w:t>
      </w:r>
      <w:r w:rsidRPr="00DD2D90">
        <w:rPr>
          <w:rStyle w:val="StyleUnderline"/>
          <w:highlight w:val="green"/>
        </w:rPr>
        <w:t>the divisible body and de- tachable organs as commodi- ties</w:t>
      </w:r>
      <w:r w:rsidRPr="00223414">
        <w:rPr>
          <w:sz w:val="16"/>
        </w:rPr>
        <w:t xml:space="preserve">. The new field of </w:t>
      </w:r>
      <w:r w:rsidRPr="00DD2D90">
        <w:rPr>
          <w:rStyle w:val="StyleUnderline"/>
        </w:rPr>
        <w:t>bioethics</w:t>
      </w:r>
      <w:r w:rsidRPr="00223414">
        <w:rPr>
          <w:sz w:val="16"/>
        </w:rPr>
        <w:t xml:space="preserve"> has largely </w:t>
      </w:r>
      <w:r w:rsidRPr="00DD2D90">
        <w:rPr>
          <w:rStyle w:val="StyleUnderline"/>
        </w:rPr>
        <w:t>capitulated to</w:t>
      </w:r>
      <w:r w:rsidRPr="00223414">
        <w:rPr>
          <w:sz w:val="16"/>
        </w:rPr>
        <w:t xml:space="preserve"> </w:t>
      </w:r>
      <w:r w:rsidRPr="00DD2D90">
        <w:rPr>
          <w:rStyle w:val="StyleUnderline"/>
        </w:rPr>
        <w:t>the</w:t>
      </w:r>
      <w:r w:rsidRPr="00223414">
        <w:rPr>
          <w:sz w:val="16"/>
        </w:rPr>
        <w:t xml:space="preserve"> dominant </w:t>
      </w:r>
      <w:r w:rsidRPr="00DD2D90">
        <w:rPr>
          <w:rStyle w:val="StyleUnderline"/>
        </w:rPr>
        <w:t>market</w:t>
      </w:r>
      <w:r w:rsidRPr="00223414">
        <w:rPr>
          <w:sz w:val="16"/>
        </w:rPr>
        <w:t xml:space="preserve"> ethos.1 Con- ventional medical ethics ob- scures the ancient perception of virtue in suffering and dying, while bioethics creates the sem- blance of ethical choice (e.g., the right to buy a kidney) in an in- trinsically unethical context. The transformation of a person into a “life” that must be prolonged or saved at any cost has made life into the ultimate commodity fetish. This idea erases any possibil- ity of a global social ethic. In the rational choice language of contemporary bioethics the conflict between non-malfeasance (“do no harm”) and beneficence (the moral duty to perform good acts) is increasingly resolved in favor of the libertarian and consumer-oriented principle that those able to broker or buy a human organ should not be prevented from doing so. In a market context, paying for a kidney “donation” is viewed as a potential “win-win” situation that can benefit both parties.2 Individual decision making has become the final arbiter of medi- cal bioethical values. Social justice hardly figures into these discus- sions because bioethical standards have been finely calibrated to mesh with the needs and desires of consumer-oriented globalization. The only dissident voices raised against the dominant trans- plant narrative come from far afield and are expressed in unpalat- able forms that are all too easily discredited. These alternative bio- ethical positions have been expressed, perhaps somewhat “primi- tively,” in the context of the discourse of organ theft that repre- sents the underlying fears of the poor and other socially marginalized groups. </w:t>
      </w:r>
      <w:r w:rsidRPr="00DD2D90">
        <w:rPr>
          <w:rStyle w:val="StyleUnderline"/>
        </w:rPr>
        <w:t>To</w:t>
      </w:r>
      <w:r w:rsidRPr="00223414">
        <w:rPr>
          <w:sz w:val="16"/>
        </w:rPr>
        <w:t xml:space="preserve"> a great </w:t>
      </w:r>
      <w:r w:rsidRPr="00DD2D90">
        <w:rPr>
          <w:rStyle w:val="StyleUnderline"/>
        </w:rPr>
        <w:t>many</w:t>
      </w:r>
      <w:r w:rsidRPr="00223414">
        <w:rPr>
          <w:sz w:val="16"/>
        </w:rPr>
        <w:t xml:space="preserve"> of those </w:t>
      </w:r>
      <w:r w:rsidRPr="00DD2D90">
        <w:rPr>
          <w:rStyle w:val="StyleUnderline"/>
        </w:rPr>
        <w:t>living on the fringes</w:t>
      </w:r>
      <w:r w:rsidRPr="00223414">
        <w:rPr>
          <w:sz w:val="16"/>
        </w:rPr>
        <w:t xml:space="preserve"> of the new global disorder, </w:t>
      </w:r>
      <w:r w:rsidRPr="00DD2D90">
        <w:rPr>
          <w:rStyle w:val="StyleUnderline"/>
          <w:highlight w:val="green"/>
        </w:rPr>
        <w:t>the scramble</w:t>
      </w:r>
      <w:r w:rsidRPr="00DD2D90">
        <w:rPr>
          <w:rStyle w:val="StyleUnderline"/>
        </w:rPr>
        <w:t xml:space="preserve"> for “fresh” organs</w:t>
      </w:r>
      <w:r w:rsidRPr="00223414">
        <w:rPr>
          <w:sz w:val="16"/>
        </w:rPr>
        <w:t xml:space="preserve"> and tis- sues </w:t>
      </w:r>
      <w:r w:rsidRPr="00DD2D90">
        <w:rPr>
          <w:rStyle w:val="StyleUnderline"/>
          <w:highlight w:val="green"/>
        </w:rPr>
        <w:t>increases</w:t>
      </w:r>
      <w:r w:rsidRPr="00DD2D90">
        <w:rPr>
          <w:rStyle w:val="StyleUnderline"/>
        </w:rPr>
        <w:t xml:space="preserve"> their profound sense of </w:t>
      </w:r>
      <w:r w:rsidRPr="00DD2D90">
        <w:rPr>
          <w:rStyle w:val="Emphasis"/>
          <w:highlight w:val="green"/>
        </w:rPr>
        <w:t>ontological insecurity</w:t>
      </w:r>
      <w:r w:rsidRPr="00DD2D90">
        <w:rPr>
          <w:rStyle w:val="StyleUnderline"/>
          <w:highlight w:val="green"/>
        </w:rPr>
        <w:t xml:space="preserve"> in a world that values their bodies as a reservoir of </w:t>
      </w:r>
      <w:r w:rsidRPr="00DD2D90">
        <w:rPr>
          <w:rStyle w:val="Emphasis"/>
          <w:highlight w:val="green"/>
        </w:rPr>
        <w:t>spare parts</w:t>
      </w:r>
      <w:r w:rsidRPr="00223414">
        <w:rPr>
          <w:sz w:val="16"/>
        </w:rPr>
        <w:t xml:space="preserve">.3 The rumors of blood and body parts theft have provoked strong popu- lar resistance to new laws of presumed consent recently passed in such countries as Brazil and Mexico. Opponents of presumed con- sent laws contest the state’s right to claim dead bodies for organs and tissues harvesting. Yet their limited resistance is unable to fore- stall the rapid growth of the international organs market as those on both sides of the transplant equation are beginning to accept these still largely covert transactions, protected by transplant medicine’s coyly averted gaze. Organs Watch: Uncovering the Hidden Dimensions of Organ Transplant Rhetoric and Practices Organs Watch, a medical human rights group affiliated with the University of California, Berkeley, monitors the trade in organs with a view toward advancing social justice concerns in the organs market. From this base—and with the assistance of a small group of anthropology, law, journalism, and medical student interns, vol- unteers, and local field assistants—the group conducts basic eth- nographic research on transplantation practices worldwide and is mapping the mechanics of the organs market. Above all, Organs Watch attempts to make public and transparent all practices re- garding the harvesting and distribution of human body parts. Until now, these transactions have been protected from scrutiny because the population of organ suppliers—both living and brain dead—is largely poor and socially marginalized. Organ Watch’s first task has been to raise some basic but necessary questions: How does the organ market function? Whose needs are privileged? Whose voices are silenced? What invisible sac- rifices are being demanded? What “noble lies” are concealed in the transplant rhetoric of gifting, scarcities, and needs? In answering these questions, three crucial points about the </w:t>
      </w:r>
      <w:r w:rsidRPr="00DD2D90">
        <w:rPr>
          <w:rStyle w:val="StyleUnderline"/>
          <w:highlight w:val="green"/>
        </w:rPr>
        <w:t>organs trade</w:t>
      </w:r>
      <w:r w:rsidRPr="00223414">
        <w:rPr>
          <w:sz w:val="16"/>
        </w:rPr>
        <w:t xml:space="preserve"> emerge. The first is about invented scarcities and artificial needs despite the widespread fetishization of organs. Supply and demand for organs has, however, increasingly </w:t>
      </w:r>
      <w:r w:rsidRPr="00DD2D90">
        <w:rPr>
          <w:rStyle w:val="StyleUnderline"/>
        </w:rPr>
        <w:t xml:space="preserve">evolved toward the trade in “fresh” body parts, which has </w:t>
      </w:r>
      <w:r w:rsidRPr="00DD2D90">
        <w:rPr>
          <w:rStyle w:val="StyleUnderline"/>
          <w:highlight w:val="green"/>
        </w:rPr>
        <w:t>sustained</w:t>
      </w:r>
      <w:r w:rsidRPr="00DD2D90">
        <w:rPr>
          <w:rStyle w:val="StyleUnderline"/>
        </w:rPr>
        <w:t xml:space="preserve"> the rapid growth of “</w:t>
      </w:r>
      <w:r w:rsidRPr="00DD2D90">
        <w:rPr>
          <w:rStyle w:val="Emphasis"/>
          <w:highlight w:val="green"/>
        </w:rPr>
        <w:t>medi- cal tourism</w:t>
      </w:r>
      <w:r w:rsidRPr="00DD2D90">
        <w:rPr>
          <w:rStyle w:val="StyleUnderline"/>
        </w:rPr>
        <w:t xml:space="preserve">” </w:t>
      </w:r>
      <w:r w:rsidRPr="00DD2D90">
        <w:rPr>
          <w:rStyle w:val="StyleUnderline"/>
          <w:highlight w:val="green"/>
        </w:rPr>
        <w:t>as well as</w:t>
      </w:r>
      <w:r w:rsidRPr="00DD2D90">
        <w:rPr>
          <w:rStyle w:val="StyleUnderline"/>
        </w:rPr>
        <w:t xml:space="preserve"> “</w:t>
      </w:r>
      <w:r w:rsidRPr="00DD2D90">
        <w:rPr>
          <w:rStyle w:val="Emphasis"/>
          <w:highlight w:val="green"/>
        </w:rPr>
        <w:t>biopiracy</w:t>
      </w:r>
      <w:r w:rsidRPr="00223414">
        <w:rPr>
          <w:sz w:val="16"/>
        </w:rPr>
        <w:t xml:space="preserve">.” The second concerns altruism versus invisible sacrifice in the new global markets for bodies and “fresh” organs. The third point concerns surplus empathy and the relative visibility of two distinct populations—excluded and invis- ible organs givers and included and highly visible organs receivers. The Body and Commodity Fetishism Global market </w:t>
      </w:r>
      <w:r w:rsidRPr="00DD2D90">
        <w:rPr>
          <w:rStyle w:val="StyleUnderline"/>
        </w:rPr>
        <w:t>capitalism</w:t>
      </w:r>
      <w:r w:rsidRPr="00223414">
        <w:rPr>
          <w:sz w:val="16"/>
        </w:rPr>
        <w:t xml:space="preserve">, together with advanced medical and bio- technologies, has </w:t>
      </w:r>
      <w:r w:rsidRPr="00DD2D90">
        <w:rPr>
          <w:rStyle w:val="StyleUnderline"/>
        </w:rPr>
        <w:t>incited new</w:t>
      </w:r>
      <w:r w:rsidRPr="00223414">
        <w:rPr>
          <w:sz w:val="16"/>
        </w:rPr>
        <w:t xml:space="preserve"> tastes and </w:t>
      </w:r>
      <w:r w:rsidRPr="00DD2D90">
        <w:rPr>
          <w:rStyle w:val="StyleUnderline"/>
        </w:rPr>
        <w:t>desires for the skin, bones, blood, organs, tissues, marrow, and reproductive and genetic ma- terial of others</w:t>
      </w:r>
      <w:r w:rsidRPr="00223414">
        <w:rPr>
          <w:sz w:val="16"/>
        </w:rPr>
        <w:t xml:space="preserve">. </w:t>
      </w:r>
      <w:r w:rsidRPr="00DD2D90">
        <w:rPr>
          <w:rStyle w:val="StyleUnderline"/>
        </w:rPr>
        <w:t>There</w:t>
      </w:r>
      <w:r w:rsidRPr="00223414">
        <w:rPr>
          <w:sz w:val="16"/>
        </w:rPr>
        <w:t xml:space="preserve"> now </w:t>
      </w:r>
      <w:r w:rsidRPr="00DD2D90">
        <w:rPr>
          <w:rStyle w:val="StyleUnderline"/>
        </w:rPr>
        <w:t>exists an unregulated, international, multi-million dollar business in</w:t>
      </w:r>
      <w:r w:rsidRPr="00223414">
        <w:rPr>
          <w:sz w:val="16"/>
        </w:rPr>
        <w:t xml:space="preserve"> tissues and </w:t>
      </w:r>
      <w:r w:rsidRPr="00DD2D90">
        <w:rPr>
          <w:rStyle w:val="StyleUnderline"/>
        </w:rPr>
        <w:t>body parts</w:t>
      </w:r>
      <w:r w:rsidRPr="00223414">
        <w:rPr>
          <w:sz w:val="16"/>
        </w:rPr>
        <w:t xml:space="preserve">, </w:t>
      </w:r>
      <w:r w:rsidRPr="00DD2D90">
        <w:rPr>
          <w:rStyle w:val="StyleUnderline"/>
        </w:rPr>
        <w:t>obtained</w:t>
      </w:r>
      <w:r w:rsidRPr="00223414">
        <w:rPr>
          <w:sz w:val="16"/>
        </w:rPr>
        <w:t xml:space="preserve"> in many parts of the world </w:t>
      </w:r>
      <w:r w:rsidRPr="00DD2D90">
        <w:rPr>
          <w:rStyle w:val="StyleUnderline"/>
        </w:rPr>
        <w:t>without</w:t>
      </w:r>
      <w:r w:rsidRPr="00223414">
        <w:rPr>
          <w:sz w:val="16"/>
        </w:rPr>
        <w:t xml:space="preserve"> </w:t>
      </w:r>
      <w:r w:rsidRPr="00DD2D90">
        <w:rPr>
          <w:rStyle w:val="StyleUnderline"/>
        </w:rPr>
        <w:t>consent from</w:t>
      </w:r>
      <w:r w:rsidRPr="00223414">
        <w:rPr>
          <w:sz w:val="16"/>
        </w:rPr>
        <w:t xml:space="preserve"> police mortuar- ies or hospital </w:t>
      </w:r>
      <w:r w:rsidRPr="00DD2D90">
        <w:rPr>
          <w:rStyle w:val="StyleUnderline"/>
        </w:rPr>
        <w:t>morgues</w:t>
      </w:r>
      <w:r w:rsidRPr="00223414">
        <w:rPr>
          <w:sz w:val="16"/>
        </w:rPr>
        <w:t xml:space="preserve">. In many developing countries, human tissue is exchanged with first-world countries for medical technology or expertise. In </w:t>
      </w:r>
      <w:r w:rsidRPr="00DD2D90">
        <w:rPr>
          <w:rStyle w:val="StyleUnderline"/>
        </w:rPr>
        <w:t>South Africa</w:t>
      </w:r>
      <w:r w:rsidRPr="00223414">
        <w:rPr>
          <w:sz w:val="16"/>
        </w:rPr>
        <w:t xml:space="preserve">, for example, an experimental research science unit of a large public </w:t>
      </w:r>
      <w:r w:rsidRPr="00DD2D90">
        <w:rPr>
          <w:rStyle w:val="StyleUnderline"/>
        </w:rPr>
        <w:t>medical school ships human heart valves, taken without consent</w:t>
      </w:r>
      <w:r w:rsidRPr="00223414">
        <w:rPr>
          <w:sz w:val="16"/>
        </w:rPr>
        <w:t xml:space="preserve"> </w:t>
      </w:r>
      <w:r w:rsidRPr="00DD2D90">
        <w:rPr>
          <w:rStyle w:val="StyleUnderline"/>
        </w:rPr>
        <w:t>from</w:t>
      </w:r>
      <w:r w:rsidRPr="00223414">
        <w:rPr>
          <w:sz w:val="16"/>
        </w:rPr>
        <w:t xml:space="preserve"> the cadavers of </w:t>
      </w:r>
      <w:r w:rsidRPr="00DD2D90">
        <w:rPr>
          <w:rStyle w:val="StyleUnderline"/>
        </w:rPr>
        <w:t>poor Blacks</w:t>
      </w:r>
      <w:r w:rsidRPr="00223414">
        <w:rPr>
          <w:sz w:val="16"/>
        </w:rPr>
        <w:t xml:space="preserve"> in police mor- tuaries, </w:t>
      </w:r>
      <w:r w:rsidRPr="00DD2D90">
        <w:rPr>
          <w:rStyle w:val="StyleUnderline"/>
        </w:rPr>
        <w:t>to</w:t>
      </w:r>
      <w:r w:rsidRPr="00223414">
        <w:rPr>
          <w:sz w:val="16"/>
        </w:rPr>
        <w:t xml:space="preserve"> medical centers in </w:t>
      </w:r>
      <w:r w:rsidRPr="00DD2D90">
        <w:rPr>
          <w:rStyle w:val="StyleUnderline"/>
        </w:rPr>
        <w:t>Germany</w:t>
      </w:r>
      <w:r w:rsidRPr="00223414">
        <w:rPr>
          <w:sz w:val="16"/>
        </w:rPr>
        <w:t xml:space="preserve"> and Austria. The exorbitant “handling” fees they charge for supplying such valuable body parts helps support the unit’s research program in the face of the downsizing of advanced medical research facilities in the new South Africa. As commercialization has entered almost every sphere of medicine and biotechnology, those in the North cannot claim any moral highground. </w:t>
      </w:r>
      <w:r w:rsidRPr="00DD2D90">
        <w:rPr>
          <w:rStyle w:val="StyleUnderline"/>
          <w:highlight w:val="green"/>
        </w:rPr>
        <w:t>Mortuary</w:t>
      </w:r>
      <w:r w:rsidRPr="00DD2D90">
        <w:rPr>
          <w:rStyle w:val="StyleUnderline"/>
        </w:rPr>
        <w:t xml:space="preserve"> practices and tissues </w:t>
      </w:r>
      <w:r w:rsidRPr="00DD2D90">
        <w:rPr>
          <w:rStyle w:val="StyleUnderline"/>
          <w:highlight w:val="green"/>
        </w:rPr>
        <w:t>harvesting re- semble</w:t>
      </w:r>
      <w:r w:rsidRPr="00DD2D90">
        <w:rPr>
          <w:rStyle w:val="StyleUnderline"/>
        </w:rPr>
        <w:t xml:space="preserve"> a kind of </w:t>
      </w:r>
      <w:r w:rsidRPr="00DD2D90">
        <w:rPr>
          <w:rStyle w:val="StyleUnderline"/>
          <w:highlight w:val="green"/>
        </w:rPr>
        <w:t>human strip farming</w:t>
      </w:r>
      <w:r w:rsidRPr="00223414">
        <w:rPr>
          <w:sz w:val="16"/>
        </w:rPr>
        <w:t xml:space="preserve"> in some parts of the United States. Heart valves, cornea, skin grafts, bone fragments, and other body parts are used for research, teaching, and experimentation as much as for advanced surgeries. “Excess” cornea are shipped in bulk from the United States to other countries, including devel- oping countries, enabling sellers to reap enormous profits from the handling charges reported as legitimate sales. </w:t>
      </w:r>
      <w:r w:rsidRPr="00DD2D90">
        <w:rPr>
          <w:rStyle w:val="StyleUnderline"/>
        </w:rPr>
        <w:t>The sale of</w:t>
      </w:r>
      <w:r w:rsidRPr="00223414">
        <w:rPr>
          <w:sz w:val="16"/>
        </w:rPr>
        <w:t xml:space="preserve"> human </w:t>
      </w:r>
      <w:r w:rsidRPr="00DD2D90">
        <w:rPr>
          <w:rStyle w:val="StyleUnderline"/>
        </w:rPr>
        <w:t>organs</w:t>
      </w:r>
      <w:r w:rsidRPr="00223414">
        <w:rPr>
          <w:sz w:val="16"/>
        </w:rPr>
        <w:t xml:space="preserve"> and tissues has </w:t>
      </w:r>
      <w:r w:rsidRPr="00DD2D90">
        <w:rPr>
          <w:rStyle w:val="StyleUnderline"/>
        </w:rPr>
        <w:t>resulted in</w:t>
      </w:r>
      <w:r w:rsidRPr="00223414">
        <w:rPr>
          <w:sz w:val="16"/>
        </w:rPr>
        <w:t xml:space="preserve"> certain </w:t>
      </w:r>
      <w:r w:rsidRPr="00DD2D90">
        <w:rPr>
          <w:rStyle w:val="StyleUnderline"/>
        </w:rPr>
        <w:t xml:space="preserve">disadvantaged </w:t>
      </w:r>
      <w:r w:rsidRPr="00223414">
        <w:rPr>
          <w:sz w:val="16"/>
        </w:rPr>
        <w:t xml:space="preserve">individuals, </w:t>
      </w:r>
      <w:r w:rsidRPr="00DD2D90">
        <w:rPr>
          <w:rStyle w:val="StyleUnderline"/>
        </w:rPr>
        <w:t>populations, and</w:t>
      </w:r>
      <w:r w:rsidRPr="00223414">
        <w:rPr>
          <w:sz w:val="16"/>
        </w:rPr>
        <w:t xml:space="preserve"> even </w:t>
      </w:r>
      <w:r w:rsidRPr="00DD2D90">
        <w:rPr>
          <w:rStyle w:val="StyleUnderline"/>
        </w:rPr>
        <w:t>nations</w:t>
      </w:r>
      <w:r w:rsidRPr="00223414">
        <w:rPr>
          <w:sz w:val="16"/>
        </w:rPr>
        <w:t xml:space="preserve"> </w:t>
      </w:r>
      <w:r w:rsidRPr="00DD2D90">
        <w:rPr>
          <w:rStyle w:val="StyleUnderline"/>
        </w:rPr>
        <w:t>being reduced to the role of “suppliers</w:t>
      </w:r>
      <w:r w:rsidRPr="00223414">
        <w:rPr>
          <w:sz w:val="16"/>
        </w:rPr>
        <w:t xml:space="preserve">.” It is a scenario in which </w:t>
      </w:r>
      <w:r w:rsidRPr="00DD2D90">
        <w:rPr>
          <w:rStyle w:val="StyleUnderline"/>
        </w:rPr>
        <w:t xml:space="preserve">bodies are </w:t>
      </w:r>
      <w:r w:rsidRPr="00DD2D90">
        <w:rPr>
          <w:rStyle w:val="Emphasis"/>
        </w:rPr>
        <w:t>broken</w:t>
      </w:r>
      <w:r w:rsidRPr="00DD2D90">
        <w:rPr>
          <w:rStyle w:val="StyleUnderline"/>
        </w:rPr>
        <w:t>, transported, processed, and sold in the interests of a more socially advantaged population</w:t>
      </w:r>
      <w:r w:rsidRPr="00223414">
        <w:rPr>
          <w:sz w:val="16"/>
        </w:rPr>
        <w:t xml:space="preserve"> of organs and tissues receiv- ers. </w:t>
      </w:r>
      <w:r w:rsidRPr="00DD2D90">
        <w:rPr>
          <w:rStyle w:val="StyleUnderline"/>
        </w:rPr>
        <w:t>Desperation</w:t>
      </w:r>
      <w:r w:rsidRPr="00223414">
        <w:rPr>
          <w:sz w:val="16"/>
        </w:rPr>
        <w:t xml:space="preserve"> on both sides and the willingness of both trans- plant doctors and their patients to see only one side of the trans- plant equation </w:t>
      </w:r>
      <w:r w:rsidRPr="00DD2D90">
        <w:rPr>
          <w:rStyle w:val="StyleUnderline"/>
        </w:rPr>
        <w:t>allows the commodified</w:t>
      </w:r>
      <w:r w:rsidRPr="00223414">
        <w:rPr>
          <w:sz w:val="16"/>
        </w:rPr>
        <w:t xml:space="preserve"> and fetishized </w:t>
      </w:r>
      <w:r w:rsidRPr="00DD2D90">
        <w:rPr>
          <w:rStyle w:val="StyleUnderline"/>
        </w:rPr>
        <w:t>kidney</w:t>
      </w:r>
      <w:r w:rsidRPr="00223414">
        <w:rPr>
          <w:sz w:val="16"/>
        </w:rPr>
        <w:t xml:space="preserve"> </w:t>
      </w:r>
      <w:r w:rsidRPr="00DD2D90">
        <w:rPr>
          <w:rStyle w:val="StyleUnderline"/>
        </w:rPr>
        <w:t xml:space="preserve">to become an organ of opportunity for the buyer and an organ of </w:t>
      </w:r>
      <w:r w:rsidRPr="00DD2D90">
        <w:rPr>
          <w:rStyle w:val="Emphasis"/>
        </w:rPr>
        <w:t>last resort</w:t>
      </w:r>
      <w:r w:rsidRPr="00DD2D90">
        <w:rPr>
          <w:rStyle w:val="StyleUnderline"/>
        </w:rPr>
        <w:t xml:space="preserve"> for the seller</w:t>
      </w:r>
      <w:r w:rsidRPr="00223414">
        <w:rPr>
          <w:sz w:val="16"/>
        </w:rPr>
        <w:t xml:space="preserve">. </w:t>
      </w:r>
      <w:r w:rsidRPr="00DD2D90">
        <w:rPr>
          <w:rStyle w:val="StyleUnderline"/>
          <w:highlight w:val="green"/>
        </w:rPr>
        <w:t>The policy</w:t>
      </w:r>
      <w:r w:rsidRPr="00DD2D90">
        <w:rPr>
          <w:rStyle w:val="StyleUnderline"/>
        </w:rPr>
        <w:t xml:space="preserve"> </w:t>
      </w:r>
      <w:r w:rsidRPr="00223414">
        <w:rPr>
          <w:sz w:val="16"/>
        </w:rPr>
        <w:t xml:space="preserve">among kidney transplant doctors in the United States </w:t>
      </w:r>
      <w:r w:rsidRPr="00DD2D90">
        <w:rPr>
          <w:rStyle w:val="StyleUnderline"/>
          <w:highlight w:val="green"/>
        </w:rPr>
        <w:t>might</w:t>
      </w:r>
      <w:r w:rsidRPr="00223414">
        <w:rPr>
          <w:sz w:val="16"/>
        </w:rPr>
        <w:t xml:space="preserve"> best </w:t>
      </w:r>
      <w:r w:rsidRPr="00DD2D90">
        <w:rPr>
          <w:rStyle w:val="StyleUnderline"/>
          <w:highlight w:val="green"/>
        </w:rPr>
        <w:t>be</w:t>
      </w:r>
      <w:r w:rsidRPr="00223414">
        <w:rPr>
          <w:sz w:val="16"/>
        </w:rPr>
        <w:t xml:space="preserve"> described as “don’t ask, don’t tell.” This also might be </w:t>
      </w:r>
      <w:r w:rsidRPr="00DD2D90">
        <w:rPr>
          <w:rStyle w:val="StyleUnderline"/>
          <w:highlight w:val="green"/>
        </w:rPr>
        <w:t>called</w:t>
      </w:r>
      <w:r w:rsidRPr="00223414">
        <w:rPr>
          <w:sz w:val="16"/>
        </w:rPr>
        <w:t xml:space="preserve"> </w:t>
      </w:r>
      <w:r w:rsidRPr="00DD2D90">
        <w:rPr>
          <w:rStyle w:val="Emphasis"/>
          <w:highlight w:val="green"/>
        </w:rPr>
        <w:t>neocannibalism</w:t>
      </w:r>
      <w:r w:rsidRPr="00223414">
        <w:rPr>
          <w:sz w:val="16"/>
        </w:rPr>
        <w:t xml:space="preserve">. In the United States, for instance, organs brokers like “Liv- ers-4-You” advertise freely on the Internet: Want a living donor next week, or a morgue organ in five years? We are a new organization with a New York City phone number and unique in locating the overseas pathway for those waiting too long for a transplant. This group states that it has “joined with medical professionals in the Philippines (and other as yet undesignated countries) to help ‘fill the gap’ between the supply and demand for organs.” For those nervous about traveling to a developing country for transplant surgery, the website notes that medical schools in the Philippines are “carbon copies” of U.S. schools and that Philippine transplant surgeons are trained in the United States. Those in doubt about the quality of medical care in the Philippines are told to contact the U.S. consulate in Manila, the Manila office of multinational corporations, or the Catholic Church in Manila. All will provide positive references on the practice of transplant surgery in the Phil- ippines. The only glitch is that the cost for a live donor is “higher than for a cadaver.” Overall though, the cost is still about half the current cost of transplant in the United States. The payment me- chanics—through bank wire transfers—are handled by the Livers- 4-You online staff. Medical arrangements are handled by the organization’s head surgeon, who is a U.S.-trained and licensed doctor who has “done many operations in the United States.” Transplant procedures are astronomically expensive (in the United States a heart transplant costs more than $300,000) and are frequently hindered by unremitting shortages in organs. The media, prompted by organs procurement organizations, produce frequent references to the number of people who will die each year waiting for an organ. In the United States over 70,000 people ap- pear on organs waiting lists. Every year the demand for organs in- creases as transplant organizations, transplant professionals, and patients’ rights groups demand that new categories of people be- come eligible for organ transplants. For example, at their annual meetings in Leiden, the Netherlands, in September 2000, members of Eurotransplant supported new experiments that expanded transplant waiting lists to include the medical margins—those over 70 years, infants, those with hepatitis C and HIV seropositivity, and those proven to be immunilogically prone to organ rejection. There was no acknowledgement that these experiments would inflate the demand for organs and promote the development of desperate means, including the black market, to obtain them. Instead, these experiments were defended as a democratic gesture and a service to those potential transplant consumers demanding the right to any and all advanced medical procedures now available. Biopolitics: Race, Class, and Ethnicity in Organs Procurement There is little consciousness of the vulnerability of some social classes and ethnic groups who can be described as </w:t>
      </w:r>
      <w:r w:rsidRPr="00DD2D90">
        <w:rPr>
          <w:rStyle w:val="StyleUnderline"/>
        </w:rPr>
        <w:t>the</w:t>
      </w:r>
      <w:r w:rsidRPr="00223414">
        <w:rPr>
          <w:sz w:val="16"/>
        </w:rPr>
        <w:t xml:space="preserve"> “designated </w:t>
      </w:r>
      <w:r w:rsidRPr="00DD2D90">
        <w:rPr>
          <w:rStyle w:val="StyleUnderline"/>
        </w:rPr>
        <w:t>donor</w:t>
      </w:r>
      <w:r w:rsidRPr="00223414">
        <w:rPr>
          <w:sz w:val="16"/>
        </w:rPr>
        <w:t xml:space="preserve">” </w:t>
      </w:r>
      <w:r w:rsidRPr="00DD2D90">
        <w:rPr>
          <w:rStyle w:val="StyleUnderline"/>
        </w:rPr>
        <w:t>populations</w:t>
      </w:r>
      <w:r w:rsidRPr="00223414">
        <w:rPr>
          <w:sz w:val="16"/>
        </w:rPr>
        <w:t xml:space="preserve">. In the United States, this </w:t>
      </w:r>
      <w:r w:rsidRPr="00DD2D90">
        <w:rPr>
          <w:rStyle w:val="StyleUnderline"/>
        </w:rPr>
        <w:t>group is dispropor- tionately poor</w:t>
      </w:r>
      <w:r w:rsidRPr="00223414">
        <w:rPr>
          <w:sz w:val="16"/>
        </w:rPr>
        <w:t xml:space="preserve">—including whites, </w:t>
      </w:r>
      <w:r w:rsidRPr="00DD2D90">
        <w:rPr>
          <w:rStyle w:val="StyleUnderline"/>
        </w:rPr>
        <w:t>Latinos</w:t>
      </w:r>
      <w:r w:rsidRPr="00223414">
        <w:rPr>
          <w:sz w:val="16"/>
        </w:rPr>
        <w:t xml:space="preserve">, </w:t>
      </w:r>
      <w:r w:rsidRPr="00DD2D90">
        <w:rPr>
          <w:rStyle w:val="StyleUnderline"/>
        </w:rPr>
        <w:t>and African Americans</w:t>
      </w:r>
      <w:r w:rsidRPr="00223414">
        <w:rPr>
          <w:sz w:val="16"/>
        </w:rPr>
        <w:t xml:space="preserve">. The poor </w:t>
      </w:r>
      <w:r w:rsidRPr="00DD2D90">
        <w:rPr>
          <w:rStyle w:val="StyleUnderline"/>
        </w:rPr>
        <w:t xml:space="preserve">are </w:t>
      </w:r>
      <w:r w:rsidRPr="00DD2D90">
        <w:rPr>
          <w:rStyle w:val="Emphasis"/>
        </w:rPr>
        <w:t>over-represented</w:t>
      </w:r>
      <w:r w:rsidRPr="00223414">
        <w:rPr>
          <w:sz w:val="16"/>
        </w:rPr>
        <w:t xml:space="preserve"> in the intensive care centers (ICUs) of large urban hospitals, due to their disproportionate exposure to urban violence, the higher rates of suicide and vehicular death in their communities, and the cumulative effects of societal and medical neglect. The great irony is that </w:t>
      </w:r>
      <w:r w:rsidRPr="00DD2D90">
        <w:rPr>
          <w:rStyle w:val="StyleUnderline"/>
          <w:highlight w:val="green"/>
        </w:rPr>
        <w:t>those lacking public insurance</w:t>
      </w:r>
      <w:r w:rsidRPr="00223414">
        <w:rPr>
          <w:sz w:val="16"/>
        </w:rPr>
        <w:t xml:space="preserve"> (44 million citi- zens) also </w:t>
      </w:r>
      <w:r w:rsidRPr="00DD2D90">
        <w:rPr>
          <w:rStyle w:val="StyleUnderline"/>
          <w:highlight w:val="green"/>
        </w:rPr>
        <w:t>comprise the greatest num- ber</w:t>
      </w:r>
      <w:r w:rsidRPr="00DD2D90">
        <w:rPr>
          <w:rStyle w:val="StyleUnderline"/>
        </w:rPr>
        <w:t xml:space="preserve"> </w:t>
      </w:r>
      <w:r w:rsidRPr="00DD2D90">
        <w:rPr>
          <w:rStyle w:val="StyleUnderline"/>
          <w:highlight w:val="green"/>
        </w:rPr>
        <w:t>of those whose family members are asked to</w:t>
      </w:r>
      <w:r w:rsidRPr="00223414">
        <w:rPr>
          <w:sz w:val="16"/>
        </w:rPr>
        <w:t xml:space="preserve"> be altruistic and voluntarily </w:t>
      </w:r>
      <w:r w:rsidRPr="00DD2D90">
        <w:rPr>
          <w:rStyle w:val="StyleUnderline"/>
          <w:highlight w:val="green"/>
        </w:rPr>
        <w:t>donate</w:t>
      </w:r>
      <w:r w:rsidRPr="00DD2D90">
        <w:rPr>
          <w:rStyle w:val="StyleUnderline"/>
        </w:rPr>
        <w:t xml:space="preserve"> </w:t>
      </w:r>
      <w:r w:rsidRPr="00223414">
        <w:rPr>
          <w:sz w:val="16"/>
        </w:rPr>
        <w:t xml:space="preserve">the </w:t>
      </w:r>
      <w:r w:rsidRPr="00DD2D90">
        <w:rPr>
          <w:rStyle w:val="StyleUnderline"/>
        </w:rPr>
        <w:t>organs</w:t>
      </w:r>
      <w:r w:rsidRPr="00223414">
        <w:rPr>
          <w:sz w:val="16"/>
        </w:rPr>
        <w:t xml:space="preserve"> and tissues of loved ones. That a great many of these families refuse to donate should come as no surprise. </w:t>
      </w:r>
      <w:r w:rsidRPr="00DD2D90">
        <w:rPr>
          <w:rStyle w:val="StyleUnderline"/>
          <w:highlight w:val="green"/>
        </w:rPr>
        <w:t>They</w:t>
      </w:r>
      <w:r w:rsidRPr="00DD2D90">
        <w:rPr>
          <w:rStyle w:val="StyleUnderline"/>
        </w:rPr>
        <w:t xml:space="preserve"> are being asked to </w:t>
      </w:r>
      <w:r w:rsidRPr="00DD2D90">
        <w:rPr>
          <w:rStyle w:val="StyleUnderline"/>
          <w:highlight w:val="green"/>
        </w:rPr>
        <w:t>give organs to support a</w:t>
      </w:r>
      <w:r w:rsidRPr="00223414">
        <w:rPr>
          <w:sz w:val="16"/>
        </w:rPr>
        <w:t xml:space="preserve"> social and </w:t>
      </w:r>
      <w:r w:rsidRPr="00DD2D90">
        <w:rPr>
          <w:rStyle w:val="StyleUnderline"/>
        </w:rPr>
        <w:t xml:space="preserve">medical </w:t>
      </w:r>
      <w:r w:rsidRPr="00DD2D90">
        <w:rPr>
          <w:rStyle w:val="StyleUnderline"/>
          <w:highlight w:val="green"/>
        </w:rPr>
        <w:t xml:space="preserve">system that </w:t>
      </w:r>
      <w:r w:rsidRPr="00DD2D90">
        <w:rPr>
          <w:rStyle w:val="Emphasis"/>
          <w:highlight w:val="green"/>
        </w:rPr>
        <w:t>excludes</w:t>
      </w:r>
      <w:r w:rsidRPr="00DD2D90">
        <w:rPr>
          <w:rStyle w:val="StyleUnderline"/>
          <w:highlight w:val="green"/>
        </w:rPr>
        <w:t xml:space="preserve"> them</w:t>
      </w:r>
      <w:r w:rsidRPr="00223414">
        <w:rPr>
          <w:sz w:val="16"/>
        </w:rPr>
        <w:t xml:space="preserve"> and within which they would have a lower probability of receiv- ing an organ, should that need arise. One needs to be relatively af- fluent and otherwise healthy and well looked after to be recom- mended for organ transplant. Widespread refusal to donate among poor Latino and African Americans is a political act of considered resistance. Meanwhile, across the globe, </w:t>
      </w:r>
      <w:r w:rsidRPr="00DD2D90">
        <w:rPr>
          <w:rStyle w:val="StyleUnderline"/>
        </w:rPr>
        <w:t>medical human rights workers</w:t>
      </w:r>
      <w:r w:rsidRPr="00223414">
        <w:rPr>
          <w:sz w:val="16"/>
        </w:rPr>
        <w:t xml:space="preserve"> in the West Bank </w:t>
      </w:r>
      <w:r w:rsidRPr="00DD2D90">
        <w:rPr>
          <w:rStyle w:val="StyleUnderline"/>
        </w:rPr>
        <w:t xml:space="preserve">complained of </w:t>
      </w:r>
      <w:r w:rsidRPr="00DD2D90">
        <w:rPr>
          <w:rStyle w:val="Emphasis"/>
        </w:rPr>
        <w:t>gross violations</w:t>
      </w:r>
      <w:r w:rsidRPr="00223414">
        <w:rPr>
          <w:sz w:val="16"/>
        </w:rPr>
        <w:t xml:space="preserve"> </w:t>
      </w:r>
      <w:r w:rsidRPr="00DD2D90">
        <w:rPr>
          <w:rStyle w:val="StyleUnderline"/>
        </w:rPr>
        <w:t>of Palestinian bodies by Israeli pathologists</w:t>
      </w:r>
      <w:r w:rsidRPr="00223414">
        <w:rPr>
          <w:sz w:val="16"/>
        </w:rPr>
        <w:t xml:space="preserve"> at the National Legal Medical Insti- tute in Tel Aviv. An official investigation committee appointed by the Minister of Health confirmed the suspicions of Palestinian health workers. The harvested organs and tissues were sold by the Institute to hospitals and medical centers for surgical procedures, research, and medical teaching. A special “squad” of surgeons on military reserve duty performs the harvesting. This practice was established by the head of the national skin bank, who was for- merly also Chief Medical Officer of the Israeli Defense Forces. Re- lying on “presumed consent” the staff of the Forensic Institute and the surgeons who illegally harvested skin and organs said that they believed they were helping to save lives, and that this was more important than trying to procure the consent of ill-informed and grieving family members. As elsewhere, tissues and </w:t>
      </w:r>
      <w:r w:rsidRPr="00DD2D90">
        <w:rPr>
          <w:rStyle w:val="StyleUnderline"/>
        </w:rPr>
        <w:t xml:space="preserve">organs were regarded as mere </w:t>
      </w:r>
      <w:r w:rsidRPr="00DD2D90">
        <w:rPr>
          <w:rStyle w:val="Emphasis"/>
        </w:rPr>
        <w:t>detachable</w:t>
      </w:r>
      <w:r w:rsidRPr="00DD2D90">
        <w:rPr>
          <w:rStyle w:val="StyleUnderline"/>
        </w:rPr>
        <w:t xml:space="preserve"> objects</w:t>
      </w:r>
      <w:r w:rsidRPr="00223414">
        <w:rPr>
          <w:sz w:val="16"/>
        </w:rPr>
        <w:t xml:space="preserve"> that could be transformed into something valuable. Some bodies were, however, exempt from this practice, namely the bodies of </w:t>
      </w:r>
      <w:r w:rsidRPr="00DD2D90">
        <w:rPr>
          <w:rStyle w:val="StyleUnderline"/>
        </w:rPr>
        <w:t>Israeli soldiers</w:t>
      </w:r>
      <w:r w:rsidRPr="00223414">
        <w:rPr>
          <w:sz w:val="16"/>
        </w:rPr>
        <w:t xml:space="preserve">, which </w:t>
      </w:r>
      <w:r w:rsidRPr="00DD2D90">
        <w:rPr>
          <w:rStyle w:val="StyleUnderline"/>
        </w:rPr>
        <w:t>are returned intact</w:t>
      </w:r>
      <w:r w:rsidRPr="00223414">
        <w:rPr>
          <w:sz w:val="16"/>
        </w:rPr>
        <w:t xml:space="preserve"> to their families for burial. Invented Scarcities—The Slide to Living Organ Donation and Medical Tourism Sadly, however, the discourse on scarcity conceals the actual exist- ence of excess and wasted organs that end up in hospital dumpsters on a daily basis throughout those parts of the world where the necessary infrastructure to use them is lacking. Indeed, the ill will and competitiveness of some hospital workers and medi- cal professionals also contributes to the production of organ “wast- age.” For example, </w:t>
      </w:r>
      <w:r w:rsidRPr="00DD2D90">
        <w:rPr>
          <w:rStyle w:val="StyleUnderline"/>
        </w:rPr>
        <w:t>transplant coordinators in public hospitals in many developing countries are often told to dispose of usable or- gans rather than allow the competition to “get their hands on them</w:t>
      </w:r>
      <w:r w:rsidRPr="00223414">
        <w:rPr>
          <w:sz w:val="16"/>
        </w:rPr>
        <w:t xml:space="preserve">.” The very idea of </w:t>
      </w:r>
      <w:r w:rsidRPr="00DD2D90">
        <w:rPr>
          <w:rStyle w:val="StyleUnderline"/>
        </w:rPr>
        <w:t>organ</w:t>
      </w:r>
      <w:r w:rsidRPr="00223414">
        <w:rPr>
          <w:sz w:val="16"/>
        </w:rPr>
        <w:t xml:space="preserve"> “</w:t>
      </w:r>
      <w:r w:rsidRPr="00DD2D90">
        <w:rPr>
          <w:rStyle w:val="StyleUnderline"/>
        </w:rPr>
        <w:t>scarcity</w:t>
      </w:r>
      <w:r w:rsidRPr="00223414">
        <w:rPr>
          <w:sz w:val="16"/>
        </w:rPr>
        <w:t xml:space="preserve">” </w:t>
      </w:r>
      <w:r w:rsidRPr="00DD2D90">
        <w:rPr>
          <w:rStyle w:val="StyleUnderline"/>
        </w:rPr>
        <w:t>is</w:t>
      </w:r>
      <w:r w:rsidRPr="00223414">
        <w:rPr>
          <w:sz w:val="16"/>
        </w:rPr>
        <w:t xml:space="preserve"> what Ivan Illich would call an </w:t>
      </w:r>
      <w:r w:rsidRPr="00DD2D90">
        <w:rPr>
          <w:rStyle w:val="StyleUnderline"/>
        </w:rPr>
        <w:t>artificially created need, invented by transplant technicians and dangled before the eyes of an ever-expanding sick, aging, and dy- ing population</w:t>
      </w:r>
      <w:r w:rsidRPr="00223414">
        <w:rPr>
          <w:sz w:val="16"/>
        </w:rPr>
        <w:t xml:space="preserve">. </w:t>
      </w:r>
      <w:r w:rsidRPr="00DD2D90">
        <w:rPr>
          <w:rStyle w:val="StyleUnderline"/>
        </w:rPr>
        <w:t>The resulting artificially created organs scarcity is “</w:t>
      </w:r>
      <w:r w:rsidRPr="00DD2D90">
        <w:rPr>
          <w:rStyle w:val="Emphasis"/>
        </w:rPr>
        <w:t>misrecognized</w:t>
      </w:r>
      <w:r w:rsidRPr="00DD2D90">
        <w:rPr>
          <w:rStyle w:val="StyleUnderline"/>
        </w:rPr>
        <w:t>” as a natural medical phenomenon</w:t>
      </w:r>
      <w:r w:rsidRPr="00223414">
        <w:rPr>
          <w:sz w:val="16"/>
        </w:rPr>
        <w:t xml:space="preserve">.4 In this envi- ronment of “survivalist” utilitarian pragmatics, the ethics of trans- plantation is modeled after classical “lifeboat” ethics.5 With ethi- cal presumptions of scarcity, there appears to be clear choices to be made, namely </w:t>
      </w:r>
      <w:r w:rsidRPr="00DD2D90">
        <w:rPr>
          <w:rStyle w:val="StyleUnderline"/>
        </w:rPr>
        <w:t>who gets into the lifeboat</w:t>
      </w:r>
      <w:r w:rsidRPr="00223414">
        <w:rPr>
          <w:sz w:val="16"/>
        </w:rPr>
        <w:t xml:space="preserve"> (“getting on the wait- ing list”); </w:t>
      </w:r>
      <w:r w:rsidRPr="00DD2D90">
        <w:rPr>
          <w:rStyle w:val="StyleUnderline"/>
        </w:rPr>
        <w:t>who will be shoved off the boat</w:t>
      </w:r>
      <w:r w:rsidRPr="00223414">
        <w:rPr>
          <w:sz w:val="16"/>
        </w:rPr>
        <w:t xml:space="preserve"> when it gets overcrowded (getting triaged while on the waiting list); </w:t>
      </w:r>
      <w:r w:rsidRPr="00DD2D90">
        <w:rPr>
          <w:rStyle w:val="StyleUnderline"/>
        </w:rPr>
        <w:t>and who will</w:t>
      </w:r>
      <w:r w:rsidRPr="00223414">
        <w:rPr>
          <w:sz w:val="16"/>
        </w:rPr>
        <w:t xml:space="preserve">, in the end, </w:t>
      </w:r>
      <w:r w:rsidRPr="00DD2D90">
        <w:rPr>
          <w:rStyle w:val="StyleUnderline"/>
        </w:rPr>
        <w:t>be</w:t>
      </w:r>
      <w:r w:rsidRPr="00223414">
        <w:rPr>
          <w:sz w:val="16"/>
        </w:rPr>
        <w:t xml:space="preserve"> “</w:t>
      </w:r>
      <w:r w:rsidRPr="00DD2D90">
        <w:rPr>
          <w:rStyle w:val="StyleUnderline"/>
        </w:rPr>
        <w:t>eaten</w:t>
      </w:r>
      <w:r w:rsidRPr="00223414">
        <w:rPr>
          <w:sz w:val="16"/>
        </w:rPr>
        <w:t xml:space="preserve">” </w:t>
      </w:r>
      <w:r w:rsidRPr="00DD2D90">
        <w:rPr>
          <w:rStyle w:val="StyleUnderline"/>
        </w:rPr>
        <w:t>so that others may live</w:t>
      </w:r>
      <w:r w:rsidRPr="00223414">
        <w:rPr>
          <w:sz w:val="16"/>
        </w:rPr>
        <w:t xml:space="preserve"> (race and class disparities in or- gans procurement and distribution practices). A new kind of organ trade has emerged out of the global economy: </w:t>
      </w:r>
      <w:r w:rsidRPr="00DD2D90">
        <w:rPr>
          <w:rStyle w:val="StyleUnderline"/>
        </w:rPr>
        <w:t>transplant tourism</w:t>
      </w:r>
      <w:r w:rsidRPr="00223414">
        <w:rPr>
          <w:sz w:val="16"/>
        </w:rPr>
        <w:t xml:space="preserve">. Along with it, a group of self-defined transplant outlaws—doctors, patients, brokers, and kidney sellers— has emerged. </w:t>
      </w:r>
      <w:r w:rsidRPr="00DD2D90">
        <w:rPr>
          <w:rStyle w:val="StyleUnderline"/>
        </w:rPr>
        <w:t xml:space="preserve">They </w:t>
      </w:r>
      <w:r w:rsidRPr="00DD2D90">
        <w:rPr>
          <w:rStyle w:val="Emphasis"/>
        </w:rPr>
        <w:t>short-circuit</w:t>
      </w:r>
      <w:r w:rsidRPr="00DD2D90">
        <w:rPr>
          <w:rStyle w:val="StyleUnderline"/>
        </w:rPr>
        <w:t xml:space="preserve"> national waiting lists and make a mockery of</w:t>
      </w:r>
      <w:r w:rsidRPr="00223414">
        <w:rPr>
          <w:sz w:val="16"/>
        </w:rPr>
        <w:t xml:space="preserve"> national and </w:t>
      </w:r>
      <w:r w:rsidRPr="00DD2D90">
        <w:rPr>
          <w:rStyle w:val="StyleUnderline"/>
        </w:rPr>
        <w:t>international codes of ethics prohibiting the sale of organs</w:t>
      </w:r>
      <w:r w:rsidRPr="00223414">
        <w:rPr>
          <w:sz w:val="16"/>
        </w:rPr>
        <w:t xml:space="preserve">, from either living or dead donors. The key ac- tors are a new class of </w:t>
      </w:r>
      <w:r w:rsidRPr="00DD2D90">
        <w:rPr>
          <w:rStyle w:val="StyleUnderline"/>
        </w:rPr>
        <w:t>entrepreneurial organs brokers</w:t>
      </w:r>
      <w:r w:rsidRPr="00223414">
        <w:rPr>
          <w:sz w:val="16"/>
        </w:rPr>
        <w:t xml:space="preserve">, who </w:t>
      </w:r>
      <w:r w:rsidRPr="00DD2D90">
        <w:rPr>
          <w:rStyle w:val="StyleUnderline"/>
        </w:rPr>
        <w:t>take advantage of questionable organs scarcity panics and the despera- tion of both the organs buyers and the organs sellers</w:t>
      </w:r>
      <w:r w:rsidRPr="00223414">
        <w:rPr>
          <w:sz w:val="16"/>
        </w:rPr>
        <w:t xml:space="preserve">. The sellers are recruited from populations that are suffering from economic transitions. </w:t>
      </w:r>
      <w:r w:rsidRPr="00DD2D90">
        <w:rPr>
          <w:rStyle w:val="StyleUnderline"/>
        </w:rPr>
        <w:t>These include displaced rural populations, guest work- ers, refugees, and young soldiers</w:t>
      </w:r>
      <w:r w:rsidRPr="00223414">
        <w:rPr>
          <w:sz w:val="16"/>
        </w:rPr>
        <w:t xml:space="preserve">. Supplying the Market Through Biopiracy: Tissues Procurement Practices Drawing on widely sited ethnographic field research, Organs Watch has investigated international organs buying, selling, and transplantation in an effort to document the impact of the organs market on the bodies of some of the most vulnerable citizens of the new world order. Organs Watch researchers have followed transplant patients from dialysis clinics to meetings with brokers in suburban shopping malls, and into illicit surgeries. They have also visited the township shabeens, squatter camps, and city jails where people are most likely to sell their organs, sometimes in “or- gans motels” inside private hospitals. They have seen dead bodies flow from hospital morgues and police mortuaries to the issue banks and biotech companies where their parts are harvested and processed—often for sale. All of this </w:t>
      </w:r>
      <w:r w:rsidRPr="00DD2D90">
        <w:rPr>
          <w:rStyle w:val="StyleUnderline"/>
        </w:rPr>
        <w:t>field research confirms</w:t>
      </w:r>
      <w:r w:rsidRPr="00223414">
        <w:rPr>
          <w:sz w:val="16"/>
        </w:rPr>
        <w:t xml:space="preserve"> the existence of a new form of “</w:t>
      </w:r>
      <w:r w:rsidRPr="00DD2D90">
        <w:rPr>
          <w:rStyle w:val="Emphasis"/>
        </w:rPr>
        <w:t>apartheid medicine</w:t>
      </w:r>
      <w:r w:rsidRPr="00223414">
        <w:rPr>
          <w:sz w:val="16"/>
        </w:rPr>
        <w:t xml:space="preserve">” </w:t>
      </w:r>
      <w:r w:rsidRPr="00DD2D90">
        <w:rPr>
          <w:rStyle w:val="StyleUnderline"/>
        </w:rPr>
        <w:t>that privileges one class of patients, organ recipients, over another class of unrecognized “patients,” organ donors</w:t>
      </w:r>
      <w:r w:rsidRPr="00223414">
        <w:rPr>
          <w:sz w:val="16"/>
        </w:rPr>
        <w:t xml:space="preserve">, about whom almost nothing is known. In its odd juxtapositions of ethnography, documentation, surveillance, and human rights work, the Organs Watch project blends genres and transgresses old distinctions between anthropol- ogy, political journalism, scientific report, moral philosophy, and human rights advocacy. More than any other discipline, however, anthropology is best suited to investigate values and practices from a position of epistemological openness and to offer alternatives to the limited pragmatic utilitarianism that dominates medical bio- ethical thinking today. Brazil: Organ Theft </w:t>
      </w:r>
      <w:r w:rsidRPr="00DD2D90">
        <w:rPr>
          <w:rStyle w:val="StyleUnderline"/>
        </w:rPr>
        <w:t>The spread of biopiracy</w:t>
      </w:r>
      <w:r w:rsidRPr="00223414">
        <w:rPr>
          <w:sz w:val="16"/>
        </w:rPr>
        <w:t xml:space="preserve"> has </w:t>
      </w:r>
      <w:r w:rsidRPr="00DD2D90">
        <w:rPr>
          <w:rStyle w:val="StyleUnderline"/>
        </w:rPr>
        <w:t>affected</w:t>
      </w:r>
      <w:r w:rsidRPr="00223414">
        <w:rPr>
          <w:sz w:val="16"/>
        </w:rPr>
        <w:t xml:space="preserve"> many in </w:t>
      </w:r>
      <w:r w:rsidRPr="00DD2D90">
        <w:rPr>
          <w:rStyle w:val="StyleUnderline"/>
        </w:rPr>
        <w:t xml:space="preserve">the developing world, whose plight is often the result of the medical establishment’s </w:t>
      </w:r>
      <w:r w:rsidRPr="00DD2D90">
        <w:rPr>
          <w:rStyle w:val="Emphasis"/>
        </w:rPr>
        <w:t>complicity</w:t>
      </w:r>
      <w:r w:rsidRPr="00DD2D90">
        <w:rPr>
          <w:rStyle w:val="StyleUnderline"/>
        </w:rPr>
        <w:t xml:space="preserve"> in the illegal organ trafficking</w:t>
      </w:r>
      <w:r w:rsidRPr="00223414">
        <w:rPr>
          <w:sz w:val="16"/>
        </w:rPr>
        <w:t>. For example, during the summer of 1998 Laudiceia Cristina da Silva, a young mother and office receptionist in Sao Paolo, filed a formal denuncia—a com- plaint—requesting a crimi- nal investigation of the large teaching hospital where, a year earlier, dur- ing a routine operation to remove an ovarian cyst she had “lost” a kidney as well. The “missing kidney” was discovered soon after the operation by the woman’s family doctor during a follow-up examination. Laudiceia was continuing to experience excruciating pain and changes in her urination. Her doctor was suspicious of the large surgical scar and ordered a sonogram. When confronted with the information, the hospital repre- sentative told a highly improbable story—that Laudiceia’s missing kidney was embedded in the large “mass” that had accumulated around her ovarian cyst, and was removed with it. But the hospi- tal refused to produce their medical records or the evidence. The diseased ovary and the kidney had been “discarded,” she was told, and her medical records had been temporarily misplaced. Laudiceia and her family doctor are convinced that her kidney was taken to serve the needs of another, wealthier patient in the same hospital. To make matters worse, the young woman’s only brother had been killed in a random act of urban violence several weeks earlier, and the family arrived at the hospital too late to stop organ retrieval. Brazil’s new “presumed consent” law, which has since been re- voked, allowed doctors to remove organs unless the individual had gone to a civil registry office and had a declaration stating “I am Not A Tissues or Organs Donor” stamped on his official identifi- cation papers. “</w:t>
      </w:r>
      <w:r w:rsidRPr="00DD2D90">
        <w:rPr>
          <w:rStyle w:val="StyleUnderline"/>
          <w:highlight w:val="green"/>
        </w:rPr>
        <w:t>Poor people</w:t>
      </w:r>
      <w:r w:rsidRPr="00DD2D90">
        <w:rPr>
          <w:rStyle w:val="StyleUnderline"/>
        </w:rPr>
        <w:t xml:space="preserve"> like ourselves </w:t>
      </w:r>
      <w:r w:rsidRPr="00DD2D90">
        <w:rPr>
          <w:rStyle w:val="StyleUnderline"/>
          <w:highlight w:val="green"/>
        </w:rPr>
        <w:t>are losing our organs to the state</w:t>
      </w:r>
      <w:r w:rsidRPr="00DD2D90">
        <w:rPr>
          <w:rStyle w:val="StyleUnderline"/>
        </w:rPr>
        <w:t>, one by one</w:t>
      </w:r>
      <w:r w:rsidRPr="00223414">
        <w:rPr>
          <w:sz w:val="16"/>
        </w:rPr>
        <w:t xml:space="preserve">,” Laudiceia complained angrily.6 Laudiceia’s legal case is now “in process” and will most likely be resolved, as many of these cases are, out of court. If so, the young woman will not be allowed to discuss her case any further. Neither is there a lack of </w:t>
      </w:r>
      <w:r w:rsidRPr="00DD2D90">
        <w:rPr>
          <w:rStyle w:val="StyleUnderline"/>
        </w:rPr>
        <w:t>desperate people</w:t>
      </w:r>
      <w:r w:rsidRPr="00223414">
        <w:rPr>
          <w:sz w:val="16"/>
        </w:rPr>
        <w:t xml:space="preserve"> willing to </w:t>
      </w:r>
      <w:r w:rsidRPr="00DD2D90">
        <w:rPr>
          <w:rStyle w:val="StyleUnderline"/>
        </w:rPr>
        <w:t>sell a kidney for a pittance</w:t>
      </w:r>
      <w:r w:rsidRPr="00223414">
        <w:rPr>
          <w:sz w:val="16"/>
        </w:rPr>
        <w:t>—</w:t>
      </w:r>
      <w:r w:rsidRPr="00DD2D90">
        <w:rPr>
          <w:rStyle w:val="StyleUnderline"/>
        </w:rPr>
        <w:t xml:space="preserve">as little as </w:t>
      </w:r>
      <w:r w:rsidRPr="00DD2D90">
        <w:rPr>
          <w:rStyle w:val="Emphasis"/>
        </w:rPr>
        <w:t>$1,000</w:t>
      </w:r>
      <w:r w:rsidRPr="00DD2D90">
        <w:rPr>
          <w:rStyle w:val="StyleUnderline"/>
        </w:rPr>
        <w:t>.</w:t>
      </w:r>
      <w:r w:rsidRPr="00223414">
        <w:rPr>
          <w:sz w:val="16"/>
        </w:rPr>
        <w:t xml:space="preserve"> Many of them wait out- side transplant units or in special wards of surgical units reserved for them, in places like India, Iraq, Moldova, the Philippines, and Tur- key, begging to be considered and hoping for a good match with a prospective buyer. In general, </w:t>
      </w:r>
      <w:r w:rsidRPr="00DD2D90">
        <w:rPr>
          <w:rStyle w:val="StyleUnderline"/>
          <w:highlight w:val="green"/>
        </w:rPr>
        <w:t>the circulation of organs flows from South to North</w:t>
      </w:r>
      <w:r w:rsidRPr="00DD2D90">
        <w:rPr>
          <w:rStyle w:val="StyleUnderline"/>
        </w:rPr>
        <w:t xml:space="preserve">, </w:t>
      </w:r>
      <w:r w:rsidRPr="00DD2D90">
        <w:rPr>
          <w:rStyle w:val="StyleUnderline"/>
          <w:highlight w:val="green"/>
        </w:rPr>
        <w:t>from poorer to more affluent bodies, from black and brown bodies to white ones</w:t>
      </w:r>
      <w:r w:rsidRPr="00DD2D90">
        <w:rPr>
          <w:rStyle w:val="StyleUnderline"/>
        </w:rPr>
        <w:t xml:space="preserve">, </w:t>
      </w:r>
      <w:r w:rsidRPr="00DD2D90">
        <w:rPr>
          <w:rStyle w:val="StyleUnderline"/>
          <w:highlight w:val="green"/>
        </w:rPr>
        <w:t>and from females to males</w:t>
      </w:r>
      <w:r w:rsidRPr="00223414">
        <w:rPr>
          <w:sz w:val="16"/>
        </w:rPr>
        <w:t xml:space="preserve">. </w:t>
      </w:r>
      <w:r w:rsidRPr="00DD2D90">
        <w:rPr>
          <w:rStyle w:val="StyleUnderline"/>
        </w:rPr>
        <w:t xml:space="preserve">Entire </w:t>
      </w:r>
      <w:r w:rsidRPr="00DD2D90">
        <w:rPr>
          <w:rStyle w:val="StyleUnderline"/>
          <w:highlight w:val="green"/>
        </w:rPr>
        <w:t>re- gions are</w:t>
      </w:r>
      <w:r w:rsidRPr="00DD2D90">
        <w:rPr>
          <w:rStyle w:val="StyleUnderline"/>
        </w:rPr>
        <w:t xml:space="preserve"> known</w:t>
      </w:r>
      <w:r w:rsidRPr="00223414">
        <w:rPr>
          <w:sz w:val="16"/>
        </w:rPr>
        <w:t xml:space="preserve"> in the transplant world </w:t>
      </w:r>
      <w:r w:rsidRPr="00DD2D90">
        <w:rPr>
          <w:rStyle w:val="StyleUnderline"/>
        </w:rPr>
        <w:t>as “</w:t>
      </w:r>
      <w:r w:rsidRPr="00DD2D90">
        <w:rPr>
          <w:rStyle w:val="Emphasis"/>
          <w:highlight w:val="green"/>
        </w:rPr>
        <w:t>kidney belts</w:t>
      </w:r>
      <w:r w:rsidRPr="00223414">
        <w:rPr>
          <w:sz w:val="16"/>
        </w:rPr>
        <w:t xml:space="preserve">” </w:t>
      </w:r>
      <w:r w:rsidRPr="00DD2D90">
        <w:rPr>
          <w:rStyle w:val="StyleUnderline"/>
          <w:highlight w:val="green"/>
        </w:rPr>
        <w:t>because so many</w:t>
      </w:r>
      <w:r w:rsidRPr="00223414">
        <w:rPr>
          <w:sz w:val="16"/>
        </w:rPr>
        <w:t xml:space="preserve"> who live there </w:t>
      </w:r>
      <w:r w:rsidRPr="00DD2D90">
        <w:rPr>
          <w:rStyle w:val="StyleUnderline"/>
        </w:rPr>
        <w:t xml:space="preserve">are willing to </w:t>
      </w:r>
      <w:r w:rsidRPr="00DD2D90">
        <w:rPr>
          <w:rStyle w:val="StyleUnderline"/>
          <w:highlight w:val="green"/>
        </w:rPr>
        <w:t>sell</w:t>
      </w:r>
      <w:r w:rsidRPr="00DD2D90">
        <w:rPr>
          <w:rStyle w:val="StyleUnderline"/>
        </w:rPr>
        <w:t xml:space="preserve"> their “extra” kidney</w:t>
      </w:r>
      <w:r w:rsidRPr="00223414">
        <w:rPr>
          <w:sz w:val="16"/>
        </w:rPr>
        <w:t xml:space="preserve">. India: The Right to Sell? Across the globe during the summer of 1999, Lawrence Cohen sat in a one-room flat in a municipal housing project in a Chennai slum in South India talking with several local women, each of whom had sold a kidney for about $1,000. Each had undergone her kidney removal at the clinic of Dr. K. C. Reddy, India’s most outspoken advocate of the individual’s “right to sell” a kidney. The women Cohen inter- viewed were primarily low-paid domestic workers with hus- bands in debt. </w:t>
      </w:r>
      <w:r w:rsidRPr="00DD2D90">
        <w:rPr>
          <w:rStyle w:val="StyleUnderline"/>
        </w:rPr>
        <w:t>The kidney sale was usu- ally preceded by a fi- nancial crisis: the family had run out of credit and the bill collectors were at the door</w:t>
      </w:r>
      <w:r w:rsidRPr="00223414">
        <w:rPr>
          <w:sz w:val="16"/>
        </w:rPr>
        <w:t xml:space="preserve">. The women said that the money from selling their kidneys had offered temporary relief but that it was soon swallowed up by the usurious interest charged by local moneylenders. The families were all in debt again. They also stated emphatically that they would do it again. If only they had three kidneys, with two to spare, then things might be better.7 A decade ago, when townspeople first heard through news- paper reports of kidney sales occurring in the cities of Bombay and Madras, they responded with predictable alarm. Now, Cohen says, some of these same people speak as matter of fact about when it might be necessary to sell a “spare” organ. </w:t>
      </w:r>
      <w:r w:rsidRPr="00DD2D90">
        <w:rPr>
          <w:rStyle w:val="StyleUnderline"/>
          <w:highlight w:val="green"/>
        </w:rPr>
        <w:t>Globalization</w:t>
      </w:r>
      <w:r w:rsidRPr="00223414">
        <w:rPr>
          <w:sz w:val="16"/>
        </w:rPr>
        <w:t xml:space="preserve"> has </w:t>
      </w:r>
      <w:r w:rsidRPr="00DD2D90">
        <w:rPr>
          <w:rStyle w:val="StyleUnderline"/>
          <w:highlight w:val="green"/>
        </w:rPr>
        <w:t>en- couraged</w:t>
      </w:r>
      <w:r w:rsidRPr="00DD2D90">
        <w:rPr>
          <w:rStyle w:val="StyleUnderline"/>
        </w:rPr>
        <w:t xml:space="preserve"> the development of new forms of “</w:t>
      </w:r>
      <w:r w:rsidRPr="00DD2D90">
        <w:rPr>
          <w:rStyle w:val="StyleUnderline"/>
          <w:highlight w:val="green"/>
        </w:rPr>
        <w:t>debt peonage</w:t>
      </w:r>
      <w:r w:rsidRPr="00DD2D90">
        <w:rPr>
          <w:rStyle w:val="StyleUnderline"/>
        </w:rPr>
        <w:t xml:space="preserve">” in </w:t>
      </w:r>
      <w:r w:rsidRPr="00DD2D90">
        <w:rPr>
          <w:rStyle w:val="StyleUnderline"/>
          <w:highlight w:val="green"/>
        </w:rPr>
        <w:t>which the commodified</w:t>
      </w:r>
      <w:r w:rsidRPr="00DD2D90">
        <w:rPr>
          <w:rStyle w:val="StyleUnderline"/>
        </w:rPr>
        <w:t xml:space="preserve"> and fetishized </w:t>
      </w:r>
      <w:r w:rsidRPr="00DD2D90">
        <w:rPr>
          <w:rStyle w:val="StyleUnderline"/>
          <w:highlight w:val="green"/>
        </w:rPr>
        <w:t>kidney occupies</w:t>
      </w:r>
      <w:r w:rsidRPr="00DD2D90">
        <w:rPr>
          <w:rStyle w:val="StyleUnderline"/>
        </w:rPr>
        <w:t xml:space="preserve"> a critical role as </w:t>
      </w:r>
      <w:r w:rsidRPr="00DD2D90">
        <w:rPr>
          <w:rStyle w:val="StyleUnderline"/>
          <w:highlight w:val="green"/>
        </w:rPr>
        <w:t>collateral</w:t>
      </w:r>
      <w:r w:rsidRPr="00223414">
        <w:rPr>
          <w:sz w:val="16"/>
        </w:rPr>
        <w:t xml:space="preserve">. Today </w:t>
      </w:r>
      <w:r w:rsidRPr="00DD2D90">
        <w:rPr>
          <w:rStyle w:val="StyleUnderline"/>
        </w:rPr>
        <w:t>the spare kidney represents everyman’s last economic resort</w:t>
      </w:r>
      <w:r w:rsidRPr="00223414">
        <w:rPr>
          <w:sz w:val="16"/>
        </w:rPr>
        <w:t xml:space="preserve">, one’s ultimate collateral. Argentina: Targeting the mentally ill One place where Organs Watch found social justice lacking in the organs harvesting process was </w:t>
      </w:r>
      <w:r w:rsidRPr="00DD2D90">
        <w:rPr>
          <w:rStyle w:val="StyleUnderline"/>
        </w:rPr>
        <w:t>Argentina</w:t>
      </w:r>
      <w:r w:rsidRPr="00223414">
        <w:rPr>
          <w:sz w:val="16"/>
        </w:rPr>
        <w:t xml:space="preserve">. In January 2000, the group conducted an undercover visit to the Montes de Oca state </w:t>
      </w:r>
      <w:r w:rsidRPr="00DD2D90">
        <w:rPr>
          <w:rStyle w:val="StyleUnderline"/>
        </w:rPr>
        <w:t>mental asylum</w:t>
      </w:r>
      <w:r w:rsidRPr="00223414">
        <w:rPr>
          <w:sz w:val="16"/>
        </w:rPr>
        <w:t xml:space="preserve"> to investigate </w:t>
      </w:r>
      <w:r w:rsidRPr="00DD2D90">
        <w:rPr>
          <w:rStyle w:val="StyleUnderline"/>
        </w:rPr>
        <w:t>reports of blood, tissue, and organ stealing from</w:t>
      </w:r>
      <w:r w:rsidRPr="00223414">
        <w:rPr>
          <w:sz w:val="16"/>
        </w:rPr>
        <w:t xml:space="preserve"> the bodies of mentally retarded, but otherwise physi- cally healthy, </w:t>
      </w:r>
      <w:r w:rsidRPr="00DD2D90">
        <w:rPr>
          <w:rStyle w:val="StyleUnderline"/>
        </w:rPr>
        <w:t>inmates</w:t>
      </w:r>
      <w:r w:rsidRPr="00223414">
        <w:rPr>
          <w:sz w:val="16"/>
        </w:rPr>
        <w:t>. Reports of illicit organs trafficking surfaced during the early 1990s in respected medical journals, as well as in the popular press. A court-ordered investigation of the grounds of the asylum by members of Argentina’s celebrated anthropological forensic team recovered the bodies of several “unidentified” pa- tients from a swamp and a water tower on the grounds of the asy- lum. The causes of death were never determined and the bodies were too decomposed to verify whether they had been tampered with. “</w:t>
      </w:r>
      <w:r w:rsidRPr="00DD2D90">
        <w:rPr>
          <w:rStyle w:val="StyleUnderline"/>
        </w:rPr>
        <w:t>The fact is</w:t>
      </w:r>
      <w:r w:rsidRPr="00223414">
        <w:rPr>
          <w:sz w:val="16"/>
        </w:rPr>
        <w:t>,” said Alejandro Inchaurregui, a member of the forensic team, during a visit to his Missing Persons Bureau in the Police Station of La Plata, “</w:t>
      </w:r>
      <w:r w:rsidRPr="00DD2D90">
        <w:rPr>
          <w:rStyle w:val="Emphasis"/>
        </w:rPr>
        <w:t>nobody</w:t>
      </w:r>
      <w:r w:rsidRPr="00DD2D90">
        <w:rPr>
          <w:rStyle w:val="StyleUnderline"/>
        </w:rPr>
        <w:t xml:space="preserve"> </w:t>
      </w:r>
      <w:r w:rsidRPr="00223414">
        <w:rPr>
          <w:sz w:val="16"/>
        </w:rPr>
        <w:t>really</w:t>
      </w:r>
      <w:r w:rsidRPr="00DD2D90">
        <w:rPr>
          <w:rStyle w:val="StyleUnderline"/>
        </w:rPr>
        <w:t xml:space="preserve"> </w:t>
      </w:r>
      <w:r w:rsidRPr="00DD2D90">
        <w:rPr>
          <w:rStyle w:val="Emphasis"/>
        </w:rPr>
        <w:t>cares</w:t>
      </w:r>
      <w:r w:rsidRPr="00DD2D90">
        <w:rPr>
          <w:rStyle w:val="StyleUnderline"/>
        </w:rPr>
        <w:t xml:space="preserve"> about the bodies of those who are abandoned [at the mental asylum] and left to the care of the state</w:t>
      </w:r>
      <w:r w:rsidRPr="00223414">
        <w:rPr>
          <w:sz w:val="16"/>
        </w:rPr>
        <w:t xml:space="preserve">.”8 Montes de Oca remains a frightening place. The asylum is grossly understaffed, and the inmates, many naked and almost all emaciated, wander the asylum grounds unsupervised. A night nurse and ward supervisor interviewed later at her home explained that </w:t>
      </w:r>
      <w:r w:rsidRPr="00DD2D90">
        <w:rPr>
          <w:rStyle w:val="StyleUnderline"/>
        </w:rPr>
        <w:t>hospital staff members commonly take blood from living in- mates and remove cornea from the deceased</w:t>
      </w:r>
      <w:r w:rsidRPr="00223414">
        <w:rPr>
          <w:sz w:val="16"/>
        </w:rPr>
        <w:t xml:space="preserve">, almost always with- out consent. </w:t>
      </w:r>
      <w:r w:rsidRPr="00DD2D90">
        <w:rPr>
          <w:rStyle w:val="StyleUnderline"/>
        </w:rPr>
        <w:t>She described these practices as a “</w:t>
      </w:r>
      <w:r w:rsidRPr="00DD2D90">
        <w:rPr>
          <w:rStyle w:val="Emphasis"/>
        </w:rPr>
        <w:t>payback</w:t>
      </w:r>
      <w:r w:rsidRPr="00DD2D90">
        <w:rPr>
          <w:rStyle w:val="StyleUnderline"/>
        </w:rPr>
        <w:t>” for the inmates’ care at the state’s expense.</w:t>
      </w:r>
      <w:r w:rsidRPr="00223414">
        <w:rPr>
          <w:sz w:val="16"/>
        </w:rPr>
        <w:t xml:space="preserve"> “Isn’t that the way it is done everywhere?”9 These horrific stories, which are far from unique, highlight the need to bring social justice concerns to bear on global prac- tices of organ harvesting and distribution. Transplant surgery is the most social practice of medicine and as such is particularly dependent on trust within the medical community. Growing Demand for Live Organ Donation and the Rise of Medical Tourism The real scarcity in organs transplant is of patients of sufficient economic means to pay for these expensive operations. Hence the paradox of U.S. transplant centers actively recruiting wealthy for- eign patients, so-called “medical tourists,” to receive organs that are otherwise described as painfully scarce.10 The University of Maryland Medical Center, for example, advertises its kidney trans- plant program in Arabic, Chinese, Hebrew, and Japanese on its website.11 The United States is extremely democratic in at least one sense—anyone, regardless where they come from, with enough cash can become a “medical citizen” of the United States and receive a bonafide “Made in the USA” organ. The idea of the organ as fetish conjures up the magical en- ergy that is invested in the “fresh” organ purchased from a living donor. Averham, a 71 year old kidney buyer who flew from Jerusa- lem to Georgia in Eastern Europe where he purchased a kidney from a young peasant, explained to me why he would never toler- ate a cadaveric kidney: “That kidney is practically dead. It was prob- ably pinned down under the wheels of a car for several hours and then it was put on ice for another several hours. Then you expect it to go right back to work for me? </w:t>
      </w:r>
      <w:r w:rsidRPr="00DD2D90">
        <w:rPr>
          <w:rStyle w:val="StyleUnderline"/>
        </w:rPr>
        <w:t>It’s</w:t>
      </w:r>
      <w:r w:rsidRPr="00223414">
        <w:rPr>
          <w:sz w:val="16"/>
        </w:rPr>
        <w:t xml:space="preserve"> really </w:t>
      </w:r>
      <w:r w:rsidRPr="00DD2D90">
        <w:rPr>
          <w:rStyle w:val="StyleUnderline"/>
        </w:rPr>
        <w:t>disgusting to think about</w:t>
      </w:r>
      <w:r w:rsidRPr="00223414">
        <w:rPr>
          <w:sz w:val="16"/>
        </w:rPr>
        <w:t xml:space="preserve"> putting </w:t>
      </w:r>
      <w:r w:rsidRPr="00DD2D90">
        <w:rPr>
          <w:rStyle w:val="StyleUnderline"/>
        </w:rPr>
        <w:t>that dead man’s organ inside you</w:t>
      </w:r>
      <w:r w:rsidRPr="00223414">
        <w:rPr>
          <w:sz w:val="16"/>
        </w:rPr>
        <w:t xml:space="preserve">. So I chose a bet- ter way. I was able to see my donor [in a small town in Eastern Eu- rope]. He was young, strong, healthy. Just what I was hoping for.” As Averham’s preferences show, cadaver organs are no longer the primary organs of desire. In the last decade, </w:t>
      </w:r>
      <w:r w:rsidRPr="00DD2D90">
        <w:rPr>
          <w:rStyle w:val="StyleUnderline"/>
        </w:rPr>
        <w:t xml:space="preserve">there has been a </w:t>
      </w:r>
      <w:r w:rsidRPr="00DD2D90">
        <w:rPr>
          <w:rStyle w:val="Emphasis"/>
        </w:rPr>
        <w:t>dramatic shift</w:t>
      </w:r>
      <w:r w:rsidRPr="00DD2D90">
        <w:rPr>
          <w:rStyle w:val="StyleUnderline"/>
        </w:rPr>
        <w:t xml:space="preserve"> worldwide toward the procurement and use of or- gans from living donors who can give one kidney</w:t>
      </w:r>
      <w:r w:rsidRPr="00223414">
        <w:rPr>
          <w:sz w:val="16"/>
        </w:rPr>
        <w:t xml:space="preserve">, half a liver, or the lobe of one lung. The move to living organ donation is seen as the only solution to the chronic scarcity of organs for transplant and a means to increase the viability and longevity of transplanted organs. </w:t>
      </w:r>
      <w:r w:rsidRPr="00DD2D90">
        <w:rPr>
          <w:rStyle w:val="StyleUnderline"/>
        </w:rPr>
        <w:t xml:space="preserve">In the United Sates live donor kidney transplants account for </w:t>
      </w:r>
      <w:r w:rsidRPr="00DD2D90">
        <w:rPr>
          <w:rStyle w:val="Emphasis"/>
        </w:rPr>
        <w:t>50 percent</w:t>
      </w:r>
      <w:r w:rsidRPr="00DD2D90">
        <w:rPr>
          <w:rStyle w:val="StyleUnderline"/>
        </w:rPr>
        <w:t xml:space="preserve"> of all transplants, and live donor liver transplants for 10 percent</w:t>
      </w:r>
      <w:r w:rsidRPr="00223414">
        <w:rPr>
          <w:sz w:val="16"/>
        </w:rPr>
        <w:t xml:space="preserve">.12 Similarly, in Israel, an experimental program of live, unrelated kidney donation was established to screen and se- lect purely “altruistic” donors. But the head of the screening com- mittee stated that: “Of the 40-some applications we reviewed and approved, it is possible that two were truly altruistic. All the oth- ers were paid.” Israel, for example, is a major player in the global market for organs; its citizens purchase, proportionally, the largest number of organs in the global market. Caught between a highly educated and medically conscious public and a very low rate of organ do- nation, only 7 percent of the population was registered in 1996 as “card-carrying” donors in contrast with 20 to 30 percent in the United States and most of Western Europe. As a result, the Israeli Ministry of Health has permitted the expansion of transplant tour- ism. But the Israeli market operates in one direction only and no organs are sold from Israel to the global market. The business of transplant tourism in Israel is fairly trans- parent and organized through a local business corporation in con- junction with a leading transplant surgeon, Dr. Zaki Shapira from Bellinson Medical Center near Tel Aviv. The “company” has devel- oped links with transplant surgeons in Turkey, Russia, Moldavia, Estonia, Georgia, Romania, and (most recently) the United States. The cost of the transplant “package” increased from $120,000 in 1998 to $200,000 in 2001. With pressure from transplant candi- dates to develop links in more developed countries, the cost is still rising. The covert operation (in both senses of the term) is accom- plished in five days. On the first day, the patients rest and undergo a dialysis. The operations take place on the second and third days. Depending on the size of the group, doctors will perform two to three operations per night. On days four and five, the patients re- cover on site and then fly home. The transplant “package” covers the rental of a private plane, which accommodates six patients, each of whom can be accompanied by a family member, the Israeli doctors, and the business coordinator. The cost also includes the “double operation” (kidney extraction and kidney transplant), the “fees” paid to bribe airport and customs officials, the rental of pri- vate operating and recovery rooms, and hotel accommodations for accompanying family members. The donor fee is also included but the donor is paid no more than $5,000, and most of the donors from rural Eastern Europe are paid less than $3,000. The specific sites of the illicit surgeries are normally kept se- cret from transplant patients until the day of travel. Meanwhile, the locations are continually rotated to maintain a low profile. The surgeries are performed between midnight and the early morning hours. In a common scenario, Israeli patients and doctors (a sur- geon and a nephrologist) fly to a small town in Turkey on the Iraqi border, where the kidney sellers are often young Iraqi soldiers or guest workers. In another scenario, the Israeli and Turkish doctors travel to a third site in Eastern Europe, where the organ sellers are unemployed locals or guest workers from elsewhere. The international transplant world, requires refusal of the Ministry of Health to crack down on this multi-million dollar business, which is making Israel something of a pariah in the some explanation. In the absence of a strong culture of organ donation and under the pressure of angry transplant candidates, each per- son transplanted abroad is one less demanding and angry client with which to contend. More troubling is the support and involve- ment of the Ministry of Defense in the illicit transplant tourism. Patients who traveled on the outlaw Israeli transplant junkets to Turkey and Eastern Europe noted the presence of members of the military among the organized groups of patients. </w:t>
      </w:r>
      <w:r w:rsidRPr="00DD2D90">
        <w:rPr>
          <w:rStyle w:val="StyleUnderline"/>
        </w:rPr>
        <w:t>Transplant surgery</w:t>
      </w:r>
      <w:r w:rsidRPr="00223414">
        <w:rPr>
          <w:sz w:val="16"/>
        </w:rPr>
        <w:t xml:space="preserve"> has </w:t>
      </w:r>
      <w:r w:rsidRPr="00DD2D90">
        <w:rPr>
          <w:rStyle w:val="StyleUnderline"/>
        </w:rPr>
        <w:t>reconceptualized social relations be- tween self and other, individual and society, and among the “three bodies”—the existential live body-self; the social, representational body; and the body politic</w:t>
      </w:r>
      <w:r w:rsidRPr="00223414">
        <w:rPr>
          <w:sz w:val="16"/>
        </w:rPr>
        <w:t>.13 Throughout these radical transfor- mations, the voice of anthropology has been muted while the high- stake debates have been waged among surgeons, bioethicists, in- ternational lawyers, and economists. The spread of new medical technologies and the artificial needs, scarcities, and the new commodities (i.e., fresh organs and tissues) that they demand raises urgent public issues concerning the emergence of new forms of barter and social exchange that breach the conventional dichotomy between gifts and commodi- ties and between kin and strangers. The Lie Behind the Demand for Donor Altruism The language of organ donation, which stresses altruism and be- nevolence, both obscures and contributes to the social inequalities of the larger medical system. Organ transplantation is, as Renee Fox so famously put it, both life-saving and death-ridden. Under traditional cadaver donation, the “gift” of life simultaneously de- mands a “gift of death.” It demands that grieving family members readily accept “brain death” as the end of the life of a loved one. To this day, brain death is not recognized by a great many people, includ- ing many intensive care workers who express profound misgivings about the “real” ontological status of their brain dead patients.14 The director of a private eye bank in Pretoria, South Africa, complained that the American company that sold his private in- stitution corneas charged exorbitant prices—up to $1,000 per cor- nea. “</w:t>
      </w:r>
      <w:r w:rsidRPr="00DD2D90">
        <w:rPr>
          <w:rStyle w:val="StyleUnderline"/>
        </w:rPr>
        <w:t>Where do all these ‘excess cornea’ come from in the United States?” The answer</w:t>
      </w:r>
      <w:r w:rsidRPr="00223414">
        <w:rPr>
          <w:sz w:val="16"/>
        </w:rPr>
        <w:t xml:space="preserve"> is that they are procured from </w:t>
      </w:r>
      <w:r w:rsidRPr="00DD2D90">
        <w:rPr>
          <w:rStyle w:val="Emphasis"/>
        </w:rPr>
        <w:t>naive donors</w:t>
      </w:r>
      <w:r w:rsidRPr="00223414">
        <w:rPr>
          <w:sz w:val="16"/>
        </w:rPr>
        <w:t xml:space="preserve"> who believe their “gifts” are being used to heal and comfort burn victims. One unethical aspect of the organs market is that </w:t>
      </w:r>
      <w:r w:rsidRPr="00DD2D90">
        <w:rPr>
          <w:rStyle w:val="StyleUnderline"/>
          <w:highlight w:val="green"/>
        </w:rPr>
        <w:t>organs so- licitors</w:t>
      </w:r>
      <w:r w:rsidRPr="00DD2D90">
        <w:rPr>
          <w:rStyle w:val="StyleUnderline"/>
        </w:rPr>
        <w:t xml:space="preserve"> commonly </w:t>
      </w:r>
      <w:r w:rsidRPr="00DD2D90">
        <w:rPr>
          <w:rStyle w:val="Emphasis"/>
          <w:highlight w:val="green"/>
        </w:rPr>
        <w:t>deceive</w:t>
      </w:r>
      <w:r w:rsidRPr="00DD2D90">
        <w:rPr>
          <w:rStyle w:val="StyleUnderline"/>
          <w:highlight w:val="green"/>
        </w:rPr>
        <w:t xml:space="preserve"> people in times of grief</w:t>
      </w:r>
      <w:r w:rsidRPr="00223414">
        <w:rPr>
          <w:sz w:val="16"/>
        </w:rPr>
        <w:t xml:space="preserve">, </w:t>
      </w:r>
      <w:r w:rsidRPr="00DD2D90">
        <w:rPr>
          <w:rStyle w:val="StyleUnderline"/>
        </w:rPr>
        <w:t>asking them to perform acts of</w:t>
      </w:r>
      <w:r w:rsidRPr="00223414">
        <w:rPr>
          <w:sz w:val="16"/>
        </w:rPr>
        <w:t xml:space="preserve"> mercy and </w:t>
      </w:r>
      <w:r w:rsidRPr="00DD2D90">
        <w:rPr>
          <w:rStyle w:val="StyleUnderline"/>
        </w:rPr>
        <w:t>altruism</w:t>
      </w:r>
      <w:r w:rsidRPr="00223414">
        <w:rPr>
          <w:sz w:val="16"/>
        </w:rPr>
        <w:t xml:space="preserve"> by donating the organs of a deceased loved one. This is what happened to Linda Johnson- Schuringa, a middle class woman from Orange, California. She put her late husband’s body into the care of the Orange County Eye and Tissue Bank, believing that his tissues and bone would allevi- ate the suffering of another person. Several months later she learned through an investigative reporter that the “gift” of her husband’s bones had been shipped to Germany where they were “processed” into a dental product and sold internationally. Ms. Johnson-Schurninga still believes in organs and tissues donation but she wants the consent forms to explain that some or all parts of the donated body parts may be sold to biotech firms and pro- cessed into commercial products.15 Organs and tissue donors—both living and dead—are treated not as people, but as suppliers of the organic medical material needed for research, experimentation, and advanced medical tech- nologies. Prof. Johan Brink, of Goorte-Schuur hospital at the Uni- versity of Cape Town, South Africa, and currently head of the South African Transplanta- tion Society, explained that </w:t>
      </w:r>
      <w:r w:rsidRPr="00DD2D90">
        <w:rPr>
          <w:rStyle w:val="StyleUnderline"/>
        </w:rPr>
        <w:t>during</w:t>
      </w:r>
      <w:r w:rsidRPr="00223414">
        <w:rPr>
          <w:sz w:val="16"/>
        </w:rPr>
        <w:t xml:space="preserve"> the </w:t>
      </w:r>
      <w:r w:rsidRPr="00DD2D90">
        <w:rPr>
          <w:rStyle w:val="StyleUnderline"/>
        </w:rPr>
        <w:t>apartheid</w:t>
      </w:r>
      <w:r w:rsidRPr="00223414">
        <w:rPr>
          <w:sz w:val="16"/>
        </w:rPr>
        <w:t xml:space="preserve"> years, transplant </w:t>
      </w:r>
      <w:r w:rsidRPr="00DD2D90">
        <w:rPr>
          <w:rStyle w:val="StyleUnderline"/>
        </w:rPr>
        <w:t>professionals</w:t>
      </w:r>
      <w:r w:rsidRPr="00223414">
        <w:rPr>
          <w:sz w:val="16"/>
        </w:rPr>
        <w:t xml:space="preserve"> sim- ply </w:t>
      </w:r>
      <w:r w:rsidRPr="00DD2D90">
        <w:rPr>
          <w:rStyle w:val="StyleUnderline"/>
        </w:rPr>
        <w:t>took the organs they needed from the bodies of black</w:t>
      </w:r>
      <w:r w:rsidRPr="00223414">
        <w:rPr>
          <w:sz w:val="16"/>
        </w:rPr>
        <w:t xml:space="preserve">, brain dead </w:t>
      </w:r>
      <w:r w:rsidRPr="00DD2D90">
        <w:rPr>
          <w:rStyle w:val="StyleUnderline"/>
        </w:rPr>
        <w:t>patients</w:t>
      </w:r>
      <w:r w:rsidRPr="00223414">
        <w:rPr>
          <w:sz w:val="16"/>
        </w:rPr>
        <w:t xml:space="preserve"> in the Intensive Care Unit without seeking the consent of their fam- ily members. These </w:t>
      </w:r>
      <w:r w:rsidRPr="00DD2D90">
        <w:rPr>
          <w:rStyle w:val="StyleUnderline"/>
        </w:rPr>
        <w:t>organs were destined for</w:t>
      </w:r>
      <w:r w:rsidRPr="00223414">
        <w:rPr>
          <w:sz w:val="16"/>
        </w:rPr>
        <w:t xml:space="preserve"> transplant into the bodies of </w:t>
      </w:r>
      <w:r w:rsidRPr="00DD2D90">
        <w:rPr>
          <w:rStyle w:val="StyleUnderline"/>
        </w:rPr>
        <w:t>privileged white patients</w:t>
      </w:r>
      <w:r w:rsidRPr="00223414">
        <w:rPr>
          <w:sz w:val="16"/>
        </w:rPr>
        <w:t xml:space="preserve">: “The surgeons were from con- servative backgrounds and they followed a rural Christian family ethic. </w:t>
      </w:r>
      <w:r w:rsidRPr="00DD2D90">
        <w:rPr>
          <w:rStyle w:val="StyleUnderline"/>
        </w:rPr>
        <w:t>The idea of ‘wasting’ a good organ was</w:t>
      </w:r>
      <w:r w:rsidRPr="00223414">
        <w:rPr>
          <w:sz w:val="16"/>
        </w:rPr>
        <w:t xml:space="preserve"> sinful to them, </w:t>
      </w:r>
      <w:r w:rsidRPr="00DD2D90">
        <w:rPr>
          <w:rStyle w:val="StyleUnderline"/>
        </w:rPr>
        <w:t>like wasting a good piece of bread</w:t>
      </w:r>
      <w:r w:rsidRPr="00223414">
        <w:rPr>
          <w:sz w:val="16"/>
        </w:rPr>
        <w:t xml:space="preserve">.”16 Surplus empathy Dialysis and transplant patients are highly visible and their sto- ries are frequently reported by the media. We can see and hear their pain and suffering. But while there is empathy—even a kind of sur- plus empathy for transplant patients, there is an absence of em- pathy for both living and dead organ and tissue donors. Their suf- fering, for the most part, is hidden from the general public. Few </w:t>
      </w:r>
      <w:r w:rsidRPr="00DD2D90">
        <w:rPr>
          <w:rStyle w:val="StyleUnderline"/>
        </w:rPr>
        <w:t>organ recipients</w:t>
      </w:r>
      <w:r w:rsidRPr="00223414">
        <w:rPr>
          <w:sz w:val="16"/>
        </w:rPr>
        <w:t xml:space="preserve"> know anything about the impact of transplant procedures on the donor’s body. They recognize, of course, that their good fortune comes out of the tragedy of another, and they pass along the transplant folklore of the permissible guilt and glee they experience on rainy nights when traffic accidents arise. Donor anonymity prevents contact between donors and re- cipients, though transplant patients often do try to learn some- thing about their donors, whether they were living or dead. They </w:t>
      </w:r>
      <w:r w:rsidRPr="00DD2D90">
        <w:rPr>
          <w:rStyle w:val="StyleUnderline"/>
        </w:rPr>
        <w:t xml:space="preserve">are </w:t>
      </w:r>
      <w:r w:rsidRPr="00DD2D90">
        <w:rPr>
          <w:rStyle w:val="Emphasis"/>
        </w:rPr>
        <w:t>never</w:t>
      </w:r>
      <w:r w:rsidRPr="00DD2D90">
        <w:rPr>
          <w:rStyle w:val="StyleUnderline"/>
        </w:rPr>
        <w:t xml:space="preserve"> privy</w:t>
      </w:r>
      <w:r w:rsidRPr="00223414">
        <w:rPr>
          <w:sz w:val="16"/>
        </w:rPr>
        <w:t xml:space="preserve">, however, </w:t>
      </w:r>
      <w:r w:rsidRPr="00DD2D90">
        <w:rPr>
          <w:rStyle w:val="StyleUnderline"/>
        </w:rPr>
        <w:t xml:space="preserve">to the </w:t>
      </w:r>
      <w:r w:rsidRPr="00DD2D90">
        <w:rPr>
          <w:rStyle w:val="Emphasis"/>
        </w:rPr>
        <w:t>secret</w:t>
      </w:r>
      <w:r w:rsidRPr="00DD2D90">
        <w:rPr>
          <w:rStyle w:val="StyleUnderline"/>
        </w:rPr>
        <w:t xml:space="preserve"> negotiations involving</w:t>
      </w:r>
      <w:r w:rsidRPr="00223414">
        <w:rPr>
          <w:sz w:val="16"/>
        </w:rPr>
        <w:t xml:space="preserve"> oc- casional </w:t>
      </w:r>
      <w:r w:rsidRPr="00DD2D90">
        <w:rPr>
          <w:rStyle w:val="StyleUnderline"/>
        </w:rPr>
        <w:t xml:space="preserve">psychological </w:t>
      </w:r>
      <w:r w:rsidRPr="00DD2D90">
        <w:rPr>
          <w:rStyle w:val="Emphasis"/>
        </w:rPr>
        <w:t>manipulation</w:t>
      </w:r>
      <w:r w:rsidRPr="00223414">
        <w:rPr>
          <w:sz w:val="16"/>
        </w:rPr>
        <w:t xml:space="preserve"> of the donor’s family mem- bers while they are grieving deeply. Yet there is hardly any mention of the medical, social, and psychological complications donors often suffer from. For in- stance, at least two kidney donors have died during the past 18 months and another is in a persistent vegetative state as a result of donation.17 The fact that </w:t>
      </w:r>
      <w:r w:rsidRPr="00DD2D90">
        <w:rPr>
          <w:rStyle w:val="StyleUnderline"/>
        </w:rPr>
        <w:t xml:space="preserve">many </w:t>
      </w:r>
      <w:r w:rsidRPr="00DD2D90">
        <w:rPr>
          <w:rStyle w:val="StyleUnderline"/>
          <w:highlight w:val="green"/>
        </w:rPr>
        <w:t>living donors</w:t>
      </w:r>
      <w:r w:rsidRPr="00223414">
        <w:rPr>
          <w:sz w:val="16"/>
        </w:rPr>
        <w:t xml:space="preserve"> have either </w:t>
      </w:r>
      <w:r w:rsidRPr="00DD2D90">
        <w:rPr>
          <w:rStyle w:val="StyleUnderline"/>
          <w:highlight w:val="green"/>
        </w:rPr>
        <w:t>died</w:t>
      </w:r>
      <w:r w:rsidRPr="00DD2D90">
        <w:rPr>
          <w:rStyle w:val="StyleUnderline"/>
        </w:rPr>
        <w:t xml:space="preserve"> </w:t>
      </w:r>
      <w:r w:rsidRPr="00DD2D90">
        <w:rPr>
          <w:rStyle w:val="Emphasis"/>
          <w:highlight w:val="green"/>
        </w:rPr>
        <w:t>immediately</w:t>
      </w:r>
      <w:r w:rsidRPr="00DD2D90">
        <w:rPr>
          <w:rStyle w:val="StyleUnderline"/>
        </w:rPr>
        <w:t xml:space="preserve"> </w:t>
      </w:r>
      <w:r w:rsidRPr="00DD2D90">
        <w:rPr>
          <w:rStyle w:val="StyleUnderline"/>
          <w:highlight w:val="green"/>
        </w:rPr>
        <w:t>following the surgical procedure</w:t>
      </w:r>
      <w:r w:rsidRPr="00DD2D90">
        <w:rPr>
          <w:rStyle w:val="StyleUnderline"/>
        </w:rPr>
        <w:t xml:space="preserve">, </w:t>
      </w:r>
      <w:r w:rsidRPr="00DD2D90">
        <w:rPr>
          <w:rStyle w:val="StyleUnderline"/>
          <w:highlight w:val="green"/>
        </w:rPr>
        <w:t>or</w:t>
      </w:r>
      <w:r w:rsidRPr="00DD2D90">
        <w:rPr>
          <w:rStyle w:val="StyleUnderline"/>
        </w:rPr>
        <w:t xml:space="preserve"> are themselves in dire </w:t>
      </w:r>
      <w:r w:rsidRPr="00DD2D90">
        <w:rPr>
          <w:rStyle w:val="StyleUnderline"/>
          <w:highlight w:val="green"/>
        </w:rPr>
        <w:t>need</w:t>
      </w:r>
      <w:r w:rsidRPr="00DD2D90">
        <w:rPr>
          <w:rStyle w:val="StyleUnderline"/>
        </w:rPr>
        <w:t xml:space="preserve"> of a kidney </w:t>
      </w:r>
      <w:r w:rsidRPr="00DD2D90">
        <w:rPr>
          <w:rStyle w:val="StyleUnderline"/>
          <w:highlight w:val="green"/>
        </w:rPr>
        <w:t>transplant</w:t>
      </w:r>
      <w:r w:rsidRPr="00DD2D90">
        <w:rPr>
          <w:rStyle w:val="StyleUnderline"/>
        </w:rPr>
        <w:t xml:space="preserve"> at a </w:t>
      </w:r>
      <w:r w:rsidRPr="00DD2D90">
        <w:rPr>
          <w:rStyle w:val="StyleUnderline"/>
          <w:highlight w:val="green"/>
        </w:rPr>
        <w:t>later</w:t>
      </w:r>
      <w:r w:rsidRPr="00DD2D90">
        <w:rPr>
          <w:rStyle w:val="StyleUnderline"/>
        </w:rPr>
        <w:t xml:space="preserve"> date</w:t>
      </w:r>
      <w:r w:rsidRPr="00223414">
        <w:rPr>
          <w:sz w:val="16"/>
        </w:rPr>
        <w:t xml:space="preserve"> sounds a caution- ary note about living donation and serves as a reminder that ne- phrectomy is not a risk free procedure.18 Most recently, Organs Watch research in Moldova in Decem- ber 2001 was able to document the ill health, social disability, and subsequent unemployment faced by young male kidney sellers who return to their natal villages to find that they can no longer sus- tain the demands of heavy agricultural or construction work, the only paid labor that s available to men of their backgrounds. Not one of the kidney sellers had seen a doctor or been treated at a medical clinic following their illicit operations in Istanbul. More telling Organs Watch had to coax the young men to agree to a ba- sic clinical exam and sonogram at the expense of the organization. Some said they were ashamed to appear in a public clinic as they had tried to keep the sale a secret; others said they were too fear- ful of learning negative results from the tests. All said that if seri- ous medical problems were discovered they were unable to pay for follow-up treatments or necessary medications. Above all, they said they feared being labeled as “weak” or “disabled” by employers and co-workers, as well as (for single men) by potential girlfriends and brides. “No young woman in the village will marry a man with the tell-tale scar of a kidney seller,” the father of a village kidney seller said sadly. “They believe that he will be unable to support a family. Meanwhile, organs brokers, like any other brokers, try to keep organs buyers and sellers apart. But even when live donation is transacted within families, recipients can be protected from know- ing the human cost of donation. If the medical and psychological risks, pressures, and constraints on organ donors and their fami- lies were more generally known, potential transplant recipients might want to consider opting out of procedures that demand so much of the donor. Can the language of gifting, of life saving, of altruism, or of scarcity and need be maintained in the face of the new economic climate? Not so long ago any mention of payment for organs and tissues was rejected. Today bioethicists and transplant specialists in many parts of the world, including the United States, are actively exploring ways to promote a blended system in which altruism and commercialism, science and sentiment, love and profit, gift and commodity can coexist. The American Medical Association’s pro- posals for a “futures market” in cadaveric organs are just one ex- ample. </w:t>
      </w:r>
      <w:r w:rsidRPr="00DD2D90">
        <w:rPr>
          <w:rStyle w:val="StyleUnderline"/>
        </w:rPr>
        <w:t>Serious proposals to expand paid-for organs donation are on the table</w:t>
      </w:r>
      <w:r w:rsidRPr="00223414">
        <w:rPr>
          <w:sz w:val="16"/>
        </w:rPr>
        <w:t xml:space="preserve">. At present, Congress is reviewing several new propos- als to reform organ donation, including one that would allow transplant coordinators to offer a “gratuity” to relatives at the bed- side of a dying or brain dead patient. Another proposal seeks tax credits for organs donation. A great many bioethicists, religious leaders, social </w:t>
      </w:r>
      <w:r w:rsidRPr="00DD2D90">
        <w:rPr>
          <w:rStyle w:val="StyleUnderline"/>
        </w:rPr>
        <w:t>scientists</w:t>
      </w:r>
      <w:r w:rsidRPr="00223414">
        <w:rPr>
          <w:sz w:val="16"/>
        </w:rPr>
        <w:t xml:space="preserve">, and transplant specialists </w:t>
      </w:r>
      <w:r w:rsidRPr="00DD2D90">
        <w:rPr>
          <w:rStyle w:val="StyleUnderline"/>
        </w:rPr>
        <w:t>are</w:t>
      </w:r>
      <w:r w:rsidRPr="00223414">
        <w:rPr>
          <w:sz w:val="16"/>
        </w:rPr>
        <w:t xml:space="preserve"> now </w:t>
      </w:r>
      <w:r w:rsidRPr="00DD2D90">
        <w:rPr>
          <w:rStyle w:val="StyleUnderline"/>
        </w:rPr>
        <w:t>lean- ing toward the individual’s “right to sell</w:t>
      </w:r>
      <w:r w:rsidRPr="00223414">
        <w:rPr>
          <w:sz w:val="16"/>
        </w:rPr>
        <w:t xml:space="preserve">.” So, What’s Wrong with Selling an Organ? If a living donor can do without an organ, why shouldn’t the donor profit and medical science benefit?19 In the developing world, poor people cannot really “do without” their “extra” organs. Transplant surgeons have disseminated an untested hypothesis of “risk-free” live donation in the absence of any published, longitudinal studies of the effects of organ removal on the poor. Organs Watch has found that living kidney donors from shantytowns, in- ner cities, or prisons face extraordinary threats to their health and per- sonal security through violence, accidents, and infectious disease that can all too readily compromise their remaining kidney. As the use of live kidney donors has moved from the industrialized West, where it takes place among kin and under highly privileged circum- stances, to areas of high risk in the developing world, transplant surgeons have become complicit in the needless suffering of a hid- den population. In all these transactions, </w:t>
      </w:r>
      <w:r w:rsidRPr="00DD2D90">
        <w:rPr>
          <w:rStyle w:val="StyleUnderline"/>
        </w:rPr>
        <w:t>the body</w:t>
      </w:r>
      <w:r w:rsidRPr="00223414">
        <w:rPr>
          <w:sz w:val="16"/>
        </w:rPr>
        <w:t xml:space="preserve">, as we know it, is radically transformed. </w:t>
      </w:r>
      <w:r w:rsidRPr="00DD2D90">
        <w:rPr>
          <w:rStyle w:val="StyleUnderline"/>
        </w:rPr>
        <w:t>The integration of the body and its parts as naturally given is exchanged for a divisible body in which individual organs and tissues can be detached, isolated, and sold</w:t>
      </w:r>
      <w:r w:rsidRPr="00223414">
        <w:rPr>
          <w:sz w:val="16"/>
        </w:rPr>
        <w:t xml:space="preserve">. This juncture points to the demise of classical humanism and holism and to the rise of what Lawrence Cohen refers to as “an ethics of parts”—part histories, part truths, and now, it seems, divisible bodies in which </w:t>
      </w:r>
      <w:r w:rsidRPr="00DD2D90">
        <w:rPr>
          <w:rStyle w:val="StyleUnderline"/>
        </w:rPr>
        <w:t>detached organs emerge as market commodities, as fetishized ob- jects of desire and consumption</w:t>
      </w:r>
      <w:r w:rsidRPr="00223414">
        <w:rPr>
          <w:sz w:val="16"/>
        </w:rPr>
        <w:t xml:space="preserve">. Bioethical arguments about the right to sell an organ or other body part are based on Western notions of contract and individual “choice.” But the social and economic contexts that make the “choice” to sell a kidney in an urban slum of Calcutta, a Brazilian favela, or a Filippine shantytown is anything but a “free” and “au- tonomous” one. </w:t>
      </w:r>
      <w:r w:rsidRPr="00DD2D90">
        <w:rPr>
          <w:rStyle w:val="StyleUnderline"/>
          <w:highlight w:val="green"/>
        </w:rPr>
        <w:t xml:space="preserve">The idea of consent is problematic when one has </w:t>
      </w:r>
      <w:r w:rsidRPr="00DD2D90">
        <w:rPr>
          <w:rStyle w:val="Emphasis"/>
          <w:highlight w:val="green"/>
        </w:rPr>
        <w:t>no other option</w:t>
      </w:r>
      <w:r w:rsidRPr="00DD2D90">
        <w:rPr>
          <w:rStyle w:val="StyleUnderline"/>
          <w:highlight w:val="green"/>
        </w:rPr>
        <w:t xml:space="preserve"> but to sell an organ</w:t>
      </w:r>
      <w:r w:rsidRPr="00223414">
        <w:rPr>
          <w:sz w:val="16"/>
        </w:rPr>
        <w:t xml:space="preserve">. </w:t>
      </w:r>
      <w:r w:rsidRPr="00DD2D90">
        <w:rPr>
          <w:rStyle w:val="StyleUnderline"/>
          <w:highlight w:val="green"/>
        </w:rPr>
        <w:t>Putting a market price on body parts</w:t>
      </w:r>
      <w:r w:rsidRPr="00223414">
        <w:rPr>
          <w:sz w:val="16"/>
        </w:rPr>
        <w:t>—even a fair one—</w:t>
      </w:r>
      <w:r w:rsidRPr="00DD2D90">
        <w:rPr>
          <w:rStyle w:val="StyleUnderline"/>
          <w:highlight w:val="green"/>
        </w:rPr>
        <w:t xml:space="preserve">ex- ploits the desperation of the poor, turning their </w:t>
      </w:r>
      <w:r w:rsidRPr="00DD2D90">
        <w:rPr>
          <w:rStyle w:val="Emphasis"/>
          <w:highlight w:val="green"/>
        </w:rPr>
        <w:t>suffering into an opportunity</w:t>
      </w:r>
      <w:r w:rsidRPr="00223414">
        <w:rPr>
          <w:sz w:val="16"/>
        </w:rPr>
        <w:t>. Asking the law to negotiate a fair price for a live hu- man kidney goes against everything that contract theory stands for. When concepts like individual agency and autonomy are invoked in defending the “right” to sell an organ, anthropologists might suggest that certain “</w:t>
      </w:r>
      <w:r w:rsidRPr="00DD2D90">
        <w:rPr>
          <w:rStyle w:val="StyleUnderline"/>
          <w:highlight w:val="green"/>
        </w:rPr>
        <w:t>living” things are not</w:t>
      </w:r>
      <w:r w:rsidRPr="00223414">
        <w:rPr>
          <w:sz w:val="16"/>
        </w:rPr>
        <w:t xml:space="preserve"> alienable or </w:t>
      </w:r>
      <w:r w:rsidRPr="00DD2D90">
        <w:rPr>
          <w:rStyle w:val="StyleUnderline"/>
        </w:rPr>
        <w:t xml:space="preserve">proper </w:t>
      </w:r>
      <w:r w:rsidRPr="00DD2D90">
        <w:rPr>
          <w:rStyle w:val="StyleUnderline"/>
          <w:highlight w:val="green"/>
        </w:rPr>
        <w:t>can- didates for commodification</w:t>
      </w:r>
      <w:r w:rsidRPr="00223414">
        <w:rPr>
          <w:sz w:val="16"/>
        </w:rPr>
        <w:t xml:space="preserve">. And the surgical removal of non-re- newable organs is an act in which medical practitioners, given their ethical standards, should not be asked to participate. The argu- ment for regulation is out of touch with the social and medical realities operating in many parts of the world but especially in de- veloping nations. The </w:t>
      </w:r>
      <w:r w:rsidRPr="00DD2D90">
        <w:rPr>
          <w:rStyle w:val="StyleUnderline"/>
        </w:rPr>
        <w:t>medical institutions created to “monitor” organs harvesting</w:t>
      </w:r>
      <w:r w:rsidRPr="00223414">
        <w:rPr>
          <w:sz w:val="16"/>
        </w:rPr>
        <w:t xml:space="preserve"> and distribution </w:t>
      </w:r>
      <w:r w:rsidRPr="00DD2D90">
        <w:rPr>
          <w:rStyle w:val="StyleUnderline"/>
        </w:rPr>
        <w:t>are</w:t>
      </w:r>
      <w:r w:rsidRPr="00223414">
        <w:rPr>
          <w:sz w:val="16"/>
        </w:rPr>
        <w:t xml:space="preserve"> </w:t>
      </w:r>
      <w:r w:rsidRPr="00DD2D90">
        <w:rPr>
          <w:rStyle w:val="StyleUnderline"/>
        </w:rPr>
        <w:t>often</w:t>
      </w:r>
      <w:r w:rsidRPr="00223414">
        <w:rPr>
          <w:sz w:val="16"/>
        </w:rPr>
        <w:t xml:space="preserve"> dysfunctional, </w:t>
      </w:r>
      <w:r w:rsidRPr="00DD2D90">
        <w:rPr>
          <w:rStyle w:val="Emphasis"/>
        </w:rPr>
        <w:t>cor- rupt</w:t>
      </w:r>
      <w:r w:rsidRPr="00223414">
        <w:rPr>
          <w:sz w:val="16"/>
        </w:rPr>
        <w:t xml:space="preserve">, or compromised by the power of organs markets and the impunity of the organs brokers and of outlaw surgeons willing to violate the first premise of classical medical bioethics: above all, do no harm. Amidst the tension between organ-givers and organ-recipi- ents, between doctors and patients, between North and South, be- tween individuals and the state, between the illegal and the “merely” unethical, clarity is needed about whose values and whose notions of the body and embodiment are being represented. In fact, the values of bodily integrity and dignity are more widespread in the poorer parts of the world than they are in the more afflu- ent and more secular parts. The values of bodily integrity and dig- nity lie behind “First Peoples” demands for the repatriation and reburial of human remains warehoused in museum archives. They lie behind the demands of the wretchedly poor for dignified death and burial.20 And they certainly lie behind rumors of organ theft and popular resistance to presumed consent laws. Organs Watch wants to make sure that that trust is not bro- ken by aggressive doctors who are acting as organs brokers, and by </w:t>
      </w:r>
      <w:r w:rsidRPr="00DD2D90">
        <w:rPr>
          <w:rStyle w:val="StyleUnderline"/>
        </w:rPr>
        <w:t>a</w:t>
      </w:r>
      <w:r w:rsidRPr="00223414">
        <w:rPr>
          <w:sz w:val="16"/>
        </w:rPr>
        <w:t xml:space="preserve"> ruthless </w:t>
      </w:r>
      <w:r w:rsidRPr="00DD2D90">
        <w:rPr>
          <w:rStyle w:val="StyleUnderline"/>
        </w:rPr>
        <w:t xml:space="preserve">pursuit of purchased organs </w:t>
      </w:r>
      <w:r w:rsidRPr="00223414">
        <w:rPr>
          <w:sz w:val="16"/>
        </w:rPr>
        <w:t>that</w:t>
      </w:r>
      <w:r w:rsidRPr="00DD2D90">
        <w:rPr>
          <w:rStyle w:val="StyleUnderline"/>
        </w:rPr>
        <w:t xml:space="preserve"> exploits</w:t>
      </w:r>
      <w:r w:rsidRPr="00223414">
        <w:rPr>
          <w:sz w:val="16"/>
        </w:rPr>
        <w:t xml:space="preserve"> the </w:t>
      </w:r>
      <w:r w:rsidRPr="00DD2D90">
        <w:rPr>
          <w:rStyle w:val="StyleUnderline"/>
        </w:rPr>
        <w:t>pov- erty</w:t>
      </w:r>
      <w:r w:rsidRPr="00223414">
        <w:rPr>
          <w:sz w:val="16"/>
        </w:rPr>
        <w:t xml:space="preserve"> and the desperation of newly displaced populations searching for a niche in the global economy via the grotesque market in fresh organs. Transplant surgeons must pay more attention to where organs come from and the manner in which they are procured. There must be firm assurances that organ donation everywhere is voluntary and uncoerced. Finally, the risks and benefits of organ transplantation need to be more equally distributed among and within nations, ethnic groups, genders, and social classes. The di- vision of the world into organ buyers and organ sellers is a medi- cal, social, and moral tragedy of immense and not yet fully recog- nized proportions.</w:t>
      </w:r>
    </w:p>
    <w:p w14:paraId="74712826" w14:textId="77777777" w:rsidR="00893021" w:rsidRPr="00223414" w:rsidRDefault="00893021" w:rsidP="00893021">
      <w:pPr>
        <w:rPr>
          <w:sz w:val="16"/>
        </w:rPr>
      </w:pPr>
    </w:p>
    <w:p w14:paraId="6388CF6C" w14:textId="77777777" w:rsidR="00146D72" w:rsidRPr="00223414" w:rsidRDefault="00146D72" w:rsidP="00146D72">
      <w:pPr>
        <w:rPr>
          <w:color w:val="1F1F1F"/>
          <w:sz w:val="16"/>
        </w:rPr>
      </w:pPr>
    </w:p>
    <w:p w14:paraId="08143028" w14:textId="77777777" w:rsidR="00FA1D49" w:rsidRPr="00223414" w:rsidRDefault="00FA1D49">
      <w:pPr>
        <w:rPr>
          <w:rFonts w:eastAsiaTheme="majorEastAsia" w:cstheme="majorBidi"/>
          <w:b/>
          <w:iCs/>
          <w:sz w:val="16"/>
        </w:rPr>
      </w:pPr>
      <w:bookmarkStart w:id="45" w:name="_470wqq815hgk" w:colFirst="0" w:colLast="0"/>
      <w:bookmarkEnd w:id="45"/>
      <w:r w:rsidRPr="00223414">
        <w:rPr>
          <w:sz w:val="16"/>
        </w:rPr>
        <w:br w:type="page"/>
      </w:r>
    </w:p>
    <w:p w14:paraId="128A5B8C" w14:textId="643D93A6" w:rsidR="00146D72" w:rsidRPr="00223414" w:rsidRDefault="00FA1D49" w:rsidP="00146D72">
      <w:pPr>
        <w:pStyle w:val="Heading4"/>
        <w:rPr>
          <w:szCs w:val="26"/>
        </w:rPr>
      </w:pPr>
      <w:r w:rsidRPr="00223414">
        <w:rPr>
          <w:szCs w:val="26"/>
        </w:rPr>
        <w:t>Commodification makes healthcare no longer</w:t>
      </w:r>
      <w:r w:rsidR="00146D72" w:rsidRPr="00223414">
        <w:rPr>
          <w:szCs w:val="26"/>
        </w:rPr>
        <w:t xml:space="preserve"> a right</w:t>
      </w:r>
      <w:r w:rsidRPr="00223414">
        <w:rPr>
          <w:szCs w:val="26"/>
        </w:rPr>
        <w:t xml:space="preserve"> and becomes only accessible for the rich</w:t>
      </w:r>
    </w:p>
    <w:p w14:paraId="60E6C041" w14:textId="77777777" w:rsidR="00146D72" w:rsidRPr="00DD2D90" w:rsidRDefault="00146D72" w:rsidP="00146D72">
      <w:r w:rsidRPr="00223414">
        <w:rPr>
          <w:b/>
          <w:bCs/>
          <w:sz w:val="26"/>
          <w:szCs w:val="26"/>
        </w:rPr>
        <w:t>Fisher 11</w:t>
      </w:r>
      <w:r w:rsidRPr="00DD2D90">
        <w:rPr>
          <w:b/>
          <w:bCs/>
        </w:rPr>
        <w:t xml:space="preserve"> </w:t>
      </w:r>
      <w:r w:rsidRPr="00DD2D90">
        <w:t xml:space="preserve">[Jill A Fisher, PhD in Science and Technology from Rensselaer Polytechnic Institute, 5-11-2011, “Coming Soon to a Physician Near You: Medical Neoliberalism and Pharmaceutical Clinical Trials”, National Library of Medicine, https://pmc.ncbi.nlm.nih.gov/articles/PMC3092550/]/Kankee </w:t>
      </w:r>
    </w:p>
    <w:p w14:paraId="0F6A78E0" w14:textId="77777777" w:rsidR="00146D72" w:rsidRPr="00223414" w:rsidRDefault="00146D72" w:rsidP="00146D72">
      <w:pPr>
        <w:spacing w:line="240" w:lineRule="auto"/>
        <w:rPr>
          <w:sz w:val="16"/>
        </w:rPr>
      </w:pPr>
      <w:r w:rsidRPr="00223414">
        <w:rPr>
          <w:sz w:val="16"/>
        </w:rPr>
        <w:t>Within the US, evidence of neoliberalism can be found in policies surrounding welfare and the welfare state’s surveillance of the poor, education and social security. Regardless of the domain of public life, however, neoliberal governance has been the recipient of political spin so that these policies are being framed as in the best interest of the citizenry.</w:t>
      </w:r>
      <w:r w:rsidRPr="00223414">
        <w:rPr>
          <w:sz w:val="16"/>
          <w:vertAlign w:val="superscript"/>
        </w:rPr>
        <w:t xml:space="preserve">  </w:t>
      </w:r>
      <w:r w:rsidRPr="00223414">
        <w:rPr>
          <w:sz w:val="16"/>
        </w:rPr>
        <w:t xml:space="preserve">For example, the rhetoric of neoliberalism extols the simultaneous benefits that will come to the recipients and the providers of privatized services, stressing the increased efficiency for beneficiaries and the profitability of these systems for private companies. The resulting cultural logic of neoliberalism is articulated in a variety of ways with the same message at its core: what is good for industry must be good for America. What counts as “America,” however, is rarely unpacked. This rhetoric obscures the social burdens placed on American citizens and others by focusing on an economy over which average citizens can make few or no claims. In other words, neoliberalism must be examined on the level of the state and its policymaking but also on the level of its differential effects on citizens depending on their social locations. Neoliberalism extends into and has particular effects on health care in the US. To understand how the clinical testing of pharmaceutical products fits into this ideology and mode of governance, attention must be given to medical neoliberalism not only as part of broader national trends toward privatized social services, but also as a cultural sensibility toward the commodification of health and wellness. </w:t>
      </w:r>
      <w:r w:rsidRPr="00DD2D90">
        <w:rPr>
          <w:highlight w:val="green"/>
          <w:u w:val="single"/>
        </w:rPr>
        <w:t>Neoliberalism extends</w:t>
      </w:r>
      <w:r w:rsidRPr="00DD2D90">
        <w:rPr>
          <w:u w:val="single"/>
        </w:rPr>
        <w:t xml:space="preserve"> the commodification of health in new ways; under its governing logic, </w:t>
      </w:r>
      <w:r w:rsidRPr="00DD2D90">
        <w:rPr>
          <w:highlight w:val="green"/>
          <w:u w:val="single"/>
        </w:rPr>
        <w:t>consumption</w:t>
      </w:r>
      <w:r w:rsidRPr="00DD2D90">
        <w:rPr>
          <w:u w:val="single"/>
        </w:rPr>
        <w:t xml:space="preserve"> is </w:t>
      </w:r>
      <w:r w:rsidRPr="00DD2D90">
        <w:rPr>
          <w:highlight w:val="green"/>
          <w:u w:val="single"/>
        </w:rPr>
        <w:t>not</w:t>
      </w:r>
      <w:r w:rsidRPr="00DD2D90">
        <w:rPr>
          <w:u w:val="single"/>
        </w:rPr>
        <w:t xml:space="preserve"> only </w:t>
      </w:r>
      <w:r w:rsidRPr="00DD2D90">
        <w:rPr>
          <w:highlight w:val="green"/>
          <w:u w:val="single"/>
        </w:rPr>
        <w:t>a right but</w:t>
      </w:r>
      <w:r w:rsidRPr="00DD2D90">
        <w:rPr>
          <w:u w:val="single"/>
        </w:rPr>
        <w:t xml:space="preserve"> also </w:t>
      </w:r>
      <w:r w:rsidRPr="00DD2D90">
        <w:rPr>
          <w:highlight w:val="green"/>
          <w:u w:val="single"/>
        </w:rPr>
        <w:t xml:space="preserve">an </w:t>
      </w:r>
      <w:r w:rsidRPr="00DD2D90">
        <w:rPr>
          <w:b/>
          <w:bCs/>
          <w:highlight w:val="green"/>
          <w:u w:val="single"/>
        </w:rPr>
        <w:t>obligation</w:t>
      </w:r>
      <w:r w:rsidRPr="00DD2D90">
        <w:rPr>
          <w:highlight w:val="green"/>
          <w:u w:val="single"/>
        </w:rPr>
        <w:t xml:space="preserve"> if one wants health care at all</w:t>
      </w:r>
      <w:r w:rsidRPr="00DD2D90">
        <w:rPr>
          <w:u w:val="single"/>
        </w:rPr>
        <w:t xml:space="preserve">. </w:t>
      </w:r>
      <w:r w:rsidRPr="00223414">
        <w:rPr>
          <w:sz w:val="16"/>
        </w:rPr>
        <w:t xml:space="preserve">Within this expanded frame, medical neoliberalism consists of several striking features. First, on the policy level, neoliberal ideologies infuse interpretations of the limitations of the current health care system in the US. Rather than the problem being defined as the system itself, it is instead understood in terms of opportunities for choice. True to its roots in economic liberalism, </w:t>
      </w:r>
      <w:r w:rsidRPr="00DD2D90">
        <w:rPr>
          <w:highlight w:val="green"/>
          <w:u w:val="single"/>
        </w:rPr>
        <w:t>American health care is</w:t>
      </w:r>
      <w:r w:rsidRPr="00DD2D90">
        <w:rPr>
          <w:u w:val="single"/>
        </w:rPr>
        <w:t xml:space="preserve"> defined individually, </w:t>
      </w:r>
      <w:r w:rsidRPr="00DD2D90">
        <w:rPr>
          <w:highlight w:val="green"/>
          <w:u w:val="single"/>
        </w:rPr>
        <w:t>according to who is willing to pay</w:t>
      </w:r>
      <w:r w:rsidRPr="00DD2D90">
        <w:rPr>
          <w:u w:val="single"/>
        </w:rPr>
        <w:t xml:space="preserve"> and for what kind of care.</w:t>
      </w:r>
      <w:r w:rsidRPr="00223414">
        <w:rPr>
          <w:sz w:val="16"/>
        </w:rPr>
        <w:t xml:space="preserve"> The focus on individual choice, however, serves to obscure the ways in which health care inequalities are generated by the system itself. In other words, </w:t>
      </w:r>
      <w:r w:rsidRPr="00DD2D90">
        <w:rPr>
          <w:u w:val="single"/>
        </w:rPr>
        <w:t xml:space="preserve">medical </w:t>
      </w:r>
      <w:r w:rsidRPr="00DD2D90">
        <w:rPr>
          <w:highlight w:val="green"/>
          <w:u w:val="single"/>
        </w:rPr>
        <w:t>neoliberalism leads to</w:t>
      </w:r>
      <w:r w:rsidRPr="00DD2D90">
        <w:rPr>
          <w:u w:val="single"/>
        </w:rPr>
        <w:t xml:space="preserve"> a </w:t>
      </w:r>
      <w:r w:rsidRPr="00DD2D90">
        <w:rPr>
          <w:highlight w:val="green"/>
          <w:u w:val="single"/>
        </w:rPr>
        <w:t>prioritization of choice over</w:t>
      </w:r>
      <w:r w:rsidRPr="00DD2D90">
        <w:rPr>
          <w:u w:val="single"/>
        </w:rPr>
        <w:t xml:space="preserve"> equity and </w:t>
      </w:r>
      <w:r w:rsidRPr="00DD2D90">
        <w:rPr>
          <w:highlight w:val="green"/>
          <w:u w:val="single"/>
        </w:rPr>
        <w:t>access.</w:t>
      </w:r>
      <w:r w:rsidRPr="00223414">
        <w:rPr>
          <w:sz w:val="16"/>
        </w:rPr>
        <w:t xml:space="preserve"> Second, on the institutional level, </w:t>
      </w:r>
      <w:r w:rsidRPr="00DD2D90">
        <w:rPr>
          <w:u w:val="single"/>
        </w:rPr>
        <w:t xml:space="preserve">medical neoliberalism is characterized by a commodification of health that </w:t>
      </w:r>
      <w:r w:rsidRPr="00DD2D90">
        <w:rPr>
          <w:highlight w:val="green"/>
          <w:u w:val="single"/>
        </w:rPr>
        <w:t xml:space="preserve">transforms individuals from </w:t>
      </w:r>
      <w:r w:rsidRPr="00DD2D90">
        <w:rPr>
          <w:b/>
          <w:bCs/>
          <w:highlight w:val="green"/>
          <w:u w:val="single"/>
        </w:rPr>
        <w:t>patients to consumers</w:t>
      </w:r>
      <w:r w:rsidRPr="00223414">
        <w:rPr>
          <w:sz w:val="16"/>
        </w:rPr>
        <w:t xml:space="preserve">. The difference in terms is not merely semantic. This new orientation towards medicine not only emphasizes autonomy but also accountability for both patients and health care providers. </w:t>
      </w:r>
      <w:r w:rsidRPr="00DD2D90">
        <w:rPr>
          <w:u w:val="single"/>
        </w:rPr>
        <w:t xml:space="preserve">Unlike patients, </w:t>
      </w:r>
      <w:r w:rsidRPr="00DD2D90">
        <w:rPr>
          <w:highlight w:val="green"/>
          <w:u w:val="single"/>
        </w:rPr>
        <w:t>consumers</w:t>
      </w:r>
      <w:r w:rsidRPr="00DD2D90">
        <w:rPr>
          <w:u w:val="single"/>
        </w:rPr>
        <w:t xml:space="preserve"> seeking health care </w:t>
      </w:r>
      <w:r w:rsidRPr="00DD2D90">
        <w:rPr>
          <w:highlight w:val="green"/>
          <w:u w:val="single"/>
        </w:rPr>
        <w:t>bear</w:t>
      </w:r>
      <w:r w:rsidRPr="00DD2D90">
        <w:rPr>
          <w:u w:val="single"/>
        </w:rPr>
        <w:t xml:space="preserve"> the </w:t>
      </w:r>
      <w:r w:rsidRPr="00DD2D90">
        <w:rPr>
          <w:highlight w:val="green"/>
          <w:u w:val="single"/>
        </w:rPr>
        <w:t>responsibility for the choices they make</w:t>
      </w:r>
      <w:r w:rsidRPr="00223414">
        <w:rPr>
          <w:sz w:val="16"/>
        </w:rPr>
        <w:t xml:space="preserve"> – or fail to make – </w:t>
      </w:r>
      <w:r w:rsidRPr="00DD2D90">
        <w:rPr>
          <w:highlight w:val="green"/>
          <w:u w:val="single"/>
        </w:rPr>
        <w:t>regarding</w:t>
      </w:r>
      <w:r w:rsidRPr="00DD2D90">
        <w:rPr>
          <w:u w:val="single"/>
        </w:rPr>
        <w:t xml:space="preserve"> their </w:t>
      </w:r>
      <w:r w:rsidRPr="00DD2D90">
        <w:rPr>
          <w:highlight w:val="green"/>
          <w:u w:val="single"/>
        </w:rPr>
        <w:t>health</w:t>
      </w:r>
      <w:r w:rsidRPr="00223414">
        <w:rPr>
          <w:sz w:val="16"/>
        </w:rPr>
        <w:t xml:space="preserve">. Because they are positioned as having the right to make choices about health care, consumers also have the obligation to utilize whatever products and services are available to ensure health or to treat illness and disease. This is not to say that medical professionals are not liable for malpractice claims. If anything, assessing the appropriateness of care is another burden on consumers, and malpractice suits serve as a means to make claims that the products and services they sought were not delivered as promised. Finally, on the cultural level, </w:t>
      </w:r>
      <w:r w:rsidRPr="00DD2D90">
        <w:rPr>
          <w:u w:val="single"/>
        </w:rPr>
        <w:t>through the process of making health care a commodity medical neoliberalism also commodifies the body itself</w:t>
      </w:r>
      <w:r w:rsidRPr="00223414">
        <w:rPr>
          <w:sz w:val="16"/>
        </w:rPr>
        <w:t xml:space="preserve">. Medical neoliberalism fragments the body by homing in on specific problem areas with or within the body to the detriment of holistic analysis. The implication of this fragmentation is that body parts are seen in terms of the products designed to maintain, cure, or enhance them. Potential dangers of this consumerist mode of fragmentation are new perceptions of disability and the rise of “technoluxe” and transhumanist models of medicine in which the focus is no longer on health per se but on enhancement of the body. In practice, medical neoliberalism is most easily identified in two changes in health care since the 1970s: managed care and direct-to-consumer advertising. President Reagan in the US, along with Margaret Thatcher in the UK, significantly advanced neoliberalism in the 1980s by crafting federal policy in accordance with these political and economic ideologies. For example, in response to the rising cost of medicine and the interpretation of the federal Medicare system as being on the verge of crisis, Reagan ushered in the economically rational strategy of managed care to reduce government spending on health care. After its implementation, the Medicare model quickly became the dominant form of health insurance in the private sector as well. This widespread move to reduce the costs of health care in the US was crafted as economic policy. Nonetheless, the changing structure of payment for medical services had profound effects on the culture of medicine. For example, it can be said to have undermined the authority of physicians, who under managed care must adhere to the rules of medical diagnostics and treatments set by insurance providers. In addition, as a response to managed care dipping into their incomes, physicians began to invest in for-profit ancillary-care ventures to spread the reach of the products and services they could offer to patients. Ultimately, managed care played a key role in the commodification of health care. By assigning values and standards to clinical practice, medicine became less a social good and more a set of commodities to which individual patients have differential degrees of access. </w:t>
      </w:r>
    </w:p>
    <w:p w14:paraId="77D130F8" w14:textId="77777777" w:rsidR="00820C00" w:rsidRPr="00223414" w:rsidRDefault="00820C00" w:rsidP="00820C00">
      <w:pPr>
        <w:rPr>
          <w:sz w:val="16"/>
        </w:rPr>
      </w:pPr>
    </w:p>
    <w:p w14:paraId="6D21A0AA" w14:textId="3CDB5653" w:rsidR="000F1364" w:rsidRPr="00223414" w:rsidRDefault="000F1364" w:rsidP="000F1364">
      <w:pPr>
        <w:pStyle w:val="Heading4"/>
        <w:rPr>
          <w:szCs w:val="26"/>
        </w:rPr>
      </w:pPr>
      <w:r w:rsidRPr="00223414">
        <w:rPr>
          <w:szCs w:val="26"/>
        </w:rPr>
        <w:t xml:space="preserve">Private healthcare encourages patient dumping – </w:t>
      </w:r>
      <w:r w:rsidR="005C43A3" w:rsidRPr="00223414">
        <w:rPr>
          <w:szCs w:val="26"/>
        </w:rPr>
        <w:t xml:space="preserve">this </w:t>
      </w:r>
      <w:r w:rsidRPr="00223414">
        <w:rPr>
          <w:szCs w:val="26"/>
        </w:rPr>
        <w:t>denies dignity</w:t>
      </w:r>
      <w:r w:rsidR="005C43A3" w:rsidRPr="00223414">
        <w:rPr>
          <w:szCs w:val="26"/>
        </w:rPr>
        <w:t xml:space="preserve"> and proves we already ration care</w:t>
      </w:r>
    </w:p>
    <w:p w14:paraId="3B396D37" w14:textId="6646B6F4" w:rsidR="000F1364" w:rsidRPr="00DD2D90" w:rsidRDefault="00B93173" w:rsidP="000F1364">
      <w:r w:rsidRPr="00223414">
        <w:rPr>
          <w:b/>
          <w:bCs/>
          <w:sz w:val="26"/>
          <w:szCs w:val="26"/>
        </w:rPr>
        <w:t>Stephenson 22</w:t>
      </w:r>
      <w:r w:rsidRPr="00DD2D90">
        <w:t xml:space="preserve"> [</w:t>
      </w:r>
      <w:r w:rsidR="000F1364" w:rsidRPr="00DD2D90">
        <w:t>Joy Stephenson-Laws, Managing Partner, 10-12-2022, "The Shameful Practice of Patient Dumping Continues to Threaten Community Health", SAC - Law Offices of Stephenson Acquisto &amp; Colman, https://www.sacfirm.com/blog/the-shameful-practice-of-patient-dumping-continues-to-threaten-community-health/</w:t>
      </w:r>
      <w:r w:rsidR="00794A3C" w:rsidRPr="00DD2D90">
        <w:t>]/Kankee</w:t>
      </w:r>
    </w:p>
    <w:p w14:paraId="6DAB109D" w14:textId="0EB2C78C" w:rsidR="000F1364" w:rsidRPr="00223414" w:rsidRDefault="000F1364" w:rsidP="000F1364">
      <w:pPr>
        <w:rPr>
          <w:sz w:val="16"/>
        </w:rPr>
      </w:pPr>
      <w:r w:rsidRPr="00223414">
        <w:rPr>
          <w:sz w:val="16"/>
        </w:rPr>
        <w:t xml:space="preserve">The term “patient dumping” refers to certain practices </w:t>
      </w:r>
      <w:r w:rsidRPr="00DD2D90">
        <w:rPr>
          <w:rStyle w:val="StyleUnderline"/>
        </w:rPr>
        <w:t xml:space="preserve">some </w:t>
      </w:r>
      <w:r w:rsidRPr="00DD2D90">
        <w:rPr>
          <w:rStyle w:val="StyleUnderline"/>
          <w:highlight w:val="green"/>
        </w:rPr>
        <w:t>healthcare providers</w:t>
      </w:r>
      <w:r w:rsidRPr="00DD2D90">
        <w:rPr>
          <w:rStyle w:val="StyleUnderline"/>
        </w:rPr>
        <w:t xml:space="preserve"> </w:t>
      </w:r>
      <w:r w:rsidRPr="00223414">
        <w:rPr>
          <w:sz w:val="16"/>
        </w:rPr>
        <w:t xml:space="preserve">use to </w:t>
      </w:r>
      <w:r w:rsidRPr="00DD2D90">
        <w:rPr>
          <w:rStyle w:val="StyleUnderline"/>
        </w:rPr>
        <w:t xml:space="preserve">remove uninsured or lower income patients from their facility. These include </w:t>
      </w:r>
      <w:r w:rsidRPr="00DD2D90">
        <w:rPr>
          <w:rStyle w:val="StyleUnderline"/>
          <w:highlight w:val="green"/>
        </w:rPr>
        <w:t>discharging patients</w:t>
      </w:r>
      <w:r w:rsidRPr="00DD2D90">
        <w:rPr>
          <w:rStyle w:val="StyleUnderline"/>
        </w:rPr>
        <w:t xml:space="preserve"> </w:t>
      </w:r>
      <w:r w:rsidRPr="00DD2D90">
        <w:rPr>
          <w:rStyle w:val="StyleUnderline"/>
          <w:highlight w:val="green"/>
        </w:rPr>
        <w:t>prematurely or refusing to care</w:t>
      </w:r>
      <w:r w:rsidRPr="00DD2D90">
        <w:rPr>
          <w:rStyle w:val="StyleUnderline"/>
        </w:rPr>
        <w:t xml:space="preserve"> for them</w:t>
      </w:r>
      <w:r w:rsidRPr="00223414">
        <w:rPr>
          <w:sz w:val="16"/>
        </w:rPr>
        <w:t xml:space="preserve"> at all </w:t>
      </w:r>
      <w:r w:rsidRPr="00DD2D90">
        <w:rPr>
          <w:rStyle w:val="StyleUnderline"/>
          <w:highlight w:val="green"/>
        </w:rPr>
        <w:t>to reduce the</w:t>
      </w:r>
      <w:r w:rsidRPr="00DD2D90">
        <w:rPr>
          <w:rStyle w:val="StyleUnderline"/>
        </w:rPr>
        <w:t xml:space="preserve"> inherent </w:t>
      </w:r>
      <w:r w:rsidRPr="00DD2D90">
        <w:rPr>
          <w:rStyle w:val="StyleUnderline"/>
          <w:highlight w:val="green"/>
        </w:rPr>
        <w:t>financial risk their treatment represents</w:t>
      </w:r>
      <w:r w:rsidRPr="00223414">
        <w:rPr>
          <w:sz w:val="16"/>
        </w:rPr>
        <w:t>.</w:t>
      </w:r>
      <w:r w:rsidR="004468BF" w:rsidRPr="00223414">
        <w:rPr>
          <w:sz w:val="16"/>
        </w:rPr>
        <w:t xml:space="preserve"> </w:t>
      </w:r>
      <w:r w:rsidRPr="00223414">
        <w:rPr>
          <w:sz w:val="16"/>
        </w:rPr>
        <w:t>While we may like to believe that “patient dumping” is a relatively new practice developed and employed by providers already operating on razor thin margins looking for a way to stay financially viable, the truth is that has been around since the late 1800s.</w:t>
      </w:r>
      <w:r w:rsidR="004468BF" w:rsidRPr="00223414">
        <w:rPr>
          <w:sz w:val="16"/>
        </w:rPr>
        <w:t xml:space="preserve"> </w:t>
      </w:r>
      <w:r w:rsidRPr="00223414">
        <w:rPr>
          <w:sz w:val="16"/>
        </w:rPr>
        <w:t xml:space="preserve">In fact, the term was supposedly coined in New York when it was reported that </w:t>
      </w:r>
      <w:r w:rsidRPr="00DD2D90">
        <w:rPr>
          <w:rStyle w:val="StyleUnderline"/>
        </w:rPr>
        <w:t>private hospitals were sending poor patients to that city’s main public hospital</w:t>
      </w:r>
      <w:r w:rsidRPr="00223414">
        <w:rPr>
          <w:sz w:val="16"/>
        </w:rPr>
        <w:t xml:space="preserve">. Making the situation worse was that these </w:t>
      </w:r>
      <w:r w:rsidRPr="00DD2D90">
        <w:rPr>
          <w:rStyle w:val="StyleUnderline"/>
          <w:highlight w:val="green"/>
        </w:rPr>
        <w:t>patients</w:t>
      </w:r>
      <w:r w:rsidRPr="00223414">
        <w:rPr>
          <w:sz w:val="16"/>
        </w:rPr>
        <w:t xml:space="preserve">, who were transported by horse-drawn ambulances, </w:t>
      </w:r>
      <w:r w:rsidRPr="00DD2D90">
        <w:rPr>
          <w:rStyle w:val="StyleUnderline"/>
        </w:rPr>
        <w:t xml:space="preserve">often </w:t>
      </w:r>
      <w:r w:rsidRPr="00DD2D90">
        <w:rPr>
          <w:rStyle w:val="StyleUnderline"/>
          <w:highlight w:val="green"/>
        </w:rPr>
        <w:t>died while being transferred</w:t>
      </w:r>
      <w:r w:rsidRPr="00223414">
        <w:rPr>
          <w:sz w:val="16"/>
        </w:rPr>
        <w:t>.</w:t>
      </w:r>
      <w:r w:rsidR="004468BF" w:rsidRPr="00223414">
        <w:rPr>
          <w:sz w:val="16"/>
        </w:rPr>
        <w:t xml:space="preserve"> </w:t>
      </w:r>
      <w:r w:rsidRPr="00223414">
        <w:rPr>
          <w:sz w:val="16"/>
        </w:rPr>
        <w:t>This situation resulted in the first legislative attempt in 1907 to prohibit the practice.</w:t>
      </w:r>
      <w:r w:rsidR="004468BF" w:rsidRPr="00223414">
        <w:rPr>
          <w:sz w:val="16"/>
        </w:rPr>
        <w:t xml:space="preserve"> </w:t>
      </w:r>
      <w:r w:rsidRPr="00223414">
        <w:rPr>
          <w:sz w:val="16"/>
        </w:rPr>
        <w:t>When the Emergency Medical Treatment and Labor Act (EMTALA) was enacted more than 35 years ago, it was supposed to put an end to “patient dumping.”</w:t>
      </w:r>
      <w:r w:rsidR="004468BF" w:rsidRPr="00223414">
        <w:rPr>
          <w:sz w:val="16"/>
        </w:rPr>
        <w:t xml:space="preserve"> </w:t>
      </w:r>
      <w:r w:rsidRPr="00223414">
        <w:rPr>
          <w:sz w:val="16"/>
        </w:rPr>
        <w:t>One provision of this act provides for stiff fines as well as possibly having Medicare provider agreements suspended for violations.</w:t>
      </w:r>
      <w:r w:rsidR="004468BF" w:rsidRPr="00223414">
        <w:rPr>
          <w:sz w:val="16"/>
        </w:rPr>
        <w:t xml:space="preserve"> </w:t>
      </w:r>
      <w:r w:rsidRPr="00223414">
        <w:rPr>
          <w:sz w:val="16"/>
        </w:rPr>
        <w:t>The logic here, of course, is that any unreimbursed expenses generated by these patients would pale in comparison to hefty fines and/or loss or Medicare reimbursement.</w:t>
      </w:r>
      <w:r w:rsidR="004468BF" w:rsidRPr="00223414">
        <w:rPr>
          <w:sz w:val="16"/>
        </w:rPr>
        <w:t xml:space="preserve"> </w:t>
      </w:r>
      <w:r w:rsidRPr="00223414">
        <w:rPr>
          <w:sz w:val="16"/>
        </w:rPr>
        <w:t>Most hospitals have policies against “patient dumping,” and over the years have implemented a variety of policies and procedures to address the issue. Nonetheless, this practice unfortunately continues.</w:t>
      </w:r>
      <w:r w:rsidR="004468BF" w:rsidRPr="00223414">
        <w:rPr>
          <w:sz w:val="16"/>
        </w:rPr>
        <w:t xml:space="preserve"> </w:t>
      </w:r>
      <w:r w:rsidRPr="00223414">
        <w:rPr>
          <w:sz w:val="16"/>
        </w:rPr>
        <w:t>While approximately four percent of hospitals receive EMTALA citations in any given year, this translates, by some accounts, into roughly 4,000 individual violations.</w:t>
      </w:r>
      <w:r w:rsidR="004468BF" w:rsidRPr="00223414">
        <w:rPr>
          <w:sz w:val="16"/>
        </w:rPr>
        <w:t xml:space="preserve"> </w:t>
      </w:r>
      <w:r w:rsidRPr="00223414">
        <w:rPr>
          <w:sz w:val="16"/>
        </w:rPr>
        <w:t>Not an insignificant number when you consider that each violation may represent multiple patients.</w:t>
      </w:r>
      <w:r w:rsidR="004468BF" w:rsidRPr="00223414">
        <w:rPr>
          <w:sz w:val="16"/>
        </w:rPr>
        <w:t xml:space="preserve"> </w:t>
      </w:r>
      <w:r w:rsidRPr="00223414">
        <w:rPr>
          <w:sz w:val="16"/>
        </w:rPr>
        <w:t>Consider these recent well-publicized cases of alleged “patient dumping” across the country:</w:t>
      </w:r>
      <w:r w:rsidR="004468BF" w:rsidRPr="00223414">
        <w:rPr>
          <w:sz w:val="16"/>
        </w:rPr>
        <w:t xml:space="preserve"> </w:t>
      </w:r>
      <w:r w:rsidRPr="00DD2D90">
        <w:rPr>
          <w:rStyle w:val="StyleUnderline"/>
        </w:rPr>
        <w:t>Seniors still in hospital gowns and wearing hospital no-slip socks were found on the streets with nowhere to go</w:t>
      </w:r>
      <w:r w:rsidRPr="00223414">
        <w:rPr>
          <w:sz w:val="16"/>
        </w:rPr>
        <w:t xml:space="preserve"> and often unsure of how to take the medications they were given at discharge</w:t>
      </w:r>
      <w:r w:rsidR="004468BF" w:rsidRPr="00223414">
        <w:rPr>
          <w:sz w:val="16"/>
        </w:rPr>
        <w:t xml:space="preserve"> </w:t>
      </w:r>
      <w:r w:rsidRPr="00223414">
        <w:rPr>
          <w:sz w:val="16"/>
        </w:rPr>
        <w:t>A disabled man with schizophrenia was discharged and sent to a group home where he subsequently stopped taking his medications and was found living in squalor</w:t>
      </w:r>
      <w:r w:rsidR="004468BF" w:rsidRPr="00223414">
        <w:rPr>
          <w:sz w:val="16"/>
        </w:rPr>
        <w:t xml:space="preserve"> </w:t>
      </w:r>
      <w:r w:rsidRPr="00223414">
        <w:rPr>
          <w:sz w:val="16"/>
        </w:rPr>
        <w:t>A deceased man dressed in a hospital gown and in a wheelchair was found on the street by a passersby</w:t>
      </w:r>
      <w:r w:rsidR="004468BF" w:rsidRPr="00223414">
        <w:rPr>
          <w:sz w:val="16"/>
        </w:rPr>
        <w:t xml:space="preserve"> </w:t>
      </w:r>
      <w:r w:rsidRPr="00223414">
        <w:rPr>
          <w:sz w:val="16"/>
        </w:rPr>
        <w:t xml:space="preserve">A young female patient in a hospital gown and socks was escorted out of a hospital and then left alone at a bus stop </w:t>
      </w:r>
      <w:r w:rsidRPr="00DD2D90">
        <w:rPr>
          <w:rStyle w:val="StyleUnderline"/>
        </w:rPr>
        <w:t>in freezing temperatures</w:t>
      </w:r>
      <w:r w:rsidR="004468BF" w:rsidRPr="00223414">
        <w:rPr>
          <w:sz w:val="16"/>
        </w:rPr>
        <w:t xml:space="preserve"> </w:t>
      </w:r>
      <w:r w:rsidRPr="00223414">
        <w:rPr>
          <w:sz w:val="16"/>
        </w:rPr>
        <w:t xml:space="preserve">These </w:t>
      </w:r>
      <w:r w:rsidRPr="00DD2D90">
        <w:rPr>
          <w:rStyle w:val="StyleUnderline"/>
        </w:rPr>
        <w:t xml:space="preserve">violations clearly </w:t>
      </w:r>
      <w:r w:rsidRPr="00DD2D90">
        <w:rPr>
          <w:rStyle w:val="StyleUnderline"/>
          <w:highlight w:val="green"/>
        </w:rPr>
        <w:t>put patient and community health at risk</w:t>
      </w:r>
      <w:r w:rsidRPr="00223414">
        <w:rPr>
          <w:sz w:val="16"/>
        </w:rPr>
        <w:t>.</w:t>
      </w:r>
      <w:r w:rsidR="004468BF" w:rsidRPr="00223414">
        <w:rPr>
          <w:sz w:val="16"/>
        </w:rPr>
        <w:t xml:space="preserve"> </w:t>
      </w:r>
      <w:r w:rsidRPr="00DD2D90">
        <w:rPr>
          <w:rStyle w:val="StyleUnderline"/>
        </w:rPr>
        <w:t>They</w:t>
      </w:r>
      <w:r w:rsidRPr="00223414">
        <w:rPr>
          <w:sz w:val="16"/>
        </w:rPr>
        <w:t xml:space="preserve"> may also</w:t>
      </w:r>
      <w:r w:rsidR="004468BF" w:rsidRPr="00223414">
        <w:rPr>
          <w:sz w:val="16"/>
        </w:rPr>
        <w:t xml:space="preserve"> </w:t>
      </w:r>
      <w:r w:rsidRPr="00DD2D90">
        <w:rPr>
          <w:rStyle w:val="StyleUnderline"/>
        </w:rPr>
        <w:t xml:space="preserve">exacerbate the very problem that providers who engage in “patient dumping” hope to avoid since many of these </w:t>
      </w:r>
      <w:r w:rsidRPr="00DD2D90">
        <w:rPr>
          <w:rStyle w:val="StyleUnderline"/>
          <w:highlight w:val="green"/>
        </w:rPr>
        <w:t>patients</w:t>
      </w:r>
      <w:r w:rsidRPr="00DD2D90">
        <w:rPr>
          <w:rStyle w:val="StyleUnderline"/>
        </w:rPr>
        <w:t xml:space="preserve"> may simply </w:t>
      </w:r>
      <w:r w:rsidRPr="00DD2D90">
        <w:rPr>
          <w:rStyle w:val="Emphasis"/>
          <w:highlight w:val="green"/>
        </w:rPr>
        <w:t>boomerang</w:t>
      </w:r>
      <w:r w:rsidRPr="00DD2D90">
        <w:rPr>
          <w:rStyle w:val="StyleUnderline"/>
          <w:highlight w:val="green"/>
        </w:rPr>
        <w:t xml:space="preserve"> back to the ED with</w:t>
      </w:r>
      <w:r w:rsidRPr="00DD2D90">
        <w:rPr>
          <w:rStyle w:val="StyleUnderline"/>
        </w:rPr>
        <w:t xml:space="preserve"> even </w:t>
      </w:r>
      <w:r w:rsidRPr="00DD2D90">
        <w:rPr>
          <w:rStyle w:val="StyleUnderline"/>
          <w:highlight w:val="green"/>
        </w:rPr>
        <w:t>more complex medical problems</w:t>
      </w:r>
      <w:r w:rsidRPr="00223414">
        <w:rPr>
          <w:sz w:val="16"/>
        </w:rPr>
        <w:t xml:space="preserve"> than those they had originally presented with.</w:t>
      </w:r>
      <w:r w:rsidR="004468BF" w:rsidRPr="00223414">
        <w:rPr>
          <w:sz w:val="16"/>
        </w:rPr>
        <w:t xml:space="preserve"> </w:t>
      </w:r>
      <w:r w:rsidRPr="00DD2D90">
        <w:rPr>
          <w:rStyle w:val="StyleUnderline"/>
        </w:rPr>
        <w:t xml:space="preserve">These </w:t>
      </w:r>
      <w:r w:rsidRPr="00DD2D90">
        <w:rPr>
          <w:rStyle w:val="StyleUnderline"/>
          <w:highlight w:val="green"/>
        </w:rPr>
        <w:t>examples</w:t>
      </w:r>
      <w:r w:rsidRPr="00DD2D90">
        <w:rPr>
          <w:rStyle w:val="StyleUnderline"/>
        </w:rPr>
        <w:t xml:space="preserve"> also </w:t>
      </w:r>
      <w:r w:rsidRPr="00DD2D90">
        <w:rPr>
          <w:rStyle w:val="StyleUnderline"/>
          <w:highlight w:val="green"/>
        </w:rPr>
        <w:t>send the message</w:t>
      </w:r>
      <w:r w:rsidRPr="00DD2D90">
        <w:rPr>
          <w:rStyle w:val="StyleUnderline"/>
        </w:rPr>
        <w:t xml:space="preserve"> that “</w:t>
      </w:r>
      <w:r w:rsidRPr="00DD2D90">
        <w:rPr>
          <w:rStyle w:val="StyleUnderline"/>
          <w:highlight w:val="green"/>
        </w:rPr>
        <w:t xml:space="preserve">dumped” patients are not </w:t>
      </w:r>
      <w:r w:rsidRPr="00DD2D90">
        <w:rPr>
          <w:rStyle w:val="StyleUnderline"/>
        </w:rPr>
        <w:t xml:space="preserve">as </w:t>
      </w:r>
      <w:r w:rsidRPr="00DD2D90">
        <w:rPr>
          <w:rStyle w:val="StyleUnderline"/>
          <w:highlight w:val="green"/>
        </w:rPr>
        <w:t>valued</w:t>
      </w:r>
      <w:r w:rsidRPr="00DD2D90">
        <w:rPr>
          <w:rStyle w:val="StyleUnderline"/>
        </w:rPr>
        <w:t xml:space="preserve"> or treated as well </w:t>
      </w:r>
      <w:r w:rsidRPr="00DD2D90">
        <w:rPr>
          <w:rStyle w:val="StyleUnderline"/>
          <w:highlight w:val="green"/>
        </w:rPr>
        <w:t>as</w:t>
      </w:r>
      <w:r w:rsidRPr="00DD2D90">
        <w:rPr>
          <w:rStyle w:val="StyleUnderline"/>
        </w:rPr>
        <w:t xml:space="preserve"> housed </w:t>
      </w:r>
      <w:r w:rsidRPr="00DD2D90">
        <w:rPr>
          <w:rStyle w:val="StyleUnderline"/>
          <w:highlight w:val="green"/>
        </w:rPr>
        <w:t>patients</w:t>
      </w:r>
      <w:r w:rsidRPr="00DD2D90">
        <w:rPr>
          <w:rStyle w:val="StyleUnderline"/>
        </w:rPr>
        <w:t xml:space="preserve"> or those </w:t>
      </w:r>
      <w:r w:rsidRPr="00DD2D90">
        <w:rPr>
          <w:rStyle w:val="StyleUnderline"/>
          <w:highlight w:val="green"/>
        </w:rPr>
        <w:t>with insurance</w:t>
      </w:r>
      <w:r w:rsidRPr="00DD2D90">
        <w:rPr>
          <w:rStyle w:val="StyleUnderline"/>
        </w:rPr>
        <w:t xml:space="preserve"> and/or greater means</w:t>
      </w:r>
      <w:r w:rsidRPr="00223414">
        <w:rPr>
          <w:sz w:val="16"/>
        </w:rPr>
        <w:t>.</w:t>
      </w:r>
      <w:r w:rsidR="004468BF" w:rsidRPr="00223414">
        <w:rPr>
          <w:sz w:val="16"/>
        </w:rPr>
        <w:t xml:space="preserve"> </w:t>
      </w:r>
      <w:r w:rsidRPr="00DD2D90">
        <w:rPr>
          <w:rStyle w:val="StyleUnderline"/>
        </w:rPr>
        <w:t>This</w:t>
      </w:r>
      <w:r w:rsidRPr="00223414">
        <w:rPr>
          <w:sz w:val="16"/>
        </w:rPr>
        <w:t xml:space="preserve"> perception, of course, </w:t>
      </w:r>
      <w:r w:rsidRPr="00DD2D90">
        <w:rPr>
          <w:rStyle w:val="StyleUnderline"/>
        </w:rPr>
        <w:t>is counter to a provider’s responsibility to its community and commitment to protect its members’ health</w:t>
      </w:r>
      <w:r w:rsidRPr="00223414">
        <w:rPr>
          <w:sz w:val="16"/>
        </w:rPr>
        <w:t>.</w:t>
      </w:r>
      <w:r w:rsidR="004468BF" w:rsidRPr="00223414">
        <w:rPr>
          <w:sz w:val="16"/>
        </w:rPr>
        <w:t xml:space="preserve"> </w:t>
      </w:r>
      <w:r w:rsidRPr="00223414">
        <w:rPr>
          <w:sz w:val="16"/>
        </w:rPr>
        <w:t xml:space="preserve">Supporting this message and perception is a study published by JAMA Internal Medicine that showed that </w:t>
      </w:r>
      <w:r w:rsidRPr="00DD2D90">
        <w:rPr>
          <w:rStyle w:val="StyleUnderline"/>
          <w:highlight w:val="green"/>
        </w:rPr>
        <w:t>uninsured patients were more likely to be discharged from the ED and/or to be transferred to another hospital</w:t>
      </w:r>
      <w:r w:rsidRPr="00223414">
        <w:rPr>
          <w:sz w:val="16"/>
        </w:rPr>
        <w:t xml:space="preserve">. The researchers concluded </w:t>
      </w:r>
      <w:r w:rsidRPr="00DD2D90">
        <w:rPr>
          <w:rStyle w:val="StyleUnderline"/>
        </w:rPr>
        <w:t>the study confirmed the unfortunate belief that financial incentives may be associated with decisions about hospitalization</w:t>
      </w:r>
      <w:r w:rsidRPr="00223414">
        <w:rPr>
          <w:sz w:val="16"/>
        </w:rPr>
        <w:t>.</w:t>
      </w:r>
      <w:r w:rsidR="004468BF" w:rsidRPr="00223414">
        <w:rPr>
          <w:sz w:val="16"/>
        </w:rPr>
        <w:t xml:space="preserve"> </w:t>
      </w:r>
      <w:r w:rsidRPr="00223414">
        <w:rPr>
          <w:sz w:val="16"/>
        </w:rPr>
        <w:t>Building on the EMTALA, various jurisdictions also require providers to have policies in place for managing the discharge of the unhoused.</w:t>
      </w:r>
      <w:r w:rsidR="004468BF" w:rsidRPr="00223414">
        <w:rPr>
          <w:sz w:val="16"/>
        </w:rPr>
        <w:t xml:space="preserve"> </w:t>
      </w:r>
      <w:r w:rsidRPr="00223414">
        <w:rPr>
          <w:sz w:val="16"/>
        </w:rPr>
        <w:t>Unhoused or homeless patients present a special challenge since finding them shelter may be difficult. This group may also have a disproportionate number of patients suffering from a variety of medical conditions which could increase the potential for health and safety risks if they are summarily “dumped” on to the streets.</w:t>
      </w:r>
      <w:r w:rsidR="004468BF" w:rsidRPr="00223414">
        <w:rPr>
          <w:sz w:val="16"/>
        </w:rPr>
        <w:t xml:space="preserve"> </w:t>
      </w:r>
      <w:r w:rsidRPr="00223414">
        <w:rPr>
          <w:sz w:val="16"/>
        </w:rPr>
        <w:t>It also is important to remember that a</w:t>
      </w:r>
      <w:r w:rsidR="004468BF" w:rsidRPr="00223414">
        <w:rPr>
          <w:sz w:val="16"/>
        </w:rPr>
        <w:t xml:space="preserve"> </w:t>
      </w:r>
      <w:r w:rsidRPr="00223414">
        <w:rPr>
          <w:sz w:val="16"/>
        </w:rPr>
        <w:t>patient usually has the right to accept or decline any resources offered to them upon discharge.</w:t>
      </w:r>
      <w:r w:rsidR="004468BF" w:rsidRPr="00223414">
        <w:rPr>
          <w:sz w:val="16"/>
        </w:rPr>
        <w:t xml:space="preserve"> </w:t>
      </w:r>
      <w:r w:rsidRPr="00DD2D90">
        <w:rPr>
          <w:rStyle w:val="StyleUnderline"/>
          <w:highlight w:val="green"/>
        </w:rPr>
        <w:t>The</w:t>
      </w:r>
      <w:r w:rsidRPr="00DD2D90">
        <w:rPr>
          <w:rStyle w:val="StyleUnderline"/>
        </w:rPr>
        <w:t xml:space="preserve"> entire</w:t>
      </w:r>
      <w:r w:rsidR="004468BF" w:rsidRPr="00DD2D90">
        <w:rPr>
          <w:rStyle w:val="StyleUnderline"/>
        </w:rPr>
        <w:t xml:space="preserve"> </w:t>
      </w:r>
      <w:r w:rsidRPr="00DD2D90">
        <w:rPr>
          <w:rStyle w:val="StyleUnderline"/>
          <w:highlight w:val="green"/>
        </w:rPr>
        <w:t>industry suffers significant damage to its reputation, and</w:t>
      </w:r>
      <w:r w:rsidRPr="00DD2D90">
        <w:rPr>
          <w:rStyle w:val="StyleUnderline"/>
        </w:rPr>
        <w:t xml:space="preserve"> to </w:t>
      </w:r>
      <w:r w:rsidRPr="00DD2D90">
        <w:rPr>
          <w:rStyle w:val="StyleUnderline"/>
          <w:highlight w:val="green"/>
        </w:rPr>
        <w:t>patient confidence</w:t>
      </w:r>
      <w:r w:rsidRPr="00DD2D90">
        <w:rPr>
          <w:rStyle w:val="StyleUnderline"/>
        </w:rPr>
        <w:t xml:space="preserve"> in healthcare in general, given that dumping cases can readily become</w:t>
      </w:r>
      <w:r w:rsidRPr="00223414">
        <w:rPr>
          <w:sz w:val="16"/>
        </w:rPr>
        <w:t xml:space="preserve"> local and even </w:t>
      </w:r>
      <w:r w:rsidRPr="00DD2D90">
        <w:rPr>
          <w:rStyle w:val="StyleUnderline"/>
        </w:rPr>
        <w:t>national causes célèbres that</w:t>
      </w:r>
      <w:r w:rsidRPr="00223414">
        <w:rPr>
          <w:sz w:val="16"/>
        </w:rPr>
        <w:t xml:space="preserve"> serve to only </w:t>
      </w:r>
      <w:r w:rsidRPr="00DD2D90">
        <w:rPr>
          <w:rStyle w:val="StyleUnderline"/>
        </w:rPr>
        <w:t>highlight the underbelly of the industry.</w:t>
      </w:r>
      <w:r w:rsidR="004468BF" w:rsidRPr="00DD2D90">
        <w:rPr>
          <w:rStyle w:val="StyleUnderline"/>
        </w:rPr>
        <w:t xml:space="preserve"> </w:t>
      </w:r>
      <w:r w:rsidRPr="00223414">
        <w:rPr>
          <w:sz w:val="16"/>
        </w:rPr>
        <w:t>What Providers Can and Should be Doing</w:t>
      </w:r>
      <w:r w:rsidR="004468BF" w:rsidRPr="00223414">
        <w:rPr>
          <w:sz w:val="16"/>
        </w:rPr>
        <w:t xml:space="preserve"> </w:t>
      </w:r>
      <w:r w:rsidRPr="00223414">
        <w:rPr>
          <w:sz w:val="16"/>
        </w:rPr>
        <w:t>One reason given for the ongoing violations of EMTALA is that staff may simply not fully understand its provisions and how to comply with them.</w:t>
      </w:r>
      <w:r w:rsidR="004468BF" w:rsidRPr="00223414">
        <w:rPr>
          <w:sz w:val="16"/>
        </w:rPr>
        <w:t xml:space="preserve"> </w:t>
      </w:r>
      <w:r w:rsidRPr="00223414">
        <w:rPr>
          <w:sz w:val="16"/>
        </w:rPr>
        <w:t>On paper, these provisions</w:t>
      </w:r>
      <w:r w:rsidR="004468BF" w:rsidRPr="00223414">
        <w:rPr>
          <w:sz w:val="16"/>
        </w:rPr>
        <w:t xml:space="preserve"> </w:t>
      </w:r>
      <w:r w:rsidRPr="00223414">
        <w:rPr>
          <w:sz w:val="16"/>
        </w:rPr>
        <w:t>are quite direct:</w:t>
      </w:r>
      <w:r w:rsidR="004468BF" w:rsidRPr="00223414">
        <w:rPr>
          <w:sz w:val="16"/>
        </w:rPr>
        <w:t xml:space="preserve"> </w:t>
      </w:r>
      <w:r w:rsidRPr="00223414">
        <w:rPr>
          <w:sz w:val="16"/>
        </w:rPr>
        <w:t>Any individual who comes and requests must receive a medical screening examination to determine whether an emergency medical condition exists. Examination and treatment cannot be delayed to ask about methods of payment or insurance coverage. Emergency departments also must post signs that notify patients and visitors of their rights to a medical screening examination and treatment.</w:t>
      </w:r>
      <w:r w:rsidR="004468BF" w:rsidRPr="00223414">
        <w:rPr>
          <w:sz w:val="16"/>
        </w:rPr>
        <w:t xml:space="preserve"> </w:t>
      </w:r>
      <w:r w:rsidRPr="00223414">
        <w:rPr>
          <w:sz w:val="16"/>
        </w:rPr>
        <w:t>If an emergency medical condition exists, treatment must be provided until the emergency medical condition is resolved or stabilized. If the hospital does not have the capability to treat the emergency medical condition, an “appropriate” transfer of the patient to another hospital must be done in accordance with the EMTALA provisions.</w:t>
      </w:r>
      <w:r w:rsidR="004468BF" w:rsidRPr="00223414">
        <w:rPr>
          <w:sz w:val="16"/>
        </w:rPr>
        <w:t xml:space="preserve"> </w:t>
      </w:r>
      <w:r w:rsidRPr="00223414">
        <w:rPr>
          <w:sz w:val="16"/>
        </w:rPr>
        <w:t>Hospitals with specialized capabilities are obligated to accept transfers from hospitals who lack the capability to treat unstable emergency medical conditions.</w:t>
      </w:r>
      <w:r w:rsidR="004468BF" w:rsidRPr="00223414">
        <w:rPr>
          <w:sz w:val="16"/>
        </w:rPr>
        <w:t xml:space="preserve"> </w:t>
      </w:r>
      <w:r w:rsidRPr="00223414">
        <w:rPr>
          <w:sz w:val="16"/>
        </w:rPr>
        <w:t>So, one thing providers can immediately do is review their current EMTALA training programs and update them if necessary to ensure staff understanding and compliance.</w:t>
      </w:r>
      <w:r w:rsidR="004468BF" w:rsidRPr="00223414">
        <w:rPr>
          <w:sz w:val="16"/>
        </w:rPr>
        <w:t xml:space="preserve"> </w:t>
      </w:r>
      <w:r w:rsidRPr="00DD2D90">
        <w:rPr>
          <w:rStyle w:val="StyleUnderline"/>
          <w:highlight w:val="green"/>
        </w:rPr>
        <w:t xml:space="preserve">One solution proposed </w:t>
      </w:r>
      <w:r w:rsidRPr="00DD2D90">
        <w:rPr>
          <w:rStyle w:val="StyleUnderline"/>
        </w:rPr>
        <w:t xml:space="preserve">by experts studying the dumping issue </w:t>
      </w:r>
      <w:r w:rsidRPr="00DD2D90">
        <w:rPr>
          <w:rStyle w:val="StyleUnderline"/>
          <w:highlight w:val="green"/>
        </w:rPr>
        <w:t>is universal health care</w:t>
      </w:r>
      <w:r w:rsidRPr="00223414">
        <w:rPr>
          <w:sz w:val="16"/>
        </w:rPr>
        <w:t>.</w:t>
      </w:r>
      <w:r w:rsidR="004468BF" w:rsidRPr="00223414">
        <w:rPr>
          <w:sz w:val="16"/>
        </w:rPr>
        <w:t xml:space="preserve"> </w:t>
      </w:r>
      <w:r w:rsidRPr="00223414">
        <w:rPr>
          <w:sz w:val="16"/>
        </w:rPr>
        <w:t>Since that is not about to happen soon in the United States, providers should place renewed efforts on examining policies and procedures in place for discharging the unhoused to better address their special needs and challenges.</w:t>
      </w:r>
      <w:r w:rsidR="004468BF" w:rsidRPr="00223414">
        <w:rPr>
          <w:sz w:val="16"/>
        </w:rPr>
        <w:t xml:space="preserve"> </w:t>
      </w:r>
      <w:r w:rsidRPr="00223414">
        <w:rPr>
          <w:sz w:val="16"/>
        </w:rPr>
        <w:t>This could include identifying and contracting with various community resources that may provide housing to such patients. Providers can readily work with community organizations to create such support programs.Researchers point out that having these in place could reduce rehospitalization rates by helping to ensure the unhoused and underserved have appropriate shelter/living situations to continue recuperating.</w:t>
      </w:r>
      <w:r w:rsidR="004468BF" w:rsidRPr="00223414">
        <w:rPr>
          <w:sz w:val="16"/>
        </w:rPr>
        <w:t xml:space="preserve"> </w:t>
      </w:r>
      <w:r w:rsidRPr="00223414">
        <w:rPr>
          <w:sz w:val="16"/>
        </w:rPr>
        <w:t>Given that one study reported that homeless patients had a 22 percent higher hospital readmittance rate than insured patients, supporting their recuperation could help address one cause of “dumping”.</w:t>
      </w:r>
      <w:r w:rsidR="004468BF" w:rsidRPr="00223414">
        <w:rPr>
          <w:sz w:val="16"/>
        </w:rPr>
        <w:t xml:space="preserve"> </w:t>
      </w:r>
      <w:r w:rsidRPr="00223414">
        <w:rPr>
          <w:sz w:val="16"/>
        </w:rPr>
        <w:t>They also can develop internal resources, such as a closet with donated clothing for patients being discharged.</w:t>
      </w:r>
      <w:r w:rsidR="004468BF" w:rsidRPr="00223414">
        <w:rPr>
          <w:sz w:val="16"/>
        </w:rPr>
        <w:t xml:space="preserve"> </w:t>
      </w:r>
      <w:r w:rsidRPr="00223414">
        <w:rPr>
          <w:sz w:val="16"/>
        </w:rPr>
        <w:t xml:space="preserve">While the causes of motivations for prematurely discharging patients are admittedly complex and challenging, </w:t>
      </w:r>
      <w:r w:rsidRPr="00DD2D90">
        <w:rPr>
          <w:rStyle w:val="StyleUnderline"/>
        </w:rPr>
        <w:t xml:space="preserve">literally </w:t>
      </w:r>
      <w:r w:rsidRPr="00DD2D90">
        <w:rPr>
          <w:rStyle w:val="StyleUnderline"/>
          <w:highlight w:val="green"/>
        </w:rPr>
        <w:t xml:space="preserve">dumping patients on the street is </w:t>
      </w:r>
      <w:r w:rsidRPr="00DD2D90">
        <w:rPr>
          <w:rStyle w:val="Emphasis"/>
          <w:highlight w:val="green"/>
        </w:rPr>
        <w:t>never</w:t>
      </w:r>
      <w:r w:rsidRPr="00DD2D90">
        <w:rPr>
          <w:rStyle w:val="StyleUnderline"/>
          <w:highlight w:val="green"/>
        </w:rPr>
        <w:t xml:space="preserve"> the solution</w:t>
      </w:r>
      <w:r w:rsidRPr="00DD2D90">
        <w:rPr>
          <w:rStyle w:val="StyleUnderline"/>
        </w:rPr>
        <w:t>.</w:t>
      </w:r>
      <w:r w:rsidRPr="00223414">
        <w:rPr>
          <w:sz w:val="16"/>
        </w:rPr>
        <w:t xml:space="preserve"> Discouraging this practice and working together as an industry to stop it benefits everyone – providers and their communities alike.</w:t>
      </w:r>
      <w:r w:rsidR="004468BF" w:rsidRPr="00223414">
        <w:rPr>
          <w:sz w:val="16"/>
        </w:rPr>
        <w:t xml:space="preserve"> </w:t>
      </w:r>
      <w:r w:rsidRPr="00223414">
        <w:rPr>
          <w:sz w:val="16"/>
        </w:rPr>
        <w:t>It also is the right and moral thing to do.</w:t>
      </w:r>
    </w:p>
    <w:p w14:paraId="23529AFF" w14:textId="77777777" w:rsidR="008727CC" w:rsidRPr="00223414" w:rsidRDefault="008727CC">
      <w:pPr>
        <w:rPr>
          <w:rFonts w:eastAsiaTheme="majorEastAsia" w:cstheme="majorBidi"/>
          <w:b/>
          <w:iCs/>
          <w:sz w:val="16"/>
        </w:rPr>
      </w:pPr>
      <w:r w:rsidRPr="00223414">
        <w:rPr>
          <w:sz w:val="16"/>
        </w:rPr>
        <w:br w:type="page"/>
      </w:r>
    </w:p>
    <w:p w14:paraId="0876F902" w14:textId="145BDDA4" w:rsidR="0038598C" w:rsidRPr="00223414" w:rsidRDefault="0038598C" w:rsidP="0038598C">
      <w:pPr>
        <w:pStyle w:val="Heading4"/>
        <w:rPr>
          <w:szCs w:val="26"/>
        </w:rPr>
      </w:pPr>
      <w:r w:rsidRPr="00223414">
        <w:rPr>
          <w:szCs w:val="26"/>
        </w:rPr>
        <w:t xml:space="preserve">Neoliberal economic theory loves cruelty to punish those who failed at the market – this is prima facie awful, especially in the context of healthcare </w:t>
      </w:r>
    </w:p>
    <w:p w14:paraId="573B79B2" w14:textId="24ACCDB2" w:rsidR="0038598C" w:rsidRPr="00DD2D90" w:rsidRDefault="0038598C" w:rsidP="0038598C">
      <w:r w:rsidRPr="00223414">
        <w:rPr>
          <w:b/>
          <w:bCs/>
          <w:sz w:val="26"/>
          <w:szCs w:val="26"/>
        </w:rPr>
        <w:t>Ibled 22</w:t>
      </w:r>
      <w:r w:rsidRPr="00DD2D90">
        <w:t xml:space="preserve"> [Carla Ibled, researcher at the University of London, 10-21-2022, "The ‘Optimistic Cruelty’ of Hayek’s Market Order: Neoliberalism, Pain and Social Selection", Sage Journals, </w:t>
      </w:r>
      <w:bookmarkStart w:id="46" w:name="_Hlk226914418"/>
      <w:r w:rsidRPr="00DD2D90">
        <w:t>https://journals.sagepub.com/doi/10.1177/02632764221126305</w:t>
      </w:r>
      <w:bookmarkEnd w:id="46"/>
      <w:r w:rsidRPr="00DD2D90">
        <w:t>]/Kankee</w:t>
      </w:r>
    </w:p>
    <w:p w14:paraId="4DA5F1C8" w14:textId="19D5AA0A" w:rsidR="0038598C" w:rsidRPr="00DD2D90" w:rsidRDefault="0038598C" w:rsidP="0038598C">
      <w:r w:rsidRPr="00DD2D90">
        <w:t>*cut the rest of this article if someone reads a Hayek neg</w:t>
      </w:r>
    </w:p>
    <w:p w14:paraId="1FB895CE" w14:textId="77777777" w:rsidR="0038598C" w:rsidRPr="00223414" w:rsidRDefault="0038598C" w:rsidP="0038598C">
      <w:pPr>
        <w:rPr>
          <w:sz w:val="16"/>
        </w:rPr>
      </w:pPr>
      <w:r w:rsidRPr="00223414">
        <w:rPr>
          <w:sz w:val="16"/>
        </w:rPr>
        <w:t xml:space="preserve">Abstract This article argues that cruelty, as a willingness to see or orchestrate the suffering of others, is not an unfortunate side-effect of neoliberal theories put into practice but is constitutive of the neoliberal project from its theoretical inception. Drawing on Lisa Duggan’s concept of ‘optimistic cruelty’ and treating the canonical texts of neoliberal economic theory as literary artefacts, the article develops this argument through a close reading of one of the central architects of the neoliberal project, the philosopher and economist Friedrich Hayek. The first part of the article examines how Hayek attempts to justify the brutality of the market order he imagines – the catallaxy – by arguing that this brutality is the natural consequence of the spontaneous evolutionary processes that move civilisation forward. The second part brings to the fore the </w:t>
      </w:r>
      <w:r w:rsidRPr="00DD2D90">
        <w:rPr>
          <w:rStyle w:val="StyleUnderline"/>
        </w:rPr>
        <w:t>eugenicist undertones</w:t>
      </w:r>
      <w:r w:rsidRPr="00223414">
        <w:rPr>
          <w:sz w:val="16"/>
        </w:rPr>
        <w:t xml:space="preserve"> that </w:t>
      </w:r>
      <w:r w:rsidRPr="00DD2D90">
        <w:rPr>
          <w:rStyle w:val="StyleUnderline"/>
        </w:rPr>
        <w:t>suffuse this vision</w:t>
      </w:r>
      <w:r w:rsidRPr="00223414">
        <w:rPr>
          <w:sz w:val="16"/>
        </w:rPr>
        <w:t xml:space="preserve">, despite Hayek’s apparent rejection of Social Darwinism. I analyse how </w:t>
      </w:r>
      <w:r w:rsidRPr="00DD2D90">
        <w:rPr>
          <w:rStyle w:val="StyleUnderline"/>
        </w:rPr>
        <w:t>Hayek’s market order</w:t>
      </w:r>
      <w:r w:rsidRPr="00223414">
        <w:rPr>
          <w:sz w:val="16"/>
        </w:rPr>
        <w:t xml:space="preserve"> operates through a series of disciplinary and biopolitical technologies that </w:t>
      </w:r>
      <w:r w:rsidRPr="00DD2D90">
        <w:rPr>
          <w:rStyle w:val="StyleUnderline"/>
        </w:rPr>
        <w:t xml:space="preserve">use pain, frustration, punishment and stigmatisation to eliminate bad habits, practices and subjectivities. These cruel mechanisms enable the catallaxy to sort between productive and unproductive lives to ensure that available resources are directed towards the former – even if it means that the others might be </w:t>
      </w:r>
      <w:r w:rsidRPr="00DD2D90">
        <w:rPr>
          <w:rStyle w:val="Emphasis"/>
        </w:rPr>
        <w:t>left to die</w:t>
      </w:r>
      <w:r w:rsidRPr="00223414">
        <w:rPr>
          <w:sz w:val="16"/>
        </w:rPr>
        <w:t xml:space="preserve">. As such, </w:t>
      </w:r>
      <w:r w:rsidRPr="00DD2D90">
        <w:rPr>
          <w:rStyle w:val="StyleUnderline"/>
        </w:rPr>
        <w:t>cruelty</w:t>
      </w:r>
      <w:r w:rsidRPr="00223414">
        <w:rPr>
          <w:sz w:val="16"/>
        </w:rPr>
        <w:t xml:space="preserve"> is an affective atmosphere that permeates the catallaxy. To see suffering does you good, to make suffer, better still [. . .]. No cruelty, no feast: that is what the oldest and longest period in human history teaches us – and punishment, too, has such very strong festive aspects! (Nietzsche, 2007: 42–3)1 Introduction </w:t>
      </w:r>
      <w:r w:rsidRPr="00DD2D90">
        <w:rPr>
          <w:rStyle w:val="StyleUnderline"/>
          <w:highlight w:val="green"/>
        </w:rPr>
        <w:t xml:space="preserve">Neoliberalism is a </w:t>
      </w:r>
      <w:r w:rsidRPr="00DD2D90">
        <w:rPr>
          <w:rStyle w:val="Emphasis"/>
          <w:highlight w:val="green"/>
        </w:rPr>
        <w:t>system of</w:t>
      </w:r>
      <w:r w:rsidRPr="00DD2D90">
        <w:rPr>
          <w:rStyle w:val="Emphasis"/>
        </w:rPr>
        <w:t xml:space="preserve"> </w:t>
      </w:r>
      <w:r w:rsidRPr="00DD2D90">
        <w:rPr>
          <w:rStyle w:val="Emphasis"/>
          <w:highlight w:val="green"/>
        </w:rPr>
        <w:t>cruelty</w:t>
      </w:r>
      <w:r w:rsidRPr="00223414">
        <w:rPr>
          <w:sz w:val="16"/>
        </w:rPr>
        <w:t xml:space="preserve"> (Couldry, 2008). In the name of flexibility, it demands that its </w:t>
      </w:r>
      <w:r w:rsidRPr="00DD2D90">
        <w:rPr>
          <w:rStyle w:val="StyleUnderline"/>
          <w:highlight w:val="green"/>
        </w:rPr>
        <w:t xml:space="preserve">subjects embrace </w:t>
      </w:r>
      <w:r w:rsidRPr="00DD2D90">
        <w:rPr>
          <w:rStyle w:val="Emphasis"/>
          <w:highlight w:val="green"/>
        </w:rPr>
        <w:t>insecurity</w:t>
      </w:r>
      <w:r w:rsidRPr="00DD2D90">
        <w:rPr>
          <w:rStyle w:val="StyleUnderline"/>
          <w:highlight w:val="green"/>
        </w:rPr>
        <w:t xml:space="preserve"> and </w:t>
      </w:r>
      <w:r w:rsidRPr="00DD2D90">
        <w:rPr>
          <w:rStyle w:val="Emphasis"/>
          <w:highlight w:val="green"/>
        </w:rPr>
        <w:t>precariousness</w:t>
      </w:r>
      <w:r w:rsidRPr="00DD2D90">
        <w:rPr>
          <w:rStyle w:val="StyleUnderline"/>
          <w:highlight w:val="green"/>
        </w:rPr>
        <w:t xml:space="preserve"> as a way of life</w:t>
      </w:r>
      <w:r w:rsidRPr="00223414">
        <w:rPr>
          <w:sz w:val="16"/>
        </w:rPr>
        <w:t xml:space="preserve">. In the name of personal responsibility, </w:t>
      </w:r>
      <w:r w:rsidRPr="00DD2D90">
        <w:rPr>
          <w:rStyle w:val="StyleUnderline"/>
        </w:rPr>
        <w:t>it punishes those who do not conform to the entrepreneurial ethos</w:t>
      </w:r>
      <w:r w:rsidRPr="00223414">
        <w:rPr>
          <w:sz w:val="16"/>
        </w:rPr>
        <w:t xml:space="preserve"> it promotes. As Loïc Wacquant (2009) and Imogen Tyler (2013) have demonstrated, </w:t>
      </w:r>
      <w:r w:rsidRPr="00DD2D90">
        <w:rPr>
          <w:rStyle w:val="StyleUnderline"/>
        </w:rPr>
        <w:t>this</w:t>
      </w:r>
      <w:r w:rsidRPr="00223414">
        <w:rPr>
          <w:sz w:val="16"/>
        </w:rPr>
        <w:t xml:space="preserve"> often </w:t>
      </w:r>
      <w:r w:rsidRPr="00DD2D90">
        <w:rPr>
          <w:rStyle w:val="StyleUnderline"/>
        </w:rPr>
        <w:t>equates to punishing and stigmatising the poor</w:t>
      </w:r>
      <w:r w:rsidRPr="00223414">
        <w:rPr>
          <w:sz w:val="16"/>
        </w:rPr>
        <w:t xml:space="preserve">. Examples of how neoliberalism wilfully causes pain and suffering to the most vulnerable are plenty. Philip Mirowski finds the presence of its ‘everyday sadism’ in the ‘theatre of cruelty’ of reality TV (Mirowski, 2013: 133), which tends to predominantly target as objects of abjection and humiliation the bodies of working-class women (Ringrose and Walkerdine, 2008). One also finds this ‘everyday sadism’ in the pettiness and blatant cruelty of austerity policies, that humiliate, wound and stigmatise welfare recipients (Tyler, 2020). As recently illustrated by the free school meals scandal in Britain, refusing support to a campaign to feed children in need during school holidays in a global pandemic can easily be justified, especially once their parents are presented as underserving and abject. This is the context in which Conservative MP Ben Bradley implied that many parents in his constituency were ‘illiterate’, with some living with their children in a ‘brothel’ and a ‘crack den’ (Murphy, 2020). Welfare benefits would end up funding their appalling way of life and, as Conservative MP Danny Kruger wrote, this would ‘enrage people who are working hard for themselves’ (Murphy, 2020). This article argues that cruelty, as a willingness to see or orchestrate the suffering of others, is not simply the result of how neoliberalism is practised in different contexts, cultures and places (Brenner and Theodore, 2002; Ong, 2006; Peck, 2010). Instead, I show that </w:t>
      </w:r>
      <w:r w:rsidRPr="00DD2D90">
        <w:rPr>
          <w:rStyle w:val="StyleUnderline"/>
        </w:rPr>
        <w:t>cruelty</w:t>
      </w:r>
      <w:r w:rsidRPr="00223414">
        <w:rPr>
          <w:sz w:val="16"/>
        </w:rPr>
        <w:t xml:space="preserve"> is constitutive of the neoliberal project from its theoretical inception, and specifically that it </w:t>
      </w:r>
      <w:r w:rsidRPr="00DD2D90">
        <w:rPr>
          <w:rStyle w:val="StyleUnderline"/>
        </w:rPr>
        <w:t>has an important function in</w:t>
      </w:r>
      <w:r w:rsidRPr="00223414">
        <w:rPr>
          <w:sz w:val="16"/>
        </w:rPr>
        <w:t xml:space="preserve"> the market order imagined in the canonical texts of neoliberal theory. Focusing on the work of Friedrich Hayek, one of the central architects of neoliberal theory,2 I show how </w:t>
      </w:r>
      <w:r w:rsidRPr="00DD2D90">
        <w:rPr>
          <w:rStyle w:val="StyleUnderline"/>
        </w:rPr>
        <w:t>cruelty works as a collective affect that suffuses neoliberal discourses and fuels the social engineering mechanisms these texts advocate</w:t>
      </w:r>
      <w:r w:rsidRPr="00223414">
        <w:rPr>
          <w:sz w:val="16"/>
        </w:rPr>
        <w:t xml:space="preserve">. Cruelty’s role in the affective structures of the neoliberal present has been highlighted by Lauren Berlant via the concept of ‘cruel optimism’. Cruel optimism designates the persistence of one’s hopeful attachment to the normative promises of capital – like the fantasy of the good life or of upward mobility – even when these promises structurally fail us and work against us (Berlant, 2011: 169–70). Berlant describes cruel optimism as a shared ‘affective atmosphere’ (2011: 15) that shapes people’s collective and individual strategies of adjustment and survival in a present continually disorganised by the ordinary crises of contemporary capitalism (2011: 8). Berlant’s engagement with affective atmosphere is explicitly inspired by Raymond Williams’s concept of ‘structure of feeling’. In this article, I use both concepts to refer to ‘a particular sense of life, a particular community of experience hardly needing expression’ (Williams, 2011: 104). In other words, these two concepts help us to understand how disparate discursive productions – like the reality TV shows and tweets by conservative MPs I mentioned above, but also novels, legal works and theoretical treatises – may share common affects that infuse them and whose presence makes itself felt on an implicit register rather than being consciously expressed and known. The article slightly changes Berlant’s scope of analysis, nonetheless. Whereas Berlant is interested in people’s affective responses to the crises of the neoliberal present, I want to understand the ‘structure of feeling’ attached to discursive works that precisely call for this disruption. Here, Lisa Duggan’s reworking of both Berlant and Williams’s analyses in Mean Girl (2019), her essay on the libertarian writer Ayn Rand, is particularly useful. Duggan compellingly swaps the words of Berlant’s title to </w:t>
      </w:r>
      <w:r w:rsidRPr="00DD2D90">
        <w:rPr>
          <w:rStyle w:val="StyleUnderline"/>
          <w:highlight w:val="green"/>
        </w:rPr>
        <w:t>identify a neoliberal structure of feeling as ‘</w:t>
      </w:r>
      <w:r w:rsidRPr="00DD2D90">
        <w:rPr>
          <w:rStyle w:val="Emphasis"/>
          <w:highlight w:val="green"/>
        </w:rPr>
        <w:t>optimistic cruelty’</w:t>
      </w:r>
      <w:r w:rsidRPr="00223414">
        <w:rPr>
          <w:sz w:val="16"/>
        </w:rPr>
        <w:t xml:space="preserve">. Duggan highlights how cultural artefacts celebrating the neoliberal spirit, like Rand’s, are enlivened by a ‘feeling of aspiration and glee’ suffused with cruelty, as well as </w:t>
      </w:r>
      <w:r w:rsidRPr="00DD2D90">
        <w:rPr>
          <w:rStyle w:val="StyleUnderline"/>
        </w:rPr>
        <w:t>animated by</w:t>
      </w:r>
      <w:r w:rsidRPr="00223414">
        <w:rPr>
          <w:sz w:val="16"/>
        </w:rPr>
        <w:t xml:space="preserve"> a strong sense of </w:t>
      </w:r>
      <w:r w:rsidRPr="00DD2D90">
        <w:rPr>
          <w:rStyle w:val="StyleUnderline"/>
        </w:rPr>
        <w:t xml:space="preserve">personal superiority </w:t>
      </w:r>
      <w:r w:rsidRPr="00DD2D90">
        <w:rPr>
          <w:rStyle w:val="StyleUnderline"/>
          <w:highlight w:val="green"/>
        </w:rPr>
        <w:t>and</w:t>
      </w:r>
      <w:r w:rsidRPr="00DD2D90">
        <w:rPr>
          <w:rStyle w:val="StyleUnderline"/>
        </w:rPr>
        <w:t xml:space="preserve"> utter ‘</w:t>
      </w:r>
      <w:r w:rsidRPr="00DD2D90">
        <w:rPr>
          <w:rStyle w:val="Emphasis"/>
          <w:highlight w:val="green"/>
        </w:rPr>
        <w:t>contempt</w:t>
      </w:r>
      <w:r w:rsidRPr="00DD2D90">
        <w:rPr>
          <w:rStyle w:val="StyleUnderline"/>
          <w:highlight w:val="green"/>
        </w:rPr>
        <w:t xml:space="preserve"> for and </w:t>
      </w:r>
      <w:r w:rsidRPr="00DD2D90">
        <w:rPr>
          <w:rStyle w:val="Emphasis"/>
          <w:highlight w:val="green"/>
        </w:rPr>
        <w:t>indifference</w:t>
      </w:r>
      <w:r w:rsidRPr="00DD2D90">
        <w:rPr>
          <w:rStyle w:val="StyleUnderline"/>
          <w:highlight w:val="green"/>
        </w:rPr>
        <w:t xml:space="preserve"> to others’</w:t>
      </w:r>
      <w:r w:rsidRPr="00223414">
        <w:rPr>
          <w:sz w:val="16"/>
        </w:rPr>
        <w:t xml:space="preserve"> (2019: xvi). The affective atmosphere in which neoliberal culture operates is a dual structure that acts both as a space for </w:t>
      </w:r>
      <w:r w:rsidRPr="00DD2D90">
        <w:rPr>
          <w:rStyle w:val="StyleUnderline"/>
        </w:rPr>
        <w:t>celebrating exceptionalism and capitalist freedom</w:t>
      </w:r>
      <w:r w:rsidRPr="00223414">
        <w:rPr>
          <w:sz w:val="16"/>
        </w:rPr>
        <w:t xml:space="preserve"> (2019: xvi), and as ‘</w:t>
      </w:r>
      <w:r w:rsidRPr="00DD2D90">
        <w:rPr>
          <w:rStyle w:val="StyleUnderline"/>
        </w:rPr>
        <w:t xml:space="preserve">the scene of the Neoliberal Theater of Cruelty through which </w:t>
      </w:r>
      <w:r w:rsidRPr="00DD2D90">
        <w:rPr>
          <w:rStyle w:val="StyleUnderline"/>
          <w:highlight w:val="green"/>
        </w:rPr>
        <w:t>feelings of resentment, fear, anger and loathing are enacted against the weak, who are a drain to the worthy</w:t>
      </w:r>
      <w:r w:rsidRPr="00DD2D90">
        <w:rPr>
          <w:rStyle w:val="StyleUnderline"/>
        </w:rPr>
        <w:t>’</w:t>
      </w:r>
      <w:r w:rsidRPr="00223414">
        <w:rPr>
          <w:sz w:val="16"/>
        </w:rPr>
        <w:t xml:space="preserve"> (2019: 84). This article expands this work on ‘optimistic cruelty’ as the affective atmosphere of neoliberal culture by analysing how the canonical texts of neoliberal theory also participate in the formation of a shared dual structure of feeling that has cruelty as its core, and which is organised around the joyful celebration of the superior few and the shaming of the less-deserving. In my exegesis of Hayek’s work, I specifically demonstrate that Hayek conceptualises his market order, the catallaxy, as a machinery dedicated to social selection by imposing pain, frustration and punishment on market agents, thus showing that the willingness to see and make people suffer was foundational to neoliberal thought. Cruelty is, and always has been, the point. To undertake this work, I freely follow Ian Bruff and Kathryn Starnes’s invitation to re-examine ‘the canon of neoliberal thought as literary artefacts rather than simply political or economic arguments’ (Bruff and Starnes, 2019: 246). According to Bruff and Starnes, such a reexamination ‘requires making seemingly familiar ways of writing unfamiliar and looking as much at how authors write as at what they write’ (2019: 248). In the article, I revisit this method through a hermeneutical interpretation of the vivid images and metaphors used by Hayek. Such an approach enables me to read neoliberal theory against itself and unsettle Hayek’s argument to better consider the inherent – cruel – logics at work in the philosophy of life he delineates. This approach also enables us to grasp how Hayek’s work participates in the construction of a particular affective atmosphere. I particularly want to go beyond the explicitly didactic function of Hayek’s theoretical texts to consider how they are pervaded by something that exceeds this function – affects – which allows these texts to participate (along with other cultural works and disciplinary dispositifs) in the elaboration of common affective structures.3 This excess is particularly visible in the aura that continues to surround some of Hayek’s most famous works like ‘Why I Am Not a Conservative’, the postface to The Constitution of Liberty (2011a) that adorns the websites of prominent neoliberal think-tanks like the Cato Institute and the Foundation for Economic Education. The well-known story of Margaret Thatcher ‘flamboyantly slamming Hayek’s Constitution of Liberty on the table while declaring “This is what we believe”’ (Peck, 2010: xv) is another example of how theoretical works can contain and express powerful affective identifications. The specific role Hayek plays in the crystallising of a common (although inherently plural; Mirowski and Plehwe, 2009) neoliberal imaginary is the reason why I chose to focus on him in this article. My argument proceeds in two stages. In the first part of the article, I examine how </w:t>
      </w:r>
      <w:r w:rsidRPr="00DD2D90">
        <w:rPr>
          <w:rStyle w:val="StyleUnderline"/>
          <w:highlight w:val="green"/>
        </w:rPr>
        <w:t>Hayek justifies the brutality of his market order as an extension of</w:t>
      </w:r>
      <w:r w:rsidRPr="00223414">
        <w:rPr>
          <w:sz w:val="16"/>
        </w:rPr>
        <w:t xml:space="preserve"> his theory of evolution. This leads me to consider Hayek’s relation with </w:t>
      </w:r>
      <w:r w:rsidRPr="00DD2D90">
        <w:rPr>
          <w:rStyle w:val="Emphasis"/>
          <w:highlight w:val="green"/>
        </w:rPr>
        <w:t>Social Darwinism</w:t>
      </w:r>
      <w:r w:rsidRPr="00DD2D90">
        <w:rPr>
          <w:rStyle w:val="StyleUnderline"/>
          <w:highlight w:val="green"/>
        </w:rPr>
        <w:t xml:space="preserve"> and the </w:t>
      </w:r>
      <w:r w:rsidRPr="00DD2D90">
        <w:rPr>
          <w:rStyle w:val="Emphasis"/>
          <w:highlight w:val="green"/>
        </w:rPr>
        <w:t>eugenicist</w:t>
      </w:r>
      <w:r w:rsidRPr="00DD2D90">
        <w:rPr>
          <w:rStyle w:val="StyleUnderline"/>
          <w:highlight w:val="green"/>
        </w:rPr>
        <w:t xml:space="preserve"> movement</w:t>
      </w:r>
      <w:r w:rsidRPr="00223414">
        <w:rPr>
          <w:sz w:val="16"/>
        </w:rPr>
        <w:t xml:space="preserve">. The second part of the article analyses specific disciplinary and regulatory mechanisms at work in the catallaxy, using Foucault’s work on discipline and biopower (Foucault, 2004). I demonstrate that </w:t>
      </w:r>
      <w:r w:rsidRPr="00DD2D90">
        <w:rPr>
          <w:rStyle w:val="StyleUnderline"/>
          <w:highlight w:val="green"/>
        </w:rPr>
        <w:t>pain</w:t>
      </w:r>
      <w:r w:rsidRPr="00DD2D90">
        <w:rPr>
          <w:rStyle w:val="StyleUnderline"/>
        </w:rPr>
        <w:t xml:space="preserve">, frustration, punishment and stigmatisation act as technologies that help to </w:t>
      </w:r>
      <w:r w:rsidRPr="00DD2D90">
        <w:rPr>
          <w:rStyle w:val="StyleUnderline"/>
          <w:highlight w:val="green"/>
        </w:rPr>
        <w:t>differentiate productive from unproductive</w:t>
      </w:r>
      <w:r w:rsidRPr="00DD2D90">
        <w:rPr>
          <w:rStyle w:val="StyleUnderline"/>
        </w:rPr>
        <w:t xml:space="preserve"> </w:t>
      </w:r>
      <w:r w:rsidRPr="00DD2D90">
        <w:rPr>
          <w:rStyle w:val="StyleUnderline"/>
          <w:highlight w:val="green"/>
        </w:rPr>
        <w:t>populations</w:t>
      </w:r>
      <w:r w:rsidRPr="00223414">
        <w:rPr>
          <w:sz w:val="16"/>
        </w:rPr>
        <w:t xml:space="preserve"> so as to allegedly ensure the long-term survival of the group. These cruel mechanisms are thus central cogs of the catallactic machine. Hayek’s Justification of Cruelty: Defending the Party of Life In his defence of the market order, Hayek tellingly acknowledges that the ‘progressive society’ he wishes for ‘appears cruel’ (Hayek, 2011a: 98). Anticipating critiques, and with a certain sense of pathos, Hayek deplores the ‘tragic plight of the highly trained man whose hard-learned skill has suddenly lost its value because of some invention which greatly benefits the rest of society’ (Hayek, 2011b: 127); he recognises how ‘tragic’ it is ‘to see the failure of the most meritorious efforts of parents to bring up their children, of young men to build a career, or of an explorer or scientist pursuing a brilliant idea’ (Hayek, 2013: 232). He adds, ‘[a]re we not all constantly disquieted by watching how unjustly life treats different people and by seeing the deserving suffer and the unworthy prosper?’ (2013: 232); is our ‘sense of justice’ not ‘undoubtedly’ offended ‘[t]hat anybody should suffer a great diminution of his income and bitter disappointment of all his hopes through no fault of his own, and despite hard work and exceptional skill’ (Hayek, 2011b: 127)? Hayek’s market order, the ‘catallaxy’, is accompanied by its lot of ‘poignant grief’ (Hayek, 2011a: 143), ‘losses imposing severe hardships’ (Hayek, 2011b: 126) and ‘underserved strokes of misfortune’ (Hayek, 2013: 255). Yet, as suggested by the opening sentence, for Hayek, its cruelty is only an appearance. If we follow Hayek’s reasoning, the catallaxy cannot be in strict terms cruel because it has no intentionality. It cannot be just or unjust as it is a mechanism without consciousness (Hayek, 2013: 231–3), a (marvellous) ‘system telecommunication’ that computes prices, thus transparently reflecting and signalling where there is opportunity for profit (Hayek, 1945: 527), and contributing, by extension, to the promotion of some entrepreneurial initiatives at the expense of others. In Hayek’s prose, the impersonal character of these sorting mechanisms has something comforting when one is met with failure. As he argues, ‘[t]he obstacles in our path are not due to somebody disapproving of our ends but to the fact that the same means are also wanted elsewhere’ (Hayek, 2011b: 97). The impersonal character of market processes also guarantees their efficiency. It enables them to automatically differentiate successful ventures from unsuccessful ones, without being blinded by the subjective merit of the actors behind those ventures and only taking into account the usefulness of each initiative. The mechanisms of the catallaxy are the driver of progress because they can discard non-viable projects to better concentrate resources on the most promising and useful ones. We reach here a central justification for the brutality of market processes: these are presented as an unfortunate consequence of the natural selection that accompanies spontaneous evolution. In other words, they belong to the realm of natural necessity (Hayek, 1988: 19).4 The selective mechanisms of the catallaxy are undeniably harsh, but they guarantee the prosperity to the greatest number and sustain ‘all our hopes for the reduction of present misery and poverty’ (Hayek, 2011a: 104). As such, as Hayek rhetorically concedes, we are the ‘captive of progress’ (2011a: 105). Hayek’s defence of the market order as a non-intentional (and therefore non-cruel) natural process is based on the recurrent use of an ‘evolutionary metaphor’ (Caldwell, 2001: 542). I do not wish here to enter the fierce scholarly debates around this question (see, for example, Hodgson, 1994; Caldwell, 2000, 2001; Mirowski, 2007; Beck, 2018) but only to highlight the role the evolutionary metaphor plays in Hayek’s rhetoric. The evolutionary metaphor is specifically used to demonstrate the superiority of the present – capitalist – order. For Hayek, the complex order in which we live today is a product of thousands of years of selection of habits and practices that have ‘prevailed’ because they were ‘successful’ (Hayek, 2013: 18). Crucially, Hayek argues that these habits and practices gave a selective advantage to the groups that observed them; they ‘increased the chances of survival of the group’ (2013: 18). According to Hayek, capitalism provides populations who accept its rules with better chances of survival by guaranteeing the wealth and well-being of these populations. Hayek’s attempt to prove the superiority of capitalism is therefore made on the grounds of its concrete ability to enable populations to ‘multiply’ and ‘increase their numbers’ (Hayek, 1988: 132), rather than on strict moral grounds – as Hayek stresses, he does ‘not claim that the results of group selection of traditions are necessarily “good”’ (Hayek, 1988: 27).5 As he writes, whether we like it or not, ‘[l]ife exists only so long as it provides for its own continuance. Whatever men live for, today most live only because of the market order’ (1988: 133). By extension, as the doctrine that guarantees the good development of capitalism, (neo)liberalism becomes the ‘party of life, the party that favors free growth and spontaneous evolution’ (Hayek, 2011a: 530). It protects the promising future of populations and guarantees the potential for further development contained in their reproduction (Martinez Mateo, 2020). Its ‘object, target and stake is life itself, or the biological existence of human beings’ (Spieker, 2013: 306) – which leads Jörg Spieker to argue (drawing on Foucault) that ‘evolutionism is the biopolitical rationality par excellence’ (2013: 305–6). The evolutionary metaphor thus allows Hayek to reformulate his defence of the market order (no matter the damages it may cause) in term of a struggle in which life itself is at stake. Surrendering to the sirens of rationalism (‘the fatal conceit’), collectivism or social justice (Hayek, 2013: 227) would ‘doom a large part of mankind to poverty and death’ (Hayek, 1988: 27). Liberal capitalism is the only culture that ‘provides the institutional properties necessary for the biological and economic sustainability of the global population’ (Spieker, 2013: 313). The evolutionary metaphor and its association with the defence of life enable Hayek to justify the insulation of the mechanisms of the market from the reach of government’s control. The market order is the successful product of evolution, but it also imitates the selective processes of evolution. It is both the product and engine of evolution. When assimilating the market’s selective mechanisms to natural selection, Hayek argues that both are spontaneous order: they are self-generating and self-organising (Hayek, 2013: 465). They obey no particular purpose and are so complex that they comprise ‘more particular facts than any brain could ascertain or manipulate’ (Hayek, 2013: 37). Any attempt to control these mechanisms – and specifically to intervene to alleviate losses caused by failure or to reequilibrate the inequalities ‘naturally’ created by the market – is bound to backfire as it will tamper with evolutionary processes. As such, the planners’ ambition to ‘shelter [people] from the vicissitudes of the market’ (Hayek, 2011b: 127) becomes counter-evolutionary;6 it threatens the very mechanisms thanks to which progress is made possible. By contrast, liberal capitalism can assist evolutionary processes by creating the right environment for their spontaneous unfolding (Hayek, 2013: 46); that is, by encasing the market order in an adequate legal and regulatory framework and by protecting it from the interference of both government and dissatisfied subjects (Slobodian, 2018). It accompanies the selective mechanisms of the market and ensures no obstacle is placed in their path that would risk tempering their effects. As suggested above, attending to the evolutionary metaphorics of Hayek’s work highlights how cultural evolution is understood for him as a process of ‘group selection’ (Hayek, 2013: 503). His interest in selection allied to his use of terms like ‘method of breeding’ (2013: 414) or ‘the survival of the successful’ (Hayek, 2011a: 112) (which is itself strongly reminiscent of Herbert Spencer’s ‘survival of the fittest’) has led to pointed interrogations of Hayek’s relationship with Social Darwinism and the eugenics movement (Leeson, 2017). Naomi Beck has shown Hayek’s theoretical indebtedness to two figures of the British eugenics movement, Alexander M. Carr-Saunders and Julian Huxley, on the questions of group selection and cultural evolution (Beck, 2018: 86–7). Yet Hayek explicitly distances himself from ‘Social Darwinists’ and condemns them for importing ideas taken from Darwinian biology like ‘“natural selection,” “struggle for existence,” and “survival of the fittest”’ into the social sciences (Hayek, 2011a: 117–18), thereby ‘concentrating on the selection of congenitally more fit individuals [. . .] and at the same time neglecting the decisively important selective evolution of rules and practices’ (Hayek, 2013: 487). For Hayek, the Social Darwinists’ confusion lies in the fact they (according to him) mistakenly believe that the idea of evolution originated in Darwin’s work on biology, rather than in the philosophical works of Bernard Mandeville and David Hume (2013: 487). Hayek thus differentiates himself from Social Darwinism (and more broadly from sociobiology; Hayek, 2013: 486) by placing himself on the cultural level of habits acquired by imitation contra interpretations, like Spencer’s, that focus on the inheritance of genetic traits. So when discussing the ‘survival of the successful’, Hayek has in mind successful habits, practices, rules or institutions, and not innate characteristics. Similarly, he formulates his argument in terms of group selection (1988: 25, 2011a: 18) and seemingly not in terms of individual selection. The distinction is ambiguous and rather unconvincing, as it is based on a misreading of Darwin’s work (Beck, 2018: 88; see also Hodgson, 1994).7 As suggested by Naomi Beck, Hayek’s eagerness to distance himself from Social Darwinism is rooted in its association with racism and eugenics (Beck, 2018, 88), in a post-Second World War intellectual context that identifies Social Darwinism with Nazism and that uses the label to denounce the practice of using biological analogies (and Darwin’s ideas in particular) to understand human social phenomena (Hodgson, 2004). Yet, Beck suggests that Hayek does not escape the ‘genetic or natural fallacy’ he denounces in Social Darwinism (Hayek, 1988: 27). When measuring the superiority of a civilisation by its reproductive success, Hayek intertwines the biological and the social (Beck, 2018: 118). As Beck writes, ‘a selection that favors expansion and demographic growth, such as Hayek’s cultural group selection, is de facto genetic selection’ (2018: 118). Nonetheless, Beck still believes that Hayek would have rejected the most problematic parts of Spencer’s theory on the ‘purifying process’ of the natural order (and its excreting of ‘its unhealthy, imbecile, slow, vacillating, faithless members’) (Spencer in Beck, 2018: 29). In the second part of the article, I gently unsettle Beck’s interpretation by demonstrating that the catallaxy is organised around the selection of productive initiatives (and, by extension, lives) at the expense of unproductive ones. But I wish to go even one step further and reconsider the connections of Hayek’s work with eugenics. Here, I find it heuristically useful to think of Hayek’s ambivalences in light of Robbie Shilliam’s distinction between Social Darwinism and eugenics (Shilliam, 2018: 49). Shilliam associates Social Darwinism and its full trust in the survival of the fittest with laissez-faire. In contrast, eugenics denotes a concern that, were nature to be left to its sole device, bad genes, habits and practices would prosper. Eugenics thus advocates resolute intervention to ensure that the good kinds of genes, but also good habits and practices, will prevail to preserve life in the long term. There are strong echoes of this ambition in Hayek’s work. Despite his call to insulate the market from governmental intervention, the legislator is still responsible for preparing the regulatory terrain that will enable the flourishing of the market’s selective mechanisms. For instance, Hayek compares the ‘attitude of the liberal towards society’ to a ‘gardener who tends a plant’ and who seeks to ‘create the conditions most favourable to its growth’ (Hayek, 2011b: 18). To push the metaphor further, the gardener cuts weeds and select the seedlings to leave space for the better crops. From this perspective, Hayek’s aspiration to signal and differentiate productive from unproductive lives through the brutal mechanisms of the market – as I explore in the second part of the article – needs to be noted. Significantly, Hayek claims that ‘there are some superior people’ (Hayek, 2011a: 524).8 These, again, will be superior for the quality of their decision-making, mental strength, and entrepreneurial spirit – qualities which are not innate but acquired. Hayek adds that nobody has ‘authority to decide who these superior people are’ (Hayek, 2011a: 524). This will, of course, be spontaneously determined by the anonymous mechanisms of the market order, which will automatically recognise which habits and ideas are the most useful to the greater number. Crediting the market order with the task of deciding who the superior people are enables Hayek to conveniently avoid being accused of aristocratic, not to say eugenicist and racialist, elitism – since he claims he is not in a position to determine the metrics for selection. The automated selective mechanisms of the market are meant to be class-, gender- and race-blind – an argument Arun Kundnani proves wrong in demonstrating that Hayek’s theories on cultural evolution, and specifically, his understanding of ‘progress’, rely on ‘particularist ideas of western cultural pre-eminence’ (Kundnani, 2021: 2). To reformulate this in terms of pain and cruelty, the market is blind to the personal features and qualities of each individual; it only indirectly selects some and dooms others to extinction. For Hayek, the brutality with which the catallaxy operates is not exactly intended – and therefore not strictly-speaking cruel – but the inevitable product of the way evolution naturally and spontaneously proceeds. The second half of the article complicates, and ultimately questions, Hayek’s argument by considering cruelty as an affective atmosphere. I demonstrate that cruelty suffuses the complex market order imagined by Hayek; pain is the fuel that animates this order. The ‘grief’, ‘losses’ and ‘misfortune’ that Hayek rhetorically deplores are not unfortunate side-effects but integral to the functioning of the catallaxy as a disciplinary apparatus. Even though Hayek denies Social Darwinism, his evolutionary approach pivots on the need to eliminate bad habits, practices and subjectivities. This, I argue, is where an affective atmosphere of cruelty comes in. Hayek’s Catallaxy as a Cruel Stigma Machine I now want to analyse the way Hayek pictures the functioning of the catallaxy so as to better bring to the fore the disciplinary and biopolitical operations that animate it and their cruel logic. To briefly draw on Foucault’s distinction between disciplinary and biopolitical technologies of power, the former ‘centers on the body, produces individualizing effects, and manipulates the body as the source of forces that have to be rendered both useful and docile’ (Foucault, 2004: 249). In contrast, the latter is centred upon life; it is a ‘power of regularization’ which consists in ‘making live and letting die’ (2004: 247). Foucault argued that both techniques tend to be superimposed in late modernity, and, as I demonstrate, this is very much the case with Hayek’s catallaxy. Hayek plainly acknowledges that ‘[t]he necessity of finding a sphere of usefulness, an appropriate job, ourselves is the hardest discipline that a free society imposes on us’ (Hayek, 2011a: 143, emphases added). As already noted, he also expresses his enthusiasm for ‘method[s] for breeding certain types of mind’ (Hayek, 2013: 414; emphasis added) – competition being one of them. When treating Hayek’s work as a literary artefact (Bruff and Starnes, 2019), one can only be struck by his liberal use of technological metaphors when describing the market order. Famously, he presents the catallaxy as a marvellous machine, an astute ‘system of telecommunication’ (Hayek, 1945: 527). He conceives it as a learning and teaching apparatus that automatically provides ‘feedbacks’ (like in ‘cybernetics’) (Hayek, 2013: 283); a ‘system’ that provides ‘inducements’ and ‘incentives’ (2013: 284). In the following sections, I will therefore analyse some of these technologies and techniques that are used to create certain effects on people and populations. I will show how pain, frustration, castigation and the threat of destitution are instrumentalised to both motivate individuals and to differentiate useful subjects from disposable populations – populations that may be sacrificed when need be. Pain is co-constitutive of the market order imagined by Hayek, which makes it stand as a cruel and sadistic piece of social engineering. Crucially, for the social engineering of the catallaxy to accurately work, the terrain on which it operates must be adequately prepared. Specifically, the actors of the catallaxy must submit to its operations to make these operations effective. They shouldn’t be protected so as to be amenable to the changes these operations are meant to induce. As noted by Jessica Whyte, ‘the spontaneous order relies [. . .] on the inculcation of a submissive subjective disposition’ (Whyte, 2017: 173) and faith in the impersonal forces of the market – which Hayek praises and wishes for – plays such a role. As he writes, it is by ‘submitting that we are everyday helping to build something that is greater than any one of us can fully comprehend’ (Hayek, 2011b: 210). Competition as a Breeding Method Competition is one of the disciplinary technologies through which the selection operated by the market runs.9 As mentioned above, Hayek conceives competition as a ‘method for breeding certain types of minds’ like the ‘spirit of enterprise’ (Hayek, 2013: 414), but also as the only known ‘method for producing [a highly developed commercial spirit]’ (2013: 413). It thus targets individuals and aims to induce certain changes in their behaviour. As I will discuss, competition triggers mimetic desire and encourages market actors to emulate those who succeed. But Hayek also conceives competition in a more disturbing way. Competition comes to create an environment of constant unrest and looming threat. For instance, Hayek indicates that having ‘competitors is always a nuisance that prevents a quiet life’ (2013: 415, emphases added). Tellingly, Hayek openly formulates this threat as an existential threat. What is at stake is the survival of the actors involved. Hayek characteristically claims that ‘competition will make it necessary for people to act rationally in order to maintain themselves’ (2013: 413–14; emphasis added). He writes in the same passage that ‘it will in general be through competition that a few relatively more rational individuals will make it necessary for the rest to emulate them in order to prevail’ (2013: 414; emphasis added). While the verbs ‘maintain’ and ‘prevail’ might seem relatively neutral, they need to be understood in their euphemistic dimension. Particularly, it is important to keep in mind that Hayek often uses them in his writing on evolution in combination with the theme of survival. I will only quote two representative passages to support this argument. A passage of Law, Legislation and Liberty discusses learning as a process of ‘the observance, spreading, transmission and development of practices which have prevailed because they were successful – often not because they conferred any recognizable benefit on the acting individual but because they increased the chances of survival of the group to which he belonged’ (Hayek, 2013: 18; emphases added). In a particularly dark passage of a 1981 interview given by Hayek to Wirtschaftswoche (in which he expresses concerns for ‘overpopulation’), he states that ‘[t]here is only one way to curb this overpopulation: maintenance (erhalten) and reproduction (vermehren) are reserved solely for those societies (Völker) that are able to sustain/feed (ernähren) themselves’ (Hayek in Butterwegge et al., 2008: 73).10 As the juxtaposition of ‘persisting as a group’ with ‘being able to feed’ transparently suggests, ‘to maintain oneself’ and ‘to prevail’ are to be placed in the context of a struggle for survival between cultures, ethnic groups (which adopt these cultures and thus can ‘displac[e] less efficient groups’; Hayek, 2013: 19) but also, at least implicitly, between individuals. What competition does is to activate the spectre of loss and destitution so as to force all actors to adapt to new circumstances. In a variation of Joseph Schumpeter’s concept of ‘creative destruction’ (Schumpeter, 1951, 1954), Hayek argues that a ‘small number’ of entrepreneurial spirits, through their inventions and innovations, will threaten the maintenance of ‘larger numbers’, making it necessary for these latter ‘to do what they do not like, be it to work harder, to change habits, or to devote a degree of attention, continuous application, or regularity to their work which without competition would not be needed’ (Hayek, 2013: 415). As Hayek writes elsewhere, ‘by their innovations [the innovators] forced a new manner of living on people belonging to an earlier state of culture’ (Hayek, 2011a: 103). The superior few force the majority out of their complacency and drag them onto the road of progress. The Pain of Frustrated Desire A second disciplinary technology is mimetic desire, which operates as a complement to competition. Here I find it useful to quote at length an extract from The Constitution of Liberty in which the mechanics of desire is exposed in plain light: Most of what we strive for are things we want because others already have them. Yet a progressive society, while it relies on this process of learning and imitation, recognizes the desires it creates only as a spur to further effort. It does not guarantee the results to everyone. It disregards the pain of unfulfilled desire aroused by the example of others. It appears cruel because it increases the desire of all in proportion as it increases its gifts to some. Yet so long as it remains a progressive society, some must lead, and the rest must follow. (Hayek, 2011a: 98, emphases added) While in the previous section Hayek conceived competition as being animated by the looming threat of destitution, here we are faced with another motor with a striking libidinal core: mimetic desire. Desire is clearly identified in this passage as an important factor determining human behaviour, a factor that can be artificially ‘create[d]’, acted upon and manipulated by the engineering of the catallaxy to obtain certain reactions. The aim is explicitly to force the market agents on the move, to urge them into making ‘further efforts’. To do so, the catallaxy turns itself into a mirror that displays the ‘example’ of the successful few so as to ‘arous[e]’ the desire of all. The catallaxy is thus here conceived as a libidinal apparatus, which stimulates desire by organising scarcity. Specifically, attention is given to the relation of proportionality – unequal at its core and which Hayek explicitly recognises as appearing ‘cruel’ – between the ‘gifts [given] to some’ and the ‘desire of all’. In this relation, the greater the gifts granted to the few are, the more burning will be the desire of all. We are here dealing with a cruel – rather sadistic – mechanics of frustration that is fuelled by the ‘pain of desire’. From this perspective, I find it interesting to slightly push and unsettle the meaning of the ‘spur’ in Hayek’s description of desire as ‘a spur to further effort’, by bringing in its primary meaning: a small spike, as used, for instance, for urging a horse forward. Hayek seems to invite this interpretation as he carries the metaphor further in the next sentence when writing about desire being ‘aroused’. Desire here becomes something that stings, relentlessly and rather harshly, to force individuals forward. It is disquieting and potentially painful, like a small rock stuck in one’s shoe. The catallaxy thus becomes a machine inflicting targeted pain in the name of progress. As Hayek writes elsewhere, ‘it is also not part of the general interest that every private desire be met. The order of the Great Society does rest and must rest on constant undesigned frustrations of some efforts’ (Hayek, 2013: 171). As the sentence closing the extract – ‘some must lead, and the rest must follow’ – suggests, inequality is a prerequisite for the libidinal machine to function. For the catallaxy to work, it needs to make visible shining examples of success that the common person envies and admires.11 The more superlative the gifts granted to the successful few, the more acute will be the desire of all and the more effort they will make to catch up with those the catallaxy displays as models. Consequently, it is not surprising to find that many passages of The Constitution of Liberty are devoted to an apology of luxury. Luxury is granted positive social effects, in a typical example of trickle-down economics. The luxurious few become trendmakers, precursors of the taste of tomorrow; as Hayek reckons, ‘only from an advanced position does the next range of desires and possibilities become visible’ (Hayek, 2011a: 97). The rich are the ‘scouts [who] have found the goal [so] that the road can be built for the less lucky or less energetic’ (2011a: 98). Later in the book, Hayek praises ‘playboys’ as the pioneers of the ‘successful use of leisure’, who devote their time to the ‘art of living’ and to whom ‘we owe many of the now common forms of living’ (2011a: 195). The energetic metaphor and the insistence on the ‘art’ and ‘forms of living’ designate the rich as more vigorous and fit – at least intellectually – than the rest. We find here a trace of the glamour bestowed upon the superior few for their expansive ‘sense of life’ that Lisa Duggan (2019) finds in Ayn Rand’s novels and which forms the core of their ‘optimistic cruelty’. Punishing the Unsuccessful Successful (that is, entrepreneurial) people are used by the catallatic breeding machine to induce certain effects on the rest of the population – either through the insecure environment or the envious desires they generate. I now want to consider the function within the catallaxy of their polar opposite: those who fail, those who are non-useful and created as ‘surplus population’ (Cooper, 2008: 61; see also Kundnani, 2021: 14). This leads me to consider the way Hayek conceives poverty. Hayek specifically differentiates two kinds of poverty: what he calls ‘poverty in the absolute sense’ from ‘[p]overty in the relative sense’ (Hayek, 2013: 297). I demonstrate below that both kinds are differently instrumentalised by the mechanisms of the catallaxy so as to steer individuals in certain directions. To start with ‘poverty in the absolute sense’, Hayek proclaims that the brilliant success of the ‘Great Society’ is to have abolished it (Hayek, 2013: 297) – at least in the West.12 As he adds, ‘[n]obody capable of useful work need today lack food and shelter in the advanced countries, and for those incapable of themselves earning enough these necessities are generally provided outside the market’ (2013: 297). What we can see here, in addition to the opposition between those ‘capable’ and those ‘incapable’ of ‘useful work’, is that Hayek does give grounds for the existence of ‘a system of public relief which provides a uniform minimum for all instances of proved need’ (Hayek, 2011a: 424), and which particularly guarantees ‘some minimum of food, shelter, and clothing, sufficient to preserve health and the capacity to work’ (Hayek, 2011b: 124–5). Assistance is at times presented as a way for the successful to ‘protect themselves against the consequences of the extreme misery of their fellows’ (Hayek, 2011a: 406) – for instance crime and theft out of desperation. Yet, unsurprisingly, these guarantees come with a price imposed on those ‘incapable’ of providing for themselves. This becomes amply clear when Hayek bluntly states that the security hence provided opens ‘the important question whether those who thus rely on the community should indefinitely enjoy all the same liberties as the rest’ (Hayek, 2011b: 124). In other words, Hayek’s demand for all individuals to be given ‘equality before the law’ – that is, the ‘presupposition of a free society, that all must be judged and treated by others according to the same rules’ (Hayek, 2013: 502) – finds its limit here, and the same when it comes to his defence of sacrosanct liberty. Hayek proposes to introduce an exception to the norm: the suspension of certain liberties for those who rely on public relief. The stigmatisation of the reliant strongly echoes the concept of the ‘stigma machine’ put forward by Imogen Tyler in Stigma (2020) to visualise neoliberalism’s ‘punitive apparatus’ and focus on ‘the instruments through which stigma is impressed upon bodies in order to subjugate them, as stigma is cranked into operation in support of extractive capitalist political economies’ (Tyler, 2020: 260). Tyler here draws on Franz Kafka’s short story ‘In the Penal Colony’ in which Kafka describes a machine used to torture people to death by repeatedly tattooing in their flesh the commandment they have been accused of disobeying (2020: 253). Tyler uses the ‘stigma machine’ as a conceptual device to think about how institutional, administrative and legal machines are set into motion to ‘immobilise, wound, humiliate and/or dehumanise those caught within their grasp’ (2020: 260). This is precisely what is at work in Hayek’s proposals for the poor. Behind the suspension of equality of treatment signalled above lies Hayek’s concern that providing basic security and assistance will ‘induce some to neglect such provision against emergencies as they would have been able to make on their own’ (Hayek, 2011a: 405–6). By alleviating the threat that the catallaxy puts on individuals’ very survival, public assistance risks making people more indolent, less industrious; it is ‘apt to reduce individuals’ efforts’ (Hayek, 2011a: 406). The legislator who assists the mechanisms of the catallaxy must thus ensure that some kind of penalty – or punishment – is reinscribed to compensate for the easing of existential threats – like in the example above about ‘liberties’. Or at least to ensure that public assistance is given only as a last resort through a system of compulsory insurance and forced self-provision against the ‘the common hazards of life’ such as ‘old age, unemployment, sickness, etc.’ (Hayek, 2011a: 406). The coercive action of the state is justified by the fact that the neglectful ‘become a charge to the public’ (Hayek, 2011a: 406; emphasis added). As such, Hayek opposes the defenders of social justice’s demand that ‘those who really need help should not feel inferior’, that the needy be allowed ‘to feel that what they get is the product of their own effort or merit’ (Hayek, 2011a: 427) – implying that they must be made to feel the shame. Poverty ‘in the relative sense’ is also conceived of as an instrument of social engineering. Whereas Hayek considered that absolute poverty might be abolished by the magic of the market order, he describes relative poverty as an uncompressible, mathematical fact. As he states, we cannot ‘alter the fact that a certain percentage of the population must find itself in the bottom of the scale’ (Hayek, 2013: 290). Again, we need to go beyond Hayek’s apparent fatalism to better reassert that pain, disappointment and frustration play a core role in the social engineering operated by the catallaxy. As Hayek writes, they are an ‘inseparable part of the steering mechanism of the market’ (Hayek, 2013: 255). Since the catallaxy is a learning and teaching apparatus, failure, misfortune and the hardship that come with them must be fully sustained by the individual because they constitute a mechanism for ‘negative feedback’ that forces agents to redirect their activities towards more promising (seemingly useful) activities after ‘discover[ing] by bitter experience that they have misdirected their efforts’ (Hayek, 2013: 255). Such ‘bitter experience’ is seen as a ‘necessary part of that process of constant adaptation to changing circumstances’ on which evolution and progress depend. Strikingly, the pain and hardship of those who fail come to be integrated in a metric to evaluate usefulness. This is explicit in the following passage: That those who have to offer to their fellows little that is valuable may have to incur more pain and effort to earn even a pittance than others who perhaps actually enjoy rendering services for which they are well paid, is a necessary concomitant of any system in which remuneration is based on the values the services have to the user and not on an assessment of merit earned. (Hayek, 2013: 254) This passage suggests that the ‘negative feedback’ is not just operative on the individual level. It functions – through the system of remuneration – for the entire social order. The ‘pain’, increased ‘efforts’ and mere ‘pittance’ earned are signals given to all that indicate which activities are worth pursuing and which ones need to be abandoned. Failing and struggling people thus come to play the role of counter-models. Through the spectacle of their hardships, they show to all what happens to those who make the wrong choice or refuse to adapt. As Hayek bluntly writes: ‘if success proves that [new views] are more effective, those who stick to their old ways must not be protected against a relative or even absolute decline in their position’ (Hayek, 2013: 415). I want to make two connected remarks here. On the one hand, Hayek believes that any kind of state intervention to protect some while preventing unmerited profit by others risks endangering the positive and negative feedbacks automatically provided by the examples of successful and failing individuals, and particularly the connection between remuneration and usefulness (Hayek, 2011b: 128). On the other hand, this non-intervention of the state is justified by the fact that individuals are left free to choose which signals to follow and how to act on them. Crucially, Hayek connects this liberty with responsibility, claiming that both are ‘inseparable’ (Hayek, 2011a: 133). As he claims, ‘[l]iberty not only means that the individual has both the opportunity and the burden of choice; it also means that he must bear the consequences of his actions and will receive praise or blame for them’ (Hayek, 2011a: 133). Importantly for my argument, in the same passage, Hayek conceives ‘responsibility’13 as another learning mechanism that provides ‘knowledge of the consequences of [men’s (sic)] action’ so as to guide them in their future decisions; ‘[assigning responsibility] aims at teaching people what they ought to consider in comparable future situations.’ (Hayek, 2011a: 139; emphasis added). As Hayek clearly indicates, this disciplinary mechanism is seen as transformative. Responsibility as a social engineering technology ‘aims at making [men] act more rationally than they would otherwise’ (Hayek, 2011a: 139). By making them face alone the consequences of their choice (which is interestingly described by Hayek as a ‘burden’, as something to be borne), they learn the hard way (but ‘freely’ as nobody tells them what to do) how to be more accurate and efficient in their decision-making. The potential cruelty of this intertwinement of non-intervention and responsibility manifests fully in a passage of Law, Legislation and Liberty on the intergenerational dimension of decision-making. In this passage, Hayek explains that present unequal social positions are the results of the enterprising efforts, decisions and chances of the individuals, but also of their ancestors (Hayek, 2013: 177). He subsequently argues that parents tend to have in mind the effects of their life-choices and decisions on ‘the prospects of their children’ and that this is ‘an important factor in the adaptation of the use of human resources to foreseeable human development’ (2013: 177). In a rather disturbing turn, he then concludes that the adequate use of present resources for future development (that is, for evolution) will ‘be taken into account only if the risk is borne not only by those who decide but also by their descendants’ (2013: 177). In other words, the descendants must pay the price for the mistakes of their ancestors. People in lower classes – or, to take on Hayek’s words, ‘at the bottom of the scale’ – are thus wearing the stigmata of their ancestors’ miscalculations, misfortune or lack of efforts. Of course, following the logic of non-intervention he expounds, Hayek finishes by stating that the government should not step in to protect the children and guarantee that they ‘would be sure of the same facilities whatever their parents decided’; if not, ‘an important factor would be left out of account in those decisions which in the general interest ought to guide [the parents]’ (2013: 177). This passage confirms that the social engineering of the catallaxy acts as a ‘stigma machine’ that organises retribution to found and legitimise an unequal social order.14 Stigma and poverty cascade across generational boundaries. The machine marks and punishes the failing (the unlucky, the lazy) and promotes the successful (the felicitous, the industrious). In addition, it uses punishment and the abandonment of the failing and of their descendants as negative incentives to ensure that all try their best. Failure must be painful to act as a deterrent for all. It needs to be made visible – a spectacle that all can see. The Spectacle of Destitution The necessity of making destitution visible for disciplinary purposes is evident in a second instance: when Hayek discusses the issue of urban slums (Hayek, 2011a: 471–4). Interestingly, this time it is not about inducing populations to act more rationally to avoid destitution. The inhabitants of slums – who Hayek blatantly deracialises – are presented as rational economic actors who have chosen to live (or, as Hayek puts it, ‘who do not mind living’; Hayek, 2011a: 472) in what Hayek is happy to describe as ‘deplorable’ or ‘crowded and unsanitary’ conditions, so as to be able to access the city and the economic opportunities it offers – which ‘may lead to greater prosperity’ (Hayek, 2011a: 474). We find here the logic of ‘sacrifice’ – a word which is used in a few instances in Hayek’s work to talk about ‘financial sacrifice’ (Hayek, 2011b: 99) or ‘material sacrifice’ (Hayek, 2011a: 508). Generally, sacrifice represents a way for the ‘less able or less suitable’ (Hayek, 2011b: 99) or for ‘those of less productivity’ (Hayek, 2011a: 472) to get a start by accepting a lesser pay and lesser or riskier living conditions. As I demonstrate below, inducing this act of sacrifice and self-renunciation needs to be understood as yet another technology of social selection. Only those who want a job sufficiently, desperately enough, will be willing to take that step. They will be given access to the city only if they are ready to materially, physically and mentally pay the price for it. The fact that Hayek is here thinking about the selection of population becomes transparent when he suggests that the state should not intervene to ensure slums disappear because they act as particularly efficient ‘economic deterrents’ (Hayek, 2011a: 474). By which he means that they are useful to spontaneously solve an ‘acute problem’ that seems to concern him greatly (as seen in the section on competition): overpopulation (2011a: 474). Of course, what Hayek fears is poor people (and implicitly, considering the American context in which The Constitution of Liberty is written, non-white populations); that is, ‘the influx of large numbers from poorer and still predominantly rural regions’ (2011a: 474). As he explains, providing better low-cost accommodations ‘will attract a great many more’ (2011a: 474). Better then to keep the decaying, unsanitary and over-crowded buildings as they are as it will ensure that only those who are the most motivated will come forward. The less strong and courageous will prefer the comfort of the countryside. We see here that destitution becomes a spectacle, which is used to test the strengths and will of the candidates to (here internal) migration. It acts at the individual level – and is therefore, to go back to Foucault’s distinction, a disciplinary technology – but also at the level of populations, which it regulates, ensuring that the unwanted mass of the poor is kept out of the city or, rather, at its margins (the margins of liveability). It is as such also an example of biopower. The Calculus of Lives The social engineering operated by the catallaxy thus aims at steering individuals in certain directions, at forcing them to surpass themselves and at controlling numbers. It is constituted of an intertwinement of disciplinary and biopower technologies that enable us to recognise and differentiate useful from non-useful lives by promoting the former and neglecting the latter so as to provide each with a social position. This differentiation is important because it opens the possibility, to draw on Foucault’s terms, to ‘let die’ certain populations in order to ‘make live’ other selected ones – a process that Foucault considers characteristic of biopower (Foucault, 2004: 241). Crucially, Foucault identifies the act of separating groups within a population – which he sees as first instantiated in racism (understood extensively to include the ‘degenerate’ or the ‘abnormal’) – as integral to the functioning of biopower (2004: 255). Some groups must be killed directly or ‘indirectly’, which includes ‘the fact of exposing someone to death, increasing the risk of death for some people, or, quite simply, political death, expulsion, rejection and so on’ (2004: 256). They must die or be left to die so the superior may live – a biopolitical logic that Foucault thinks is at work in evolutionism (2004: 256–7). As seen in the first part of the article, Hayek expounds a distinct theory of evolution but has a tendency to apply it to groups – which are implicitly placed in a struggle for survival against each other (Spieker, 2013) – rather than to individuals. I want to complicate and unsettle this argument. Particularly, I argue that the evolutionary metaphor employed by Hayek and his differentiation between useful and non-useful individuals lead him to claim that the less-useful lives might have to be sacrificed – when need be – for the preservation of the most productive ones and so as to secure the evolutionary future of the group. This is a point he makes explicitly in The Fatal Conceit (1988), in a section strikingly titled ‘The Calculus of Costs Is a Calculus of Lives’. As he announces from the start, the ‘calculus of lives’ is ‘more than a metaphor’ (1988: 132). He indicates that it might be necessary to ‘sacrific[e] a few lives in order to serve a large number elsewhere’ (1988: 132). While Hayek insists that these lives are ‘unknown lives’ – in the sense that the person taking the decision about who to sacrifice does not know which exact individuals they are placing at risk – he insists on the fact ‘[t]he requirement of preserving the maximum number of lives is not that all individual lives be regarded as equally important’ (1988: 132). Those who are designated as more important and as in need to be preserved are those who ‘create or preserve other lives’ (1988: 132) like, Hayek says, a doctor, a hunter (who can feed the community) or a fertile woman (because of her reproductive power). Yet, it is important to note that he also writes that ‘the highly productive may be more valuable to the community than other adult individuals’ (1988: 132) and the whole passage comes right after a section about how ‘capitalism gave life to the proletariat’ (1988: 130–2). What the catallaxy thus does is help to spontaneously determine a hierarchy between useful and non-useful lives so that the latter may be disposed of when situations occur where ‘a painful choice between competing aims’ needs to be made in the name of evolution (Hayek, 2011a: 423). As Hayek writes in The Constitution of Liberty when discussing the functioning of ‘free’ health systems (by opposition to state-sponsored health systems of the like of the British National Health Service): It may seem harsh, but it is probably in the interest of all that under a free system those with full earning capacity should often be rapidly cured of a temporary and not dangerous disablement at the expense of some neglect of the aged and mortally ill. (Hayek, 2011a: 423) The old, the ‘mortally ill’, who have already lost their productive abilities, may be ‘neglect[ed]’ to ensure the full preservation of the forces of those who can earn. In the market order imagined by Hayek, we all profit ‘from the capital and experience supplied by the rich’ (Hayek, 2011a: 101). We owe them progress in our ways of living, our jobs, our subsistence and therefore our very lives. As such, our sacrifice to ensure their thriving is presented as fair. (Neo)liberalism as the ‘party of life’ also rationalises who must be left to die. Conclusion My aim in this article has been to explore how neoliberal theory, as represented by the work of Friedrich Hayek, is also representative of ‘optimistic cruelty’, the ‘sense of life’ or the ‘structure of feeling’ that Lisa Duggan associates with neoliberalism (Duggan, 2019: xv–xvi). Cruelty has been understood in this article as a wilfulness to and absence of concern about causing pain and suffering to others. As I demonstrated, the intertwinement of disciplinary and biopolitical technologies that Hayek’s market order puts in place may be qualified as cruel because they put pain, frustration, punishment and stigmatisation at the very centre of their action. Indeed, pain, frustration, punishment and stigmatisation are not unfortunate side-effects of the workings of the market order. They are co-constitutive. They act as the very mechanisms that enable the market order to sort between productive and unproductive lives so as to ensure all resources are directed towards the former – even if it means that the others might be left to die. Hayek’s attempt to justify the sheer brutality of the market order and to dismiss its cruelty as mere appearance by insisting on the blindness and the necessary/spontaneous dimension of its processes should not distract us from considering the catallaxy for what it is: a mechanism (assisted by the willingness of the neoliberal legislator) that uses pain to sort populations; a selective apparatus that violently excludes some in the name of the survival of the group. Hayek’s rejection of Social Darwinism seems rather feeble from this perspective. While the euphemistic and elliptical vocabulary used by Hayek means he never makes claims that could be qualified as overtly eugenicist entirely explicit, there is a flirtation with it, at least in his belief in the inherent inequality of individuals and in his willingness to see the weaker make way for the stronger. To reuse Robbie Shilliam’s rhetorical question, ‘[w]as there ever more of a “neoliberal” project than eugenics?’ (Shilliam, 2021: 247). Optimistic cruelty, as an ‘affective atmosphere’ (Berlant, 2011: 15) that permeates the catallaxy, is nowhere more patent than in Hayek’s enthusiasm for the entrepreneurial ‘scouts’ and their ‘art of living’, as well as in his willingness to see the unsuccessful carrying the cost of their mistakes on several generations, or to see the ‘less energetic’ forced in the path of progress by the threat of destitution. The joyful celebration (and implicit identification with) the ‘superior people’ is mirrored by a willingness to impose suffering on the less-deserving Others. My exegesis has aimed to demonstrate that the neoliberal project has adopted cruelty as its fuel from its inception. As a charismatic and influential figure in the crystallisation of a distinctive neoliberal identity – through the aura bestowed on his books by his admirers from both academia and the policy world, but also through his role in the creation of the neoliberal thought collective (Mirowski and Plehwe, 2009) – Hayek’s work participates in the creation of a neoliberal structure of feeling that has cruelty at its core. As such, I am questioning the distinction that is at times made between neoliberal theory and actually existing neoliberalism, when it comes to violence and authoritarianism. I hope to have demonstrated that the bouts of spectacular cruelty that we are witnessing today – from trash reality TV, to the demonstrations of the Alt-Right to the free school meals scandal – are not examples of neoliberal theory that has gone ‘awry’ in practice, of an everyday neoliberalism at odds with ‘neoliberal dreams’ (as perhaps implied in Brown, 2020: 50). Instead, these examples of everyday sadism are faithful to the spirit of cruelty that neoliberal theory – along with other cultural works, apparatuses and practices – has contributed to shape.</w:t>
      </w:r>
    </w:p>
    <w:p w14:paraId="2A9C61E8" w14:textId="77777777" w:rsidR="008727CC" w:rsidRPr="00223414" w:rsidRDefault="008727CC">
      <w:pPr>
        <w:rPr>
          <w:rFonts w:eastAsiaTheme="majorEastAsia" w:cstheme="majorBidi"/>
          <w:b/>
          <w:iCs/>
          <w:sz w:val="16"/>
        </w:rPr>
      </w:pPr>
      <w:r w:rsidRPr="00223414">
        <w:rPr>
          <w:sz w:val="16"/>
        </w:rPr>
        <w:br w:type="page"/>
      </w:r>
    </w:p>
    <w:p w14:paraId="07014C7B" w14:textId="3310E7E1" w:rsidR="00407BFC" w:rsidRPr="00223414" w:rsidRDefault="00407BFC" w:rsidP="00407BFC">
      <w:pPr>
        <w:pStyle w:val="Heading4"/>
        <w:rPr>
          <w:szCs w:val="26"/>
        </w:rPr>
      </w:pPr>
      <w:r w:rsidRPr="00223414">
        <w:rPr>
          <w:szCs w:val="26"/>
        </w:rPr>
        <w:t>Healthcare ought to be communitarian, not monopolistic – patients have a right to be structurally involved in the</w:t>
      </w:r>
      <w:r w:rsidR="00405081" w:rsidRPr="00223414">
        <w:rPr>
          <w:szCs w:val="26"/>
        </w:rPr>
        <w:t xml:space="preserve"> conditions of their</w:t>
      </w:r>
      <w:r w:rsidRPr="00223414">
        <w:rPr>
          <w:szCs w:val="26"/>
        </w:rPr>
        <w:t xml:space="preserve"> care</w:t>
      </w:r>
      <w:r w:rsidR="00EA13A0" w:rsidRPr="00223414">
        <w:rPr>
          <w:szCs w:val="26"/>
        </w:rPr>
        <w:t xml:space="preserve"> and not be forced to defer to the decisions of corporations</w:t>
      </w:r>
    </w:p>
    <w:p w14:paraId="57DFBDB5" w14:textId="77777777" w:rsidR="00407BFC" w:rsidRPr="00DD2D90" w:rsidRDefault="00407BFC" w:rsidP="00407BFC">
      <w:r w:rsidRPr="00223414">
        <w:rPr>
          <w:b/>
          <w:bCs/>
          <w:sz w:val="26"/>
          <w:szCs w:val="26"/>
        </w:rPr>
        <w:t>Gaffney and Waitzkin 18</w:t>
      </w:r>
      <w:r w:rsidRPr="00DD2D90">
        <w:t xml:space="preserve"> [Adam Gaffney, pulmonary and critical care physician at the Cambridge Health Alliance in Massachusetts and a board member of Physicians for a National Health Program, and Howard Waitzkin, Distinguished Professor Emeritus in the Department of Sociology and Health Sciences Center at the University of New Mexico and director of the Civilian Medical Resources Network, 2018, “HEALTH CARE under the KNIFE Moving Beyond Capitalism for Our Health,” NYU Press, https://www.jstor.org/stable/j.ctt1pwt8bd]/Kankee</w:t>
      </w:r>
    </w:p>
    <w:p w14:paraId="3D7DBD58" w14:textId="77777777" w:rsidR="00407BFC" w:rsidRPr="00223414" w:rsidRDefault="00407BFC" w:rsidP="00407BFC">
      <w:pPr>
        <w:rPr>
          <w:sz w:val="16"/>
        </w:rPr>
      </w:pPr>
      <w:r w:rsidRPr="00223414">
        <w:rPr>
          <w:sz w:val="16"/>
        </w:rPr>
        <w:t xml:space="preserve">COMMUNAL HEALTH CARE ORGANIZATIONS Political power, it has been argued, emanates from two poles: “constituted” power (the established power of the state) and “constituent” power (popular power from below). Though constituent power plays a critical role in the making of political change, including revolutions, historically it has become subsequently marginalized by victorious, newly constituted power. However, in both theory and practice, some have then </w:t>
      </w:r>
      <w:r w:rsidRPr="00DD2D90">
        <w:rPr>
          <w:rStyle w:val="StyleUnderline"/>
        </w:rPr>
        <w:t>sought to shift power back from the constituted to the constituent</w:t>
      </w:r>
      <w:r w:rsidRPr="00223414">
        <w:rPr>
          <w:sz w:val="16"/>
        </w:rPr>
        <w:t xml:space="preserve">. The “communal state” envisioned by the late Venezuelan President Hugo Chávez, in which </w:t>
      </w:r>
      <w:r w:rsidRPr="00DD2D90">
        <w:rPr>
          <w:rStyle w:val="StyleUnderline"/>
        </w:rPr>
        <w:t>bottom-up “communes” played a key role in the political transition of the nation</w:t>
      </w:r>
      <w:r w:rsidRPr="00223414">
        <w:rPr>
          <w:sz w:val="16"/>
        </w:rPr>
        <w:t xml:space="preserve">, serves as an example where “constituent” power is embraced instead of sidelined.30 At this point in history, the notion of the communal, a concept influenced by the work of the political theorist István Mészáros, who served as one of Hugo Chávez’s most trusted advisers,31 can help guide strategies in health care. What practical lessons emerge from this concept? What is the meaning of “constituent” power in health care? Might we further </w:t>
      </w:r>
      <w:r w:rsidRPr="00DD2D90">
        <w:rPr>
          <w:rStyle w:val="StyleUnderline"/>
        </w:rPr>
        <w:t>democratize health care by working to shift power downward, to the communities and individuals who work in and who use a particular health care organization?</w:t>
      </w:r>
      <w:r w:rsidRPr="00223414">
        <w:rPr>
          <w:sz w:val="16"/>
        </w:rPr>
        <w:t xml:space="preserve"> In truth, a bottom-up orientation in health care is not at all a novel concept. In 1978, most famously, </w:t>
      </w:r>
      <w:r w:rsidRPr="00DD2D90">
        <w:rPr>
          <w:rStyle w:val="StyleUnderline"/>
          <w:highlight w:val="green"/>
        </w:rPr>
        <w:t>the</w:t>
      </w:r>
      <w:r w:rsidRPr="00223414">
        <w:rPr>
          <w:sz w:val="16"/>
          <w:highlight w:val="green"/>
        </w:rPr>
        <w:t xml:space="preserve"> </w:t>
      </w:r>
      <w:r w:rsidRPr="00DD2D90">
        <w:rPr>
          <w:rStyle w:val="Emphasis"/>
          <w:highlight w:val="green"/>
        </w:rPr>
        <w:t>Declaration of Alma Ata</w:t>
      </w:r>
      <w:r w:rsidRPr="00DD2D90">
        <w:rPr>
          <w:rStyle w:val="StyleUnderline"/>
          <w:highlight w:val="green"/>
        </w:rPr>
        <w:t xml:space="preserve"> called for ground-up, community-oriented</w:t>
      </w:r>
      <w:r w:rsidRPr="00DD2D90">
        <w:rPr>
          <w:rStyle w:val="StyleUnderline"/>
        </w:rPr>
        <w:t xml:space="preserve">, primary care–centered </w:t>
      </w:r>
      <w:r w:rsidRPr="00DD2D90">
        <w:rPr>
          <w:rStyle w:val="StyleUnderline"/>
          <w:highlight w:val="green"/>
        </w:rPr>
        <w:t>health</w:t>
      </w:r>
      <w:r w:rsidRPr="00DD2D90">
        <w:rPr>
          <w:rStyle w:val="StyleUnderline"/>
        </w:rPr>
        <w:t xml:space="preserve"> systems. “</w:t>
      </w:r>
      <w:r w:rsidRPr="00DD2D90">
        <w:rPr>
          <w:rStyle w:val="StyleUnderline"/>
          <w:highlight w:val="green"/>
        </w:rPr>
        <w:t>The people have the right and duty to participate</w:t>
      </w:r>
      <w:r w:rsidRPr="00DD2D90">
        <w:rPr>
          <w:rStyle w:val="StyleUnderline"/>
        </w:rPr>
        <w:t xml:space="preserve"> individually and </w:t>
      </w:r>
      <w:r w:rsidRPr="00DD2D90">
        <w:rPr>
          <w:rStyle w:val="StyleUnderline"/>
          <w:highlight w:val="green"/>
        </w:rPr>
        <w:t>collectively</w:t>
      </w:r>
      <w:r w:rsidRPr="00223414">
        <w:rPr>
          <w:sz w:val="16"/>
        </w:rPr>
        <w:t>,” the Declaration asserted, “</w:t>
      </w:r>
      <w:r w:rsidRPr="00DD2D90">
        <w:rPr>
          <w:rStyle w:val="StyleUnderline"/>
          <w:highlight w:val="green"/>
        </w:rPr>
        <w:t>in</w:t>
      </w:r>
      <w:r w:rsidRPr="00223414">
        <w:rPr>
          <w:sz w:val="16"/>
        </w:rPr>
        <w:t xml:space="preserve"> the planning and implementation of </w:t>
      </w:r>
      <w:r w:rsidRPr="00DD2D90">
        <w:rPr>
          <w:rStyle w:val="StyleUnderline"/>
          <w:highlight w:val="green"/>
        </w:rPr>
        <w:t>their health care</w:t>
      </w:r>
      <w:r w:rsidRPr="00223414">
        <w:rPr>
          <w:sz w:val="16"/>
        </w:rPr>
        <w:t xml:space="preserve">.”32 During subsequent years, a variety of participatory, communal projects have embraced the spirit of Alma Ata. In the United States, the Lincoln Collective, in which over one hundred health care workers struggled to remake one South Bronx hospital into a more community-accountable institution, is a prominent example.33 Multiple efforts to build communal health care organizations have also taken place in Latin America. In revolutionary Nicaragua, for instance, large-scale participation in health projects on the community level, including volunteer efforts by people organized into brigades (brigadistas), led to accomplishments combining health care with community empowerment.34 Communal organization also figured as a guiding principle in Venezuela’s innovative experiments that restructured health services at the community level. Under Chávez’s presidency, Venezuela enacted pathbreaking innovations based on social medicine principles. Influenced partly by leaders in Latin American social medicine, the country embarked on a far-reaching series of organizational changes.35 Although Chávez and his government advocated accessible, public-sector health services as part of its program after winning the national election in 1999, several barriers stood in the way of achieving that vision. First, the ministry of health in the Chávez government continued to operate in a top-down, bureaucratic manner that impeded outreach to underserved urban and rural communities. Secondly, the Venezuelan medical profession opposed proposals to expand public sector services. In the impasse, the Libertador Municipality within the boundaries of Caracas initiated a grassroots effort to improve services for the poor. The municipality issued a call for physicians to live and work in the community. When few Venezuela doctors responded, the municipality’s mayor, Freddy Bernal, approached the Cuban Embassy, and within several months a contingent of Cuban doctors arrived.36 This approach spread throughout Venezuela. The name of the initiative, Misión Barrio Adentro (Mission of the Community Within), refers to the grassroots, bottom-up emergence of a parallel public-sector health system. Low-income communities throughout the country organized to provide health services on the local level, with the assistance of more than 20,000 primary care physicians from Cuba. Communities constructed their own health facilities and designed services that addressed the perceived needs of specific neighborhoods. A new innovative system of Barrio Adentro–based community medical education—Medicina Integral Comunitaria—aimed to produce a socially conscious Venezuelan primary care workforce. These changes occurred with some support but for the most part independently from the national ministry of health.37 Misión Barrio Adentro later attracted attention as a model for change in many other Latin American countries, particularly in Bolivia under the presidency of Evo Morales. The late health economist Gavin Mooney, meanwhile, contextualized Misión Barrio Adentro as a “very real shift in power to the people in the Venezuelan health-care system.”38 At the time of this writing, however, Venezuela has faced a crisis that extends to its health system. A deterioration in economic conditions has resulted from a variety of internal and external factors that are beyond the scope of this chapter.39 Among the latter factors are ongoing destabilization efforts ranging from disinformation campaigns to the activities of U.S.-supported opposition groups. This multi-faceted economic crisis has been accompanied by reports of severe health system strain, shortages, and worsening health conditions following the gains of the Chávez era.40 A historic malaria epidemic in the country also pointed to a deteriorating public health landscape.41 Additionally, the lack of integration of Barrio Adentro into the overall public health care system, together with competition from a large private health care system with which it vied for resources and personnel, could be seen as weaknesses.42 Still, despite these developments and the uncertainty of the future, the Barrio Adentro system has functioned as a critical network of free, community-based care for a population that previous governments had entirely shunned, as well as a unique demonstration of communal health care in practice.43 Lessons can be drawn from this and other similar experiences. From a broader perspective, for instance, Gavin </w:t>
      </w:r>
      <w:r w:rsidRPr="00DD2D90">
        <w:rPr>
          <w:rStyle w:val="StyleUnderline"/>
        </w:rPr>
        <w:t xml:space="preserve">Mooney called for a new “communitarian” approach to health care: The </w:t>
      </w:r>
      <w:r w:rsidRPr="00DD2D90">
        <w:rPr>
          <w:rStyle w:val="StyleUnderline"/>
          <w:highlight w:val="green"/>
        </w:rPr>
        <w:t>key considerations</w:t>
      </w:r>
      <w:r w:rsidRPr="00DD2D90">
        <w:rPr>
          <w:rStyle w:val="StyleUnderline"/>
        </w:rPr>
        <w:t xml:space="preserve"> here </w:t>
      </w:r>
      <w:r w:rsidRPr="00DD2D90">
        <w:rPr>
          <w:rStyle w:val="StyleUnderline"/>
          <w:highlight w:val="green"/>
        </w:rPr>
        <w:t>involve a shift in power to citizens</w:t>
      </w:r>
      <w:r w:rsidRPr="00DD2D90">
        <w:rPr>
          <w:rStyle w:val="StyleUnderline"/>
        </w:rPr>
        <w:t xml:space="preserve">; genuine </w:t>
      </w:r>
      <w:r w:rsidRPr="00DD2D90">
        <w:rPr>
          <w:rStyle w:val="StyleUnderline"/>
          <w:highlight w:val="green"/>
        </w:rPr>
        <w:t>participation of citizens in</w:t>
      </w:r>
      <w:r w:rsidRPr="00DD2D90">
        <w:rPr>
          <w:rStyle w:val="StyleUnderline"/>
        </w:rPr>
        <w:t xml:space="preserve"> health and </w:t>
      </w:r>
      <w:r w:rsidRPr="00DD2D90">
        <w:rPr>
          <w:rStyle w:val="StyleUnderline"/>
          <w:highlight w:val="green"/>
        </w:rPr>
        <w:t>health-care planning</w:t>
      </w:r>
      <w:r w:rsidRPr="00DD2D90">
        <w:rPr>
          <w:rStyle w:val="StyleUnderline"/>
        </w:rPr>
        <w:t xml:space="preserve">; </w:t>
      </w:r>
      <w:r w:rsidRPr="00DD2D90">
        <w:rPr>
          <w:rStyle w:val="StyleUnderline"/>
          <w:highlight w:val="green"/>
        </w:rPr>
        <w:t>an emphasis on</w:t>
      </w:r>
      <w:r w:rsidRPr="00DD2D90">
        <w:rPr>
          <w:rStyle w:val="StyleUnderline"/>
        </w:rPr>
        <w:t xml:space="preserve"> the community and in turn on </w:t>
      </w:r>
      <w:r w:rsidRPr="00DD2D90">
        <w:rPr>
          <w:rStyle w:val="Emphasis"/>
          <w:highlight w:val="green"/>
        </w:rPr>
        <w:t>communitarianism</w:t>
      </w:r>
      <w:r w:rsidRPr="00223414">
        <w:rPr>
          <w:sz w:val="16"/>
        </w:rPr>
        <w:t xml:space="preserve">; and communitarian claims. The power shift is what really holds the key. Most fundamentally this involves the recognition that there are issues where it is </w:t>
      </w:r>
      <w:r w:rsidRPr="00DD2D90">
        <w:rPr>
          <w:rStyle w:val="StyleUnderline"/>
        </w:rPr>
        <w:t xml:space="preserve">critically informed </w:t>
      </w:r>
      <w:r w:rsidRPr="00DD2D90">
        <w:rPr>
          <w:rStyle w:val="StyleUnderline"/>
          <w:highlight w:val="green"/>
        </w:rPr>
        <w:t>people</w:t>
      </w:r>
      <w:r w:rsidRPr="00223414">
        <w:rPr>
          <w:sz w:val="16"/>
        </w:rPr>
        <w:t xml:space="preserve">, citizens, who </w:t>
      </w:r>
      <w:r w:rsidRPr="00DD2D90">
        <w:rPr>
          <w:rStyle w:val="StyleUnderline"/>
          <w:highlight w:val="green"/>
        </w:rPr>
        <w:t>must be allowed to have their voice heard</w:t>
      </w:r>
      <w:r w:rsidRPr="00DD2D90">
        <w:rPr>
          <w:rStyle w:val="StyleUnderline"/>
        </w:rPr>
        <w:t xml:space="preserve"> in</w:t>
      </w:r>
      <w:r w:rsidRPr="00223414">
        <w:rPr>
          <w:sz w:val="16"/>
        </w:rPr>
        <w:t xml:space="preserve"> what is </w:t>
      </w:r>
      <w:r w:rsidRPr="00DD2D90">
        <w:rPr>
          <w:rStyle w:val="StyleUnderline"/>
        </w:rPr>
        <w:t>their health-care system</w:t>
      </w:r>
      <w:r w:rsidRPr="00223414">
        <w:rPr>
          <w:sz w:val="16"/>
        </w:rPr>
        <w:t xml:space="preserve"> and their society.44 He described how different forms of “</w:t>
      </w:r>
      <w:r w:rsidRPr="00DD2D90">
        <w:rPr>
          <w:rStyle w:val="StyleUnderline"/>
          <w:highlight w:val="green"/>
        </w:rPr>
        <w:t>deliberative democracy</w:t>
      </w:r>
      <w:r w:rsidRPr="00223414">
        <w:rPr>
          <w:sz w:val="16"/>
        </w:rPr>
        <w:t xml:space="preserve">” </w:t>
      </w:r>
      <w:r w:rsidRPr="00DD2D90">
        <w:rPr>
          <w:rStyle w:val="StyleUnderline"/>
        </w:rPr>
        <w:t xml:space="preserve">allow community members to take part directly in </w:t>
      </w:r>
      <w:r w:rsidRPr="00DD2D90">
        <w:rPr>
          <w:rStyle w:val="StyleUnderline"/>
          <w:highlight w:val="green"/>
        </w:rPr>
        <w:t>health care policy</w:t>
      </w:r>
      <w:r w:rsidRPr="00DD2D90">
        <w:rPr>
          <w:rStyle w:val="StyleUnderline"/>
        </w:rPr>
        <w:t xml:space="preserve"> and planning issues</w:t>
      </w:r>
      <w:r w:rsidRPr="00223414">
        <w:rPr>
          <w:sz w:val="16"/>
        </w:rPr>
        <w:t xml:space="preserve">.45 Mooney favored one such method, citizens’ juries, in which randomly selected community members participate in a process of informed, deliberative decision making on community health issues, including those pertaining to issues of equity.46 Further democratization of health care should become an important component of the progressive political agenda. </w:t>
      </w:r>
      <w:r w:rsidRPr="00DD2D90">
        <w:rPr>
          <w:rStyle w:val="StyleUnderline"/>
          <w:highlight w:val="green"/>
        </w:rPr>
        <w:t>A hospital</w:t>
      </w:r>
      <w:r w:rsidRPr="00223414">
        <w:rPr>
          <w:sz w:val="16"/>
        </w:rPr>
        <w:t xml:space="preserve">, community health center, or other organization </w:t>
      </w:r>
      <w:r w:rsidRPr="00DD2D90">
        <w:rPr>
          <w:rStyle w:val="StyleUnderline"/>
        </w:rPr>
        <w:t>responsible for the care of</w:t>
      </w:r>
      <w:r w:rsidRPr="00223414">
        <w:rPr>
          <w:sz w:val="16"/>
        </w:rPr>
        <w:t xml:space="preserve"> a group of </w:t>
      </w:r>
      <w:r w:rsidRPr="00DD2D90">
        <w:rPr>
          <w:rStyle w:val="StyleUnderline"/>
        </w:rPr>
        <w:t>people</w:t>
      </w:r>
      <w:r w:rsidRPr="00223414">
        <w:rPr>
          <w:sz w:val="16"/>
        </w:rPr>
        <w:t xml:space="preserve"> in a particular area </w:t>
      </w:r>
      <w:r w:rsidRPr="00DD2D90">
        <w:rPr>
          <w:rStyle w:val="StyleUnderline"/>
          <w:highlight w:val="green"/>
        </w:rPr>
        <w:t>should respond to the wishes of patients</w:t>
      </w:r>
      <w:r w:rsidRPr="00223414">
        <w:rPr>
          <w:sz w:val="16"/>
        </w:rPr>
        <w:t xml:space="preserve"> as well as members of the community more broadly. A reorganization of “constituted” health care, along the lines of a national health program, is of course necessary. At the same time, a shift toward “constituent” power, embracing the organized political agency of community members, needs greater emphasis. For instance, when a health system becomes a private monopoly, community accountability usually gets trumped by the profit motive. For this reason, another element of “</w:t>
      </w:r>
      <w:r w:rsidRPr="00DD2D90">
        <w:rPr>
          <w:rStyle w:val="Emphasis"/>
          <w:highlight w:val="green"/>
        </w:rPr>
        <w:t>constituent</w:t>
      </w:r>
      <w:r w:rsidRPr="00223414">
        <w:rPr>
          <w:sz w:val="16"/>
        </w:rPr>
        <w:t xml:space="preserve">” </w:t>
      </w:r>
      <w:r w:rsidRPr="00DD2D90">
        <w:rPr>
          <w:rStyle w:val="Emphasis"/>
          <w:highlight w:val="green"/>
        </w:rPr>
        <w:t>power</w:t>
      </w:r>
      <w:r w:rsidRPr="00DD2D90">
        <w:rPr>
          <w:rStyle w:val="StyleUnderline"/>
        </w:rPr>
        <w:t xml:space="preserve"> in health care </w:t>
      </w:r>
      <w:r w:rsidRPr="00DD2D90">
        <w:rPr>
          <w:rStyle w:val="StyleUnderline"/>
          <w:highlight w:val="green"/>
        </w:rPr>
        <w:t>involves placing health systems</w:t>
      </w:r>
      <w:r w:rsidRPr="00223414">
        <w:rPr>
          <w:sz w:val="16"/>
        </w:rPr>
        <w:t xml:space="preserve"> with regional dominance </w:t>
      </w:r>
      <w:r w:rsidRPr="00DD2D90">
        <w:rPr>
          <w:rStyle w:val="StyleUnderline"/>
          <w:highlight w:val="green"/>
        </w:rPr>
        <w:t>under public control</w:t>
      </w:r>
      <w:r w:rsidRPr="00223414">
        <w:rPr>
          <w:sz w:val="16"/>
        </w:rPr>
        <w:t xml:space="preserve">.47 Similar approaches to constituent power in health care have taken place in Nicaragua and Venezuela, which we consider here, but also in other revolutionary contexts such as Cuba and Chile, which have been described elsewhere.48 Reinvigorating constituent power in health care through communal organizations should be an important goal in the road ahead. POLITICAL CHANGE, THE TWO-PARTY SYSTEM, AND THE AGE OF THE TWIN INEQUALITIES </w:t>
      </w:r>
    </w:p>
    <w:p w14:paraId="4F2C6000" w14:textId="77777777" w:rsidR="008727CC" w:rsidRPr="00223414" w:rsidRDefault="008727CC">
      <w:pPr>
        <w:rPr>
          <w:rFonts w:eastAsiaTheme="majorEastAsia" w:cstheme="majorBidi"/>
          <w:b/>
          <w:iCs/>
          <w:sz w:val="16"/>
        </w:rPr>
      </w:pPr>
      <w:r w:rsidRPr="00223414">
        <w:rPr>
          <w:sz w:val="16"/>
        </w:rPr>
        <w:br w:type="page"/>
      </w:r>
    </w:p>
    <w:p w14:paraId="0617A790" w14:textId="4C64B97A" w:rsidR="00700F66" w:rsidRPr="00223414" w:rsidRDefault="00700F66" w:rsidP="00700F66">
      <w:pPr>
        <w:pStyle w:val="Heading4"/>
        <w:rPr>
          <w:szCs w:val="26"/>
        </w:rPr>
      </w:pPr>
      <w:r w:rsidRPr="00223414">
        <w:rPr>
          <w:szCs w:val="26"/>
        </w:rPr>
        <w:t>Commodity healthcare causes dehumanization</w:t>
      </w:r>
      <w:r w:rsidR="00F61AF9" w:rsidRPr="00223414">
        <w:rPr>
          <w:szCs w:val="26"/>
        </w:rPr>
        <w:t xml:space="preserve">, </w:t>
      </w:r>
      <w:r w:rsidRPr="00223414">
        <w:rPr>
          <w:szCs w:val="26"/>
        </w:rPr>
        <w:t>alienation</w:t>
      </w:r>
      <w:r w:rsidR="00F61AF9" w:rsidRPr="00223414">
        <w:rPr>
          <w:szCs w:val="26"/>
        </w:rPr>
        <w:t xml:space="preserve">, </w:t>
      </w:r>
      <w:r w:rsidR="00A830F8" w:rsidRPr="00223414">
        <w:rPr>
          <w:szCs w:val="26"/>
        </w:rPr>
        <w:t>and rewrites the role of care</w:t>
      </w:r>
    </w:p>
    <w:p w14:paraId="5483F017" w14:textId="77777777" w:rsidR="00700F66" w:rsidRPr="00DD2D90" w:rsidRDefault="00700F66" w:rsidP="00700F66">
      <w:r w:rsidRPr="00223414">
        <w:rPr>
          <w:b/>
          <w:bCs/>
          <w:sz w:val="26"/>
          <w:szCs w:val="26"/>
        </w:rPr>
        <w:t>Hvid 15</w:t>
      </w:r>
      <w:r w:rsidRPr="00DD2D90">
        <w:t xml:space="preserve"> [Henrik Rude Hvid, MA in Philosophy, 07-05-2015, Opening the black box of commodification: A philosophical critique of actor- network theory as critique https://philarchive.org/archive/HVIOTB]/Kankee</w:t>
      </w:r>
    </w:p>
    <w:p w14:paraId="649E85B5" w14:textId="77777777" w:rsidR="00700F66" w:rsidRPr="00223414" w:rsidRDefault="00700F66" w:rsidP="00700F66">
      <w:pPr>
        <w:rPr>
          <w:sz w:val="16"/>
        </w:rPr>
      </w:pPr>
      <w:r w:rsidRPr="00223414">
        <w:rPr>
          <w:sz w:val="16"/>
        </w:rPr>
        <w:t xml:space="preserve">INTRODUCTION According to some critics, actor-network theory (ANT) seems to have lost some of its critical impetus as an alternative to critical theory (Winner, 1993). The article’s hypothesis is that the reason for this is how ANT seems to have given up intentionality and the ethical dimensions of using technologies. This article reflects this critique on commodification in healthcare. Within contemporary philosophy and social and critical theory, </w:t>
      </w:r>
      <w:r w:rsidRPr="00DD2D90">
        <w:rPr>
          <w:rStyle w:val="StyleUnderline"/>
          <w:highlight w:val="green"/>
        </w:rPr>
        <w:t>commodification has</w:t>
      </w:r>
      <w:r w:rsidRPr="00223414">
        <w:rPr>
          <w:sz w:val="16"/>
        </w:rPr>
        <w:t xml:space="preserve"> often </w:t>
      </w:r>
      <w:r w:rsidRPr="00DD2D90">
        <w:rPr>
          <w:rStyle w:val="StyleUnderline"/>
          <w:highlight w:val="green"/>
        </w:rPr>
        <w:t>been associated</w:t>
      </w:r>
      <w:r w:rsidRPr="00DD2D90">
        <w:rPr>
          <w:rStyle w:val="StyleUnderline"/>
        </w:rPr>
        <w:t xml:space="preserve"> with </w:t>
      </w:r>
      <w:r w:rsidRPr="00DD2D90">
        <w:rPr>
          <w:rStyle w:val="Emphasis"/>
        </w:rPr>
        <w:t>crisis</w:t>
      </w:r>
      <w:r w:rsidRPr="00DD2D90">
        <w:rPr>
          <w:rStyle w:val="StyleUnderline"/>
        </w:rPr>
        <w:t xml:space="preserve"> in healthcare and </w:t>
      </w:r>
      <w:r w:rsidRPr="00DD2D90">
        <w:rPr>
          <w:rStyle w:val="Emphasis"/>
          <w:highlight w:val="green"/>
        </w:rPr>
        <w:t>dehumanising</w:t>
      </w:r>
      <w:r w:rsidRPr="00DD2D90">
        <w:rPr>
          <w:rStyle w:val="StyleUnderline"/>
          <w:highlight w:val="green"/>
        </w:rPr>
        <w:t xml:space="preserve"> care</w:t>
      </w:r>
      <w:r w:rsidRPr="00223414">
        <w:rPr>
          <w:sz w:val="16"/>
        </w:rPr>
        <w:t xml:space="preserve"> (Foucault, 1973; Illich, 1976). Karl Marx’s ‘commodity fetishism’ and his ‘theory of alienation’ are frequently used to represent this position, criticizing the social impact of commodification (Scheper-Hughes &amp; Wacquant, 2002; Timmermans &amp; Almeling, 2009). When researchers’ portray the malaises of modern healthcare, medical technologies and formalisms, members of The Frankfurt School of Critical Theory (Jürgen Habermas, Theodor Adorno, Max Horkheimer and Herbert Marcuse) are generally referred to, besides Marx, in one way or the other (Berg, 1996). The consensus is that Critical Theory has lost its dominant position to descriptive approaches like ANT, with researchers like Bruno Latour (Latour, 1994) and John Law (Law, 1994) as some of the leading figures. In healthcare, names like Marc Berg &amp; Stefan Timmermans (Berg, 1996; Timmermans &amp; Berg, 2003) and Annemarie Mol (Mol, 2008) are often mentioned. ANT studies have often described Critical Theory writers’ critique of capitalism and concepts like commodification as one-sided and insufficient. Following actor-network-theory (ANT), whether people become alienated depends on how the formal procedures are used in commodification (the politics behind), and the meaning they have for the people involved, rather than the concept itself (Timmermans &amp; Almeling, 2009, 21, 23). However, recent debates centre on the issues of whether ANT’s flat, symmetrical ontology of nonhuman and human agency has alienated the understanding of human agency (Vandenberghe, 2002), ethics and politics into associations of interests (Whittle &amp; Spicer, 2008; Winner, 1993). When it comes to comparing how Critical Theory (The Frankfurt School and Marxism) and ANT can deal with commodification in healthcare, there is still work to do. In order to understand their differences, an account of the necessary role of ’intentionality’ in critical thinking needs to be elaborated. The vocabulary of actor-network theory is seldom used to form substantial questions about the ethical dimensions of using technology (Vandenberghe, 2002; Whittle &amp; Spicer, 2008). When it comes to commodification in healthcare, this paper suggests, the rich empirical details of ANT and its anti- essentialist ontology, as an alternative to critical theory, have lost some of its critical impetus. The main reason is how ANT’s relational materialism has given up intentionality (Vandenberghe, 2002). Suggestions are made that ANT’s materialistic theory (Whittle &amp; Spicer, 2008) epistemological have translated the significance of human agents’ ‘intentions’ and ’ethics’ to local associations of contingent interests when analysing social consequences of commodifying healthcare. From this critical perspective ANT’s agency of nonhuman and humans appear as extended commodity fetishism (Marx, 1990). In this regard, ongoing discussions within moral philosophy suggests the ‘intention’ by which an action is carried out, is an important prerequisite for the evaluation of whether we perceive something as meaningful or alienating. Evidence shows that intentional actions are perceived as more blameworthy than unintentional actions or physical events (Lagnado &amp; Channon, 2008, 754). With that in mind, current discussions in moral philosophy (between deontological and consequentialist theories, like utilitarianism), but also psychology studies, suggests that the purpose whereby an action is carried out is a vital prerequisite for the normative judgement of it (Chee &amp; Murachver, 2012; Fiddick, 2004; Shelly, 1988, 70-105). Moreover, for the purpose of this paper, whether people perceive actions as meaningful or alienating. The research of this paper is closest to Critical Theory as it emphasizes the significance of human agency and ’intentionality’ as precondition to deal with commodification. However, I think, Critical Theory’s theoretical framework often comes up short when it comes to network-structures of modern technologies. Combining the theoretical background of Marxism and Frankfurt School’s Critical Theory with the analytic openness of ANT, the philosophical purpose of this article is, to explore ethical implications of commodifying healthcare through the term ‘intention.’ I introduce P.F. Strawson’s analysis of reactive attitudes and resentment from his influential article ‘Freedom and Resentment’ (Strawson, 2008). The article, accordingly, wishes to explore and elaborate ‘intention’ as a key principle in a critical examination of commodification in healthcare and medical practices. Furthermore, Jürgen Habermas presents a compelling argument in ‘The Future of Human Nature,’ illustrating the seemingly irreversible nature of genetic interventions in future biotechnology that, synthesized with Strawson’s reactive attitudes, also is relevant for this paper (Habermas, 2002). Various cases are used to examine, whether the possible resentment that genetic enhancement may entail through (what this article defines as) ‘responsibility ascriptions’ also applies, when healthcare is commodified. Is this the case? Then it supports this paper’s hypothesis, that </w:t>
      </w:r>
      <w:r w:rsidRPr="00DD2D90">
        <w:rPr>
          <w:rStyle w:val="StyleUnderline"/>
          <w:highlight w:val="green"/>
        </w:rPr>
        <w:t>commodification</w:t>
      </w:r>
      <w:r w:rsidRPr="00DD2D90">
        <w:rPr>
          <w:rStyle w:val="StyleUnderline"/>
        </w:rPr>
        <w:t xml:space="preserve"> in healthcare</w:t>
      </w:r>
      <w:r w:rsidRPr="00223414">
        <w:rPr>
          <w:sz w:val="16"/>
        </w:rPr>
        <w:t xml:space="preserve"> and medical practice </w:t>
      </w:r>
      <w:r w:rsidRPr="00DD2D90">
        <w:rPr>
          <w:rStyle w:val="StyleUnderline"/>
          <w:highlight w:val="green"/>
        </w:rPr>
        <w:t>produces</w:t>
      </w:r>
      <w:r w:rsidRPr="00DD2D90">
        <w:rPr>
          <w:rStyle w:val="StyleUnderline"/>
        </w:rPr>
        <w:t xml:space="preserve"> multiple </w:t>
      </w:r>
      <w:r w:rsidRPr="00DD2D90">
        <w:rPr>
          <w:rStyle w:val="StyleUnderline"/>
          <w:highlight w:val="green"/>
        </w:rPr>
        <w:t xml:space="preserve">normative </w:t>
      </w:r>
      <w:r w:rsidRPr="00DD2D90">
        <w:rPr>
          <w:rStyle w:val="Emphasis"/>
          <w:highlight w:val="green"/>
        </w:rPr>
        <w:t>black boxes</w:t>
      </w:r>
      <w:r w:rsidRPr="00DD2D90">
        <w:rPr>
          <w:rStyle w:val="StyleUnderline"/>
          <w:highlight w:val="green"/>
        </w:rPr>
        <w:t xml:space="preserve"> of new ‘responsibility</w:t>
      </w:r>
      <w:r w:rsidRPr="00DD2D90">
        <w:rPr>
          <w:rStyle w:val="StyleUnderline"/>
        </w:rPr>
        <w:t xml:space="preserve"> </w:t>
      </w:r>
      <w:r w:rsidRPr="00DD2D90">
        <w:rPr>
          <w:rStyle w:val="StyleUnderline"/>
          <w:highlight w:val="green"/>
        </w:rPr>
        <w:t>ascriptions</w:t>
      </w:r>
      <w:r w:rsidRPr="00DD2D90">
        <w:rPr>
          <w:rStyle w:val="StyleUnderline"/>
        </w:rPr>
        <w:t xml:space="preserve">.’ </w:t>
      </w:r>
      <w:r w:rsidRPr="00DD2D90">
        <w:rPr>
          <w:rStyle w:val="StyleUnderline"/>
          <w:highlight w:val="green"/>
        </w:rPr>
        <w:t>These ‘responsibility ascriptions’ raise ethical and psychological dilemmas</w:t>
      </w:r>
      <w:r w:rsidRPr="00DD2D90">
        <w:rPr>
          <w:rStyle w:val="StyleUnderline"/>
        </w:rPr>
        <w:t xml:space="preserve"> (feelings of resentment) about commodification in healthcare</w:t>
      </w:r>
      <w:r w:rsidRPr="00223414">
        <w:rPr>
          <w:sz w:val="16"/>
        </w:rPr>
        <w:t xml:space="preserve"> that traditionally flies under the ontological radar of ANT, as associations of interests between actors. Using Strawson’s analysis, these ‘responsibility ascriptions’ might, but does not necessarily, lead to new forms of alienating resentment. When I refer to alienation, my conception of the term will draw on Strawson’s analysis of reactive attitudes and resentment (Strawson, 2008), but be somewhat broad as instances where, 1) the subject is estranged from what is important or gives meaning to her/him as a self in the social world, 2) often based on assessments of the intent whereby actions are carried out as breaking generalised expectations of norms and behaviours. Actions that on an ethical level would give rise to impersonal feelings of resentment. This paper sheds a much-needed light on these implications, and analyses the risk of new ‘responsibility ascriptions’ and feelings of resentment when dealing with commodification in healthcare. It contributes with new knowledge about the relation ‘intentions’ have to theories of alienation, in a philosophical investigation that highlights the relevance of Marx’s ‘theory of alienation’ and concept of ’commodity fetishism’ within contemporary philosophy and ANT. Some suggestions in this article may seem speculative, and they might be. However, I kindly ask you to bear with me, and try to keep an analytic openness. As, I think; the article’s attempt to form interdisciplinary bridges between Critical Theory and ANT studies provides new perspectives on commodification in healthcare. With the risk of accusations of ontological heresy, a pragmatic (context- orientated) Critical Theory, that methodological join forces with ANT are suggested to unravel the complexity wherein commodification happens. Social and Economic Aspects of Commodification and Alienation (and the Problem With Intentionality) In the dictionary commodification is defined as: ‘a process by which something starts being sold for money, or its importance starts being measured according to its value in money – usually used showing disapproval’ (Fox, 2009, 332). In ‘Objectification, standardization, and commodification in health care: A conceptual readjustment,’ Timmermans &amp; Almeling explicate that many scholars tend to forget, how sophisticated Marx’s conception was of concepts like objectification and commodification. That he saw objectification as an essential way to realise one’s human species. What, according to Marx, had to be overcome was alienation (Timmermans &amp; Almeling, 2009, 22). Marx defines alienation in a capitalist society as taking place in four types of relations: 1) A person’s relation to her/his productive activity, 2) A person’s relation to his product, 3) A person’s relation to his fellow men, 4) A person’s relation to his species (Ollman, 1990, 136). In capitalist society, labour does not belong to the worker but is external to him/her. Although legally free, the worker is forced to labour in order to survive. Because the worker no longer possesses this freedom, the capitalist production processes alienate the person from the product. Not only does labour become a product, something external to the worker. It also becomes something that exists independent of the worker, and which confronts him or her as something alien. </w:t>
      </w:r>
      <w:r w:rsidRPr="00DD2D90">
        <w:rPr>
          <w:rStyle w:val="StyleUnderline"/>
        </w:rPr>
        <w:t>In capitalist society</w:t>
      </w:r>
      <w:r w:rsidRPr="00223414">
        <w:rPr>
          <w:sz w:val="16"/>
        </w:rPr>
        <w:t xml:space="preserve"> </w:t>
      </w:r>
      <w:r w:rsidRPr="00DD2D90">
        <w:rPr>
          <w:rStyle w:val="StyleUnderline"/>
        </w:rPr>
        <w:t>products</w:t>
      </w:r>
      <w:r w:rsidRPr="00223414">
        <w:rPr>
          <w:sz w:val="16"/>
        </w:rPr>
        <w:t xml:space="preserve">, thus, </w:t>
      </w:r>
      <w:r w:rsidRPr="00DD2D90">
        <w:rPr>
          <w:rStyle w:val="StyleUnderline"/>
        </w:rPr>
        <w:t>gets qualities that the worker loses</w:t>
      </w:r>
      <w:r w:rsidRPr="00223414">
        <w:rPr>
          <w:sz w:val="16"/>
        </w:rPr>
        <w:t xml:space="preserve">. Marx describes this as </w:t>
      </w:r>
      <w:r w:rsidRPr="00DD2D90">
        <w:rPr>
          <w:rStyle w:val="StyleUnderline"/>
        </w:rPr>
        <w:t>’commodity fetishism</w:t>
      </w:r>
      <w:r w:rsidRPr="00223414">
        <w:rPr>
          <w:sz w:val="16"/>
        </w:rPr>
        <w:t xml:space="preserve">.’ It </w:t>
      </w:r>
      <w:r w:rsidRPr="00DD2D90">
        <w:rPr>
          <w:rStyle w:val="StyleUnderline"/>
        </w:rPr>
        <w:t>means ascribing inanimate dead objects human living qualities only humans could have</w:t>
      </w:r>
      <w:r w:rsidRPr="00223414">
        <w:rPr>
          <w:sz w:val="16"/>
        </w:rPr>
        <w:t xml:space="preserve">. The commodity echoes the social characteristic of human labour as objective characteristics of the product of labour as the things’ socio-natural properties (Marx, 1990, 163-165; Ollman, 1990, 195). Furthermore, </w:t>
      </w:r>
      <w:r w:rsidRPr="00DD2D90">
        <w:rPr>
          <w:rStyle w:val="StyleUnderline"/>
          <w:highlight w:val="green"/>
        </w:rPr>
        <w:t>the worker is alienated from his fellow men</w:t>
      </w:r>
      <w:r w:rsidRPr="00DD2D90">
        <w:rPr>
          <w:rStyle w:val="StyleUnderline"/>
        </w:rPr>
        <w:t>, who are either competitors or capitalistic owners</w:t>
      </w:r>
      <w:r w:rsidRPr="00223414">
        <w:rPr>
          <w:sz w:val="16"/>
        </w:rPr>
        <w:t xml:space="preserve">. Their interests are </w:t>
      </w:r>
      <w:r w:rsidRPr="00DD2D90">
        <w:rPr>
          <w:rStyle w:val="StyleUnderline"/>
        </w:rPr>
        <w:t>opposed to the individual worker</w:t>
      </w:r>
      <w:r w:rsidRPr="00223414">
        <w:rPr>
          <w:sz w:val="16"/>
        </w:rPr>
        <w:t xml:space="preserve">. With the work normally being an objectification of human species of life as a way to realise human nature, a removal of the produced objects from the workers’ control to the property of other men, according to Marx, deprives the human species of reality. What is required to manifest itself as human species (Ollman, 1990, 151). Sociologists Stefan Timmermans &amp; Rene Almeling argues that humanistic scholars frequently have used Marx’s ‘concept of commodification’ and his ‘theory of alienation’ in critical discussions on commodification. The conception has often been that </w:t>
      </w:r>
      <w:r w:rsidRPr="00DD2D90">
        <w:rPr>
          <w:rStyle w:val="StyleUnderline"/>
          <w:highlight w:val="green"/>
        </w:rPr>
        <w:t xml:space="preserve">the economic and social are </w:t>
      </w:r>
      <w:r w:rsidRPr="00DD2D90">
        <w:rPr>
          <w:rStyle w:val="Emphasis"/>
          <w:highlight w:val="green"/>
        </w:rPr>
        <w:t>radical different</w:t>
      </w:r>
      <w:r w:rsidRPr="00DD2D90">
        <w:rPr>
          <w:rStyle w:val="StyleUnderline"/>
          <w:highlight w:val="green"/>
        </w:rPr>
        <w:t xml:space="preserve"> spheres that need to remain separated to maintain a considerate medicine</w:t>
      </w:r>
      <w:r w:rsidRPr="00223414">
        <w:rPr>
          <w:sz w:val="16"/>
        </w:rPr>
        <w:t xml:space="preserve"> (Timmermans &amp; Almeling, 2009, 23-24). Instead, Timmermans &amp; Almeling have called for a reappraisal of commodification as a means to advance health and claimed that we cannot estimate the effects and social processes that commodification produce a priori. Various researchers traditional use of concepts like commodification, objectification and standardisation to show </w:t>
      </w:r>
      <w:r w:rsidRPr="00DD2D90">
        <w:rPr>
          <w:rStyle w:val="StyleUnderline"/>
          <w:highlight w:val="green"/>
        </w:rPr>
        <w:t>pathologies in medicine</w:t>
      </w:r>
      <w:r w:rsidRPr="00DD2D90">
        <w:rPr>
          <w:rStyle w:val="StyleUnderline"/>
        </w:rPr>
        <w:t xml:space="preserve">, such as bureaucratic control </w:t>
      </w:r>
      <w:r w:rsidRPr="00DD2D90">
        <w:rPr>
          <w:rStyle w:val="StyleUnderline"/>
          <w:highlight w:val="green"/>
        </w:rPr>
        <w:t>and</w:t>
      </w:r>
      <w:r w:rsidRPr="00DD2D90">
        <w:rPr>
          <w:rStyle w:val="StyleUnderline"/>
        </w:rPr>
        <w:t xml:space="preserve"> </w:t>
      </w:r>
      <w:r w:rsidRPr="00DD2D90">
        <w:rPr>
          <w:rStyle w:val="StyleUnderline"/>
          <w:highlight w:val="green"/>
        </w:rPr>
        <w:t>alienating care</w:t>
      </w:r>
      <w:r w:rsidRPr="00DD2D90">
        <w:rPr>
          <w:rStyle w:val="StyleUnderline"/>
        </w:rPr>
        <w:t xml:space="preserve">, </w:t>
      </w:r>
      <w:r w:rsidRPr="00DD2D90">
        <w:rPr>
          <w:rStyle w:val="StyleUnderline"/>
          <w:highlight w:val="green"/>
        </w:rPr>
        <w:t>contribute to</w:t>
      </w:r>
      <w:r w:rsidRPr="00DD2D90">
        <w:rPr>
          <w:rStyle w:val="StyleUnderline"/>
        </w:rPr>
        <w:t xml:space="preserve"> a further </w:t>
      </w:r>
      <w:r w:rsidRPr="00DD2D90">
        <w:rPr>
          <w:rStyle w:val="StyleUnderline"/>
          <w:highlight w:val="green"/>
        </w:rPr>
        <w:t>reification</w:t>
      </w:r>
      <w:r w:rsidRPr="00DD2D90">
        <w:rPr>
          <w:rStyle w:val="StyleUnderline"/>
        </w:rPr>
        <w:t xml:space="preserve"> of these concepts</w:t>
      </w:r>
      <w:r w:rsidRPr="00223414">
        <w:rPr>
          <w:sz w:val="16"/>
        </w:rPr>
        <w:t xml:space="preserve"> (Timmermans &amp; Almeling, 2009, 21, 26). While, admitting that we need to be aware of possible implications of commodification in healthcare and search for profits without gains in therapeutic efficacy, Timmermans &amp; Almeling provide a new descriptive approach with commodification, not per se leading to alienation. They suggest that the concept entails social processes that produce different medical achievements with intended and unintended health consequences. Instead, Timmermans &amp; Almeling reason that processes of objectification, standardization and commodification recently have been used in more descriptive ways in ANT and Science and Technology Studies to explain how biomedical achievements is reached through healthcare interventions. Therefore, we need to study these concepts in new ways, where we cannot assume either the actors or consequences of commodification a priori (Timmermans &amp; Almeling, 2009, 26). A traditional subject/object perspective that draw lines back to the British philosopher Robert Boyle, who in the 17th century wished to create a neutral direct connection between facts and nature without a human intermediary. He formulated the idea of the scientist as a modest almost invisible witness of scientific inventions in the laboratory. Boyle created a moral code that, according to Olesen &amp; Markussen, still applies today. It consisted in confirming all results of scientific studies that were carried out in the laboratory. Consequences were a sharp dichotomy between nature and society, where natural science functions as an administrator of possible relations. In this way, the scientist also became a political figure. The scientist’s knowledge is wrongly perceived as context-free and non-situated knowledge (Olesen &amp; Markussen, 2006, 180-181). It is in a similar way, Timmermans &amp; Almeling seems to think, we should understand commodification: as part of a political context. This also implies abandoning the traditional subject-object relation in favour of a Latourian quasi-object, quasi-subject model (Latour, 1994). So, where Marx, according to Ollman (Ollman, 1990, 142-146), and critics like Scheper-Hughes (Scheper-Hughes &amp; Wacquant, 2002) thinks that </w:t>
      </w:r>
      <w:r w:rsidRPr="00DD2D90">
        <w:rPr>
          <w:rStyle w:val="StyleUnderline"/>
        </w:rPr>
        <w:t>commodification in its nature leads to alienation</w:t>
      </w:r>
      <w:r w:rsidRPr="00223414">
        <w:rPr>
          <w:sz w:val="16"/>
        </w:rPr>
        <w:t xml:space="preserve">, Timmermans &amp; Almeling are more pragmatic. New research suggests that social and economic are not two separate spheres that never cross. Thus, Viviana Zelizer concludes that her historical studies of ‘life insurances’ and ‘the pricing of children’ shows that the line between social and economic spheres cross since commodification is a social process created by social values (Zelizer, 1985). Therefore, </w:t>
      </w:r>
      <w:r w:rsidRPr="00DD2D90">
        <w:rPr>
          <w:rStyle w:val="StyleUnderline"/>
        </w:rPr>
        <w:t>because social, moral and sacred values change the market, it limits how much the world can be commodified</w:t>
      </w:r>
      <w:r w:rsidRPr="00223414">
        <w:rPr>
          <w:sz w:val="16"/>
        </w:rPr>
        <w:t xml:space="preserve"> (Timmermans &amp; Almeling, 2009, 24; Zelizer, 1985). However, that does not answer any normative questions about possible ethical implications. Whether, it ought to be like this? Scheper-Hughes take the stand of Marx; the social and economic ‘are’ two separate spheres that should remain separated. Otherwise, it leads to alienation. While, her study shows the many implications commodification of the human body entails, it also indicates that the social and economic continually are crossed under the radar in black markets, by organ sellers and organ buyers (Scheper-Hughes &amp; Wacquant, 2002, 5). With increased commodification of the human body through genetic enhancement, markets and bodies, and body parts, etc. (Scheper-Hughes &amp; Wacquant, 2002), it does seem reasonable to argue that social and economic spheres cross in modern medicine. While, ANT offers tools to discover these movements, Scheper-Hughes seem to overlook the ontological renegades. Instead, she underlines the ethical implications of processes of commodification that ANT tends to relativize through agencies converging interests (Whittle &amp; Spicer, 2008). Timmermans &amp; Almeling refers to Stinchcombe, who argues that formalisms may produce outcomes that are conceived as less desirable. However, the culprit is not commodification itself, but the way that commodification happens (Timmermans &amp; Almeling, 2009, 24). As Stinchcombe quotes: ‘When formality pursues ends alien to us, it is general because those are the ends of others. It is not the formality that is at fault, but the politics that delivers formal powers to others’ (Stinchcombe, 2001, 17). Timmermans &amp; Almeling argue whether, for example, objectification leads to alienation depends on the meaning that is produced for the actors involved in healthcare interventions, and the long-term goals whereby the processes are carried out (Timmermans &amp; Almeling, 2009, 23). However, critics often accuse ANT studies of being passive when it comes to technology studies and politics (Söderberg &amp; Netzen, 2010; Winner, 1993). One of the paradoxes is that despite ANT focus on science as a socio- technological configuration of a politics of interests (Latour, 1994), I think, ANT has shown remarkable little interest in intentionality (Vandenberghe, 2002). What are the motives of agents’ actions? Other than translating them into various actors’ heterogeneous interests (Whittle &amp; Spicer, 2008, 662). This might have to do with ANT’s flat ontology, and symmetrical body of human and nonhuman agency: ‘Humans may, but need to be, actors; and actors may, but need not be, humans’ (Law &amp; Mol, 2011, 277). Whittle &amp; Spicer argues that actor-net-work-theory (ANT) as an alternative to critical theory have been unable to provide a reflective critique of political action because its (attribution of human characteristic to things) obscures the understanding of action (Whittle &amp; Spicer, 2008). Thus, ANT’s anthropomorphization have ignored that it is only through human agency and humans’ social arrangements political transformation can happen. From this perspective, when estimating possible ethical implications of commodifying health care, actor-net-work-theory’s anthropomorphization would eliminate the role peoples ’intentions’ play. While, Scheper-Hughes’s normative stand runs the risk of presenting an idealistic view on commodification (and what Timmermans &amp; Almeling presumably would define as deterministic), ANT’s descriptive approach, according to some critics, risks relativizing moral questions to mere contingent points of view. ANT and Commodity Fetishism </w:t>
      </w:r>
    </w:p>
    <w:p w14:paraId="17507EA8" w14:textId="77777777" w:rsidR="00700F66" w:rsidRPr="00223414" w:rsidRDefault="00700F66" w:rsidP="00407BFC">
      <w:pPr>
        <w:rPr>
          <w:sz w:val="16"/>
        </w:rPr>
      </w:pPr>
    </w:p>
    <w:p w14:paraId="6E10D5B2" w14:textId="127C8F8E" w:rsidR="00914260" w:rsidRPr="00D05211" w:rsidRDefault="00F41AA7" w:rsidP="00F41AA7">
      <w:pPr>
        <w:pStyle w:val="Heading3"/>
        <w:rPr>
          <w:rFonts w:ascii="Arial Black" w:hAnsi="Arial Black"/>
          <w:color w:val="B43E1F"/>
          <w:szCs w:val="32"/>
        </w:rPr>
      </w:pPr>
      <w:r w:rsidRPr="00D05211">
        <w:rPr>
          <w:rFonts w:ascii="Arial Black" w:hAnsi="Arial Black"/>
          <w:color w:val="B43E1F"/>
          <w:szCs w:val="32"/>
        </w:rPr>
        <w:t>Contention 8: Commodity Fetishism</w:t>
      </w:r>
      <w:r w:rsidR="00A47BBA" w:rsidRPr="00D05211">
        <w:rPr>
          <w:rFonts w:ascii="Arial Black" w:hAnsi="Arial Black"/>
          <w:color w:val="B43E1F"/>
          <w:szCs w:val="32"/>
        </w:rPr>
        <w:t>/Medicalization</w:t>
      </w:r>
      <w:r w:rsidRPr="00D05211">
        <w:rPr>
          <w:rFonts w:ascii="Arial Black" w:hAnsi="Arial Black"/>
          <w:color w:val="B43E1F"/>
          <w:szCs w:val="32"/>
        </w:rPr>
        <w:t xml:space="preserve"> </w:t>
      </w:r>
    </w:p>
    <w:p w14:paraId="42B3960B" w14:textId="77A15F5D" w:rsidR="00F41AA7" w:rsidRPr="00223414" w:rsidRDefault="0017095C" w:rsidP="00F41AA7">
      <w:pPr>
        <w:pStyle w:val="Heading4"/>
        <w:rPr>
          <w:szCs w:val="26"/>
        </w:rPr>
      </w:pPr>
      <w:r w:rsidRPr="00223414">
        <w:rPr>
          <w:szCs w:val="26"/>
        </w:rPr>
        <w:t xml:space="preserve">Massive </w:t>
      </w:r>
      <w:r w:rsidR="00F41AA7" w:rsidRPr="00223414">
        <w:rPr>
          <w:szCs w:val="26"/>
        </w:rPr>
        <w:t>pharma</w:t>
      </w:r>
      <w:r w:rsidRPr="00223414">
        <w:rPr>
          <w:szCs w:val="26"/>
        </w:rPr>
        <w:t xml:space="preserve"> ad campaigns inflate the exchange-value of low use-value drugs. </w:t>
      </w:r>
    </w:p>
    <w:p w14:paraId="7E8FFE5B" w14:textId="77777777" w:rsidR="00F41AA7" w:rsidRPr="00DD2D90" w:rsidRDefault="00F41AA7" w:rsidP="00F41AA7">
      <w:r w:rsidRPr="00223414">
        <w:rPr>
          <w:b/>
          <w:bCs/>
          <w:sz w:val="26"/>
          <w:szCs w:val="26"/>
        </w:rPr>
        <w:t>Mole 23</w:t>
      </w:r>
      <w:r w:rsidRPr="00DD2D90">
        <w:t xml:space="preserve"> [Beth Mole, Senior Health Reporter, 1-17-2023, "70% of drugs advertised on TV are of “low therapeutic value,” study finds", Ars Technica, https://arstechnica.com/science/2023/01/most-prescription-drugs-advertised-on-tv-are-of-low-benefit-study-finds/]/Kankee</w:t>
      </w:r>
    </w:p>
    <w:p w14:paraId="751DEB81" w14:textId="77777777" w:rsidR="00F41AA7" w:rsidRPr="00223414" w:rsidRDefault="00F41AA7" w:rsidP="00F41AA7">
      <w:pPr>
        <w:rPr>
          <w:sz w:val="16"/>
        </w:rPr>
      </w:pPr>
      <w:r w:rsidRPr="00223414">
        <w:rPr>
          <w:sz w:val="16"/>
        </w:rPr>
        <w:t xml:space="preserve">Some </w:t>
      </w:r>
      <w:r w:rsidRPr="00DD2D90">
        <w:rPr>
          <w:rStyle w:val="StyleUnderline"/>
          <w:highlight w:val="green"/>
        </w:rPr>
        <w:t>new drugs sell themselves with</w:t>
      </w:r>
      <w:r w:rsidRPr="00223414">
        <w:rPr>
          <w:sz w:val="16"/>
        </w:rPr>
        <w:t xml:space="preserve"> impressive safety and efficacy data. For others, well, there are television </w:t>
      </w:r>
      <w:r w:rsidRPr="00DD2D90">
        <w:rPr>
          <w:rStyle w:val="StyleUnderline"/>
          <w:highlight w:val="green"/>
        </w:rPr>
        <w:t>commercials</w:t>
      </w:r>
      <w:r w:rsidRPr="00223414">
        <w:rPr>
          <w:sz w:val="16"/>
        </w:rPr>
        <w:t xml:space="preserve">. According to a new study, a little over </w:t>
      </w:r>
      <w:r w:rsidRPr="00DD2D90">
        <w:rPr>
          <w:rStyle w:val="Emphasis"/>
          <w:highlight w:val="green"/>
        </w:rPr>
        <w:t>70 percent</w:t>
      </w:r>
      <w:r w:rsidRPr="00223414">
        <w:rPr>
          <w:sz w:val="16"/>
          <w:highlight w:val="green"/>
        </w:rPr>
        <w:t xml:space="preserve"> </w:t>
      </w:r>
      <w:r w:rsidRPr="00DD2D90">
        <w:rPr>
          <w:rStyle w:val="StyleUnderline"/>
          <w:highlight w:val="green"/>
        </w:rPr>
        <w:t xml:space="preserve">of </w:t>
      </w:r>
      <w:r w:rsidRPr="00DD2D90">
        <w:rPr>
          <w:rStyle w:val="StyleUnderline"/>
        </w:rPr>
        <w:t xml:space="preserve">prescription </w:t>
      </w:r>
      <w:r w:rsidRPr="00DD2D90">
        <w:rPr>
          <w:rStyle w:val="StyleUnderline"/>
          <w:highlight w:val="green"/>
        </w:rPr>
        <w:t>drugs advertised</w:t>
      </w:r>
      <w:r w:rsidRPr="00DD2D90">
        <w:rPr>
          <w:rStyle w:val="StyleUnderline"/>
        </w:rPr>
        <w:t xml:space="preserve"> on television </w:t>
      </w:r>
      <w:r w:rsidRPr="00DD2D90">
        <w:rPr>
          <w:rStyle w:val="StyleUnderline"/>
          <w:highlight w:val="green"/>
        </w:rPr>
        <w:t>were rated as having “low therapeutic value</w:t>
      </w:r>
      <w:r w:rsidRPr="00223414">
        <w:rPr>
          <w:sz w:val="16"/>
        </w:rPr>
        <w:t xml:space="preserve">,” meaning they offer little benefit compared with drugs already on the market. The study, appearing in JAMA Open Network, aligns with longstanding skepticism that heavily promoted drugs have high therapeutic value. “One explanation might be that drugs with substantial therapeutic value are likely to be recognized and prescribed without advertising, so manufacturers have greater incentive to promote drugs of lesser value,” said the authors, which include researchers at Harvard, Yale, and Dartmouth. </w:t>
      </w:r>
      <w:r w:rsidRPr="00DD2D90">
        <w:rPr>
          <w:rStyle w:val="StyleUnderline"/>
          <w:highlight w:val="green"/>
        </w:rPr>
        <w:t>The US is one of only two countries that allows</w:t>
      </w:r>
      <w:r w:rsidRPr="00DD2D90">
        <w:rPr>
          <w:rStyle w:val="StyleUnderline"/>
        </w:rPr>
        <w:t xml:space="preserve"> direct-to-consumer</w:t>
      </w:r>
      <w:r w:rsidRPr="00223414">
        <w:rPr>
          <w:sz w:val="16"/>
        </w:rPr>
        <w:t xml:space="preserve"> (DTC) </w:t>
      </w:r>
      <w:r w:rsidRPr="00DD2D90">
        <w:rPr>
          <w:rStyle w:val="StyleUnderline"/>
          <w:highlight w:val="green"/>
        </w:rPr>
        <w:t>drug</w:t>
      </w:r>
      <w:r w:rsidRPr="00DD2D90">
        <w:rPr>
          <w:rStyle w:val="StyleUnderline"/>
        </w:rPr>
        <w:t xml:space="preserve"> </w:t>
      </w:r>
      <w:r w:rsidRPr="00DD2D90">
        <w:rPr>
          <w:rStyle w:val="StyleUnderline"/>
          <w:highlight w:val="green"/>
        </w:rPr>
        <w:t>advertisements</w:t>
      </w:r>
      <w:r w:rsidRPr="00223414">
        <w:rPr>
          <w:sz w:val="16"/>
        </w:rPr>
        <w:t xml:space="preserve">, such as TV commercials. (The other is New Zealand.) Physicians, medical associations, and consumer advocates have long </w:t>
      </w:r>
      <w:r w:rsidRPr="00DD2D90">
        <w:rPr>
          <w:rStyle w:val="StyleUnderline"/>
        </w:rPr>
        <w:t>rail</w:t>
      </w:r>
      <w:r w:rsidRPr="00223414">
        <w:rPr>
          <w:sz w:val="16"/>
        </w:rPr>
        <w:t xml:space="preserve">ed </w:t>
      </w:r>
      <w:r w:rsidRPr="00DD2D90">
        <w:rPr>
          <w:rStyle w:val="StyleUnderline"/>
        </w:rPr>
        <w:t>against the</w:t>
      </w:r>
      <w:r w:rsidRPr="00223414">
        <w:rPr>
          <w:sz w:val="16"/>
        </w:rPr>
        <w:t xml:space="preserve"> unusual practice. In 2006, consumer advocacy group Public Citizen summarized DTC </w:t>
      </w:r>
      <w:r w:rsidRPr="00DD2D90">
        <w:rPr>
          <w:rStyle w:val="StyleUnderline"/>
          <w:highlight w:val="green"/>
        </w:rPr>
        <w:t>ad</w:t>
      </w:r>
      <w:r w:rsidRPr="00DD2D90">
        <w:rPr>
          <w:rStyle w:val="StyleUnderline"/>
        </w:rPr>
        <w:t>vertising</w:t>
      </w:r>
      <w:r w:rsidRPr="00223414">
        <w:rPr>
          <w:sz w:val="16"/>
        </w:rPr>
        <w:t xml:space="preserve"> as “nothing less than an </w:t>
      </w:r>
      <w:r w:rsidRPr="00DD2D90">
        <w:rPr>
          <w:rStyle w:val="StyleUnderline"/>
        </w:rPr>
        <w:t>end-</w:t>
      </w:r>
      <w:r w:rsidRPr="00DD2D90">
        <w:rPr>
          <w:rStyle w:val="StyleUnderline"/>
          <w:highlight w:val="green"/>
        </w:rPr>
        <w:t>run around the doctor-patient relationship</w:t>
      </w:r>
      <w:r w:rsidRPr="00223414">
        <w:rPr>
          <w:sz w:val="16"/>
        </w:rPr>
        <w:t xml:space="preserve">—an attempt </w:t>
      </w:r>
      <w:r w:rsidRPr="00DD2D90">
        <w:rPr>
          <w:rStyle w:val="StyleUnderline"/>
          <w:highlight w:val="green"/>
        </w:rPr>
        <w:t>to</w:t>
      </w:r>
      <w:r w:rsidRPr="00DD2D90">
        <w:rPr>
          <w:rStyle w:val="StyleUnderline"/>
        </w:rPr>
        <w:t xml:space="preserve"> turn patients into the agents of pharmaceutical companies as they </w:t>
      </w:r>
      <w:r w:rsidRPr="00DD2D90">
        <w:rPr>
          <w:rStyle w:val="StyleUnderline"/>
          <w:highlight w:val="green"/>
        </w:rPr>
        <w:t>pressure physicians for medications they may not need</w:t>
      </w:r>
      <w:r w:rsidRPr="00223414">
        <w:rPr>
          <w:sz w:val="16"/>
        </w:rPr>
        <w:t xml:space="preserve">.” In 2015, the American Medical Association called for an all-out ban on DTC ads for prescription drugs and medical devices. AMA members said the </w:t>
      </w:r>
      <w:r w:rsidRPr="00DD2D90">
        <w:rPr>
          <w:rStyle w:val="StyleUnderline"/>
        </w:rPr>
        <w:t xml:space="preserve">ads were “driving demand for expensive treatments despite the clinical effectiveness of less costly alternatives.” </w:t>
      </w:r>
      <w:r w:rsidRPr="00223414">
        <w:rPr>
          <w:sz w:val="16"/>
        </w:rPr>
        <w:t xml:space="preserve">But </w:t>
      </w:r>
      <w:r w:rsidRPr="00DD2D90">
        <w:rPr>
          <w:rStyle w:val="StyleUnderline"/>
        </w:rPr>
        <w:t xml:space="preserve">DTC drug ads have continued, fueled by </w:t>
      </w:r>
      <w:r w:rsidRPr="00DD2D90">
        <w:rPr>
          <w:rStyle w:val="Emphasis"/>
        </w:rPr>
        <w:t>billions</w:t>
      </w:r>
      <w:r w:rsidRPr="00DD2D90">
        <w:rPr>
          <w:rStyle w:val="StyleUnderline"/>
        </w:rPr>
        <w:t xml:space="preserve"> of dollars from the pharmaceutical industry</w:t>
      </w:r>
      <w:r w:rsidRPr="00223414">
        <w:rPr>
          <w:sz w:val="16"/>
        </w:rPr>
        <w:t xml:space="preserve">. Benefit not added For the new study, researchers led by Aaron Kesselheim, who leads Harvard’s Program On Regulation, Therapeutics, And Law (PORTAL), looked at monthly lists of the top-advertised drugs on TV in the US between 2015 and 2021. They also looked up therapeutic value ratings for those drugs from independent health assessment agencies in Canada, France, and Germany. The value ratings were based on drugs’ therapeutic benefit, safety profile, and strength of evidence, as compared with existing drugs. Any drug rated “moderate” or above was classified as a “high value” drug for the study. For drugs with multiple ratings, the study authors used the most favorable rating, which they note could overestimate the proportion of higher-benefit drugs. Of the top advertised drugs, 73 had at least one value rating. Collectively, </w:t>
      </w:r>
      <w:r w:rsidRPr="00DD2D90">
        <w:rPr>
          <w:rStyle w:val="StyleUnderline"/>
        </w:rPr>
        <w:t xml:space="preserve">pharmaceutical companies spent $22.3 billion on advertising for </w:t>
      </w:r>
      <w:r w:rsidRPr="00223414">
        <w:rPr>
          <w:sz w:val="16"/>
        </w:rPr>
        <w:t>those</w:t>
      </w:r>
      <w:r w:rsidRPr="00DD2D90">
        <w:rPr>
          <w:rStyle w:val="StyleUnderline"/>
        </w:rPr>
        <w:t xml:space="preserve"> 73 drugs</w:t>
      </w:r>
      <w:r w:rsidRPr="00223414">
        <w:rPr>
          <w:sz w:val="16"/>
        </w:rPr>
        <w:t xml:space="preserve"> between 2015 and 2021. Even with the generous ratings, </w:t>
      </w:r>
      <w:r w:rsidRPr="00DD2D90">
        <w:rPr>
          <w:rStyle w:val="StyleUnderline"/>
        </w:rPr>
        <w:t xml:space="preserve">53 of the 73 drugs (roughly </w:t>
      </w:r>
      <w:r w:rsidRPr="00DD2D90">
        <w:rPr>
          <w:rStyle w:val="Emphasis"/>
        </w:rPr>
        <w:t>73 percent</w:t>
      </w:r>
      <w:r w:rsidRPr="00DD2D90">
        <w:rPr>
          <w:rStyle w:val="StyleUnderline"/>
        </w:rPr>
        <w:t>) were categorized as low-benefit</w:t>
      </w:r>
      <w:r w:rsidRPr="00223414">
        <w:rPr>
          <w:sz w:val="16"/>
        </w:rPr>
        <w:t xml:space="preserve">. Collectively, </w:t>
      </w:r>
      <w:r w:rsidRPr="00DD2D90">
        <w:rPr>
          <w:rStyle w:val="StyleUnderline"/>
        </w:rPr>
        <w:t xml:space="preserve">these </w:t>
      </w:r>
      <w:r w:rsidRPr="00DD2D90">
        <w:rPr>
          <w:rStyle w:val="StyleUnderline"/>
          <w:highlight w:val="green"/>
        </w:rPr>
        <w:t xml:space="preserve">low-benefit drugs accounted for </w:t>
      </w:r>
      <w:r w:rsidRPr="00DD2D90">
        <w:rPr>
          <w:rStyle w:val="Emphasis"/>
          <w:highlight w:val="green"/>
        </w:rPr>
        <w:t>$15.9 billion</w:t>
      </w:r>
      <w:r w:rsidRPr="00DD2D90">
        <w:rPr>
          <w:rStyle w:val="StyleUnderline"/>
          <w:highlight w:val="green"/>
        </w:rPr>
        <w:t xml:space="preserve"> of the ad spending</w:t>
      </w:r>
      <w:r w:rsidRPr="00223414">
        <w:rPr>
          <w:sz w:val="16"/>
        </w:rPr>
        <w:t xml:space="preserve">. The top three low-benefit drugs by dollar amount were Dulaglutide (type 2 diabetes), Varenicline (smoking cessation), and Tofacitinib (rheumatoid arthritis). The outlook for change is bleak, the authors note. “Policy makers and regulators could consider limiting direct-to-consumer advertising to drugs with high therapeutic or public health value or requiring standardized disclosure of comparative effectiveness and safety data,” Kesselheim and his colleagues concluded, “but policy changes would likely require industry cooperation or face constitutional challenge.” </w:t>
      </w:r>
    </w:p>
    <w:p w14:paraId="650A1029" w14:textId="77777777" w:rsidR="008727CC" w:rsidRPr="00223414" w:rsidRDefault="008727CC">
      <w:pPr>
        <w:rPr>
          <w:rFonts w:eastAsiaTheme="majorEastAsia" w:cstheme="majorBidi"/>
          <w:b/>
          <w:iCs/>
          <w:sz w:val="16"/>
        </w:rPr>
      </w:pPr>
      <w:r w:rsidRPr="00223414">
        <w:rPr>
          <w:sz w:val="16"/>
        </w:rPr>
        <w:br w:type="page"/>
      </w:r>
    </w:p>
    <w:p w14:paraId="17E0BD36" w14:textId="746BC24E" w:rsidR="00F41AA7" w:rsidRPr="00223414" w:rsidRDefault="00F41AA7" w:rsidP="00F41AA7">
      <w:pPr>
        <w:pStyle w:val="Heading4"/>
        <w:rPr>
          <w:szCs w:val="26"/>
        </w:rPr>
      </w:pPr>
      <w:r w:rsidRPr="00223414">
        <w:rPr>
          <w:szCs w:val="26"/>
        </w:rPr>
        <w:t>Commodity</w:t>
      </w:r>
      <w:r w:rsidR="00FD0FF6" w:rsidRPr="00223414">
        <w:rPr>
          <w:szCs w:val="26"/>
        </w:rPr>
        <w:t>-trade demands commodity fetishism via advertising and</w:t>
      </w:r>
      <w:r w:rsidRPr="00223414">
        <w:rPr>
          <w:szCs w:val="26"/>
        </w:rPr>
        <w:t xml:space="preserve"> mass culture</w:t>
      </w:r>
      <w:r w:rsidR="00FD0FF6" w:rsidRPr="00223414">
        <w:rPr>
          <w:szCs w:val="26"/>
        </w:rPr>
        <w:t xml:space="preserve"> – this causes </w:t>
      </w:r>
      <w:r w:rsidR="006C0346" w:rsidRPr="00223414">
        <w:rPr>
          <w:szCs w:val="26"/>
        </w:rPr>
        <w:t xml:space="preserve">the </w:t>
      </w:r>
      <w:r w:rsidR="00FD0FF6" w:rsidRPr="00223414">
        <w:rPr>
          <w:szCs w:val="26"/>
        </w:rPr>
        <w:t>medicalization</w:t>
      </w:r>
      <w:r w:rsidR="0055501C" w:rsidRPr="00223414">
        <w:rPr>
          <w:szCs w:val="26"/>
        </w:rPr>
        <w:t>, pharmaceuticalization,</w:t>
      </w:r>
      <w:r w:rsidR="006C0346" w:rsidRPr="00223414">
        <w:rPr>
          <w:szCs w:val="26"/>
        </w:rPr>
        <w:t xml:space="preserve"> and individual</w:t>
      </w:r>
      <w:r w:rsidR="0055501C" w:rsidRPr="00223414">
        <w:rPr>
          <w:szCs w:val="26"/>
        </w:rPr>
        <w:t>-blame</w:t>
      </w:r>
      <w:r w:rsidR="00FD0FF6" w:rsidRPr="00223414">
        <w:rPr>
          <w:szCs w:val="26"/>
        </w:rPr>
        <w:t xml:space="preserve"> </w:t>
      </w:r>
      <w:r w:rsidR="0055501C" w:rsidRPr="00223414">
        <w:rPr>
          <w:szCs w:val="26"/>
        </w:rPr>
        <w:t>for</w:t>
      </w:r>
      <w:r w:rsidR="006C0346" w:rsidRPr="00223414">
        <w:rPr>
          <w:szCs w:val="26"/>
        </w:rPr>
        <w:t xml:space="preserve"> social problems</w:t>
      </w:r>
    </w:p>
    <w:p w14:paraId="23C77226" w14:textId="77777777" w:rsidR="00F41AA7" w:rsidRPr="00DD2D90" w:rsidRDefault="00F41AA7" w:rsidP="00F41AA7">
      <w:r w:rsidRPr="00223414">
        <w:rPr>
          <w:b/>
          <w:bCs/>
          <w:sz w:val="26"/>
          <w:szCs w:val="26"/>
        </w:rPr>
        <w:t>Applequist 15</w:t>
      </w:r>
      <w:r w:rsidRPr="00DD2D90">
        <w:t xml:space="preserve"> [Janelle Applequist, PhD candidate at Pennsylvania State University, 2015, “A Mixed-methods Approach Toward Primetime Television Direct-to-consumer Advertising: Pharmaceutical Fetishism </w:t>
      </w:r>
      <w:proofErr w:type="gramStart"/>
      <w:r w:rsidRPr="00DD2D90">
        <w:t>And</w:t>
      </w:r>
      <w:proofErr w:type="gramEnd"/>
      <w:r w:rsidRPr="00DD2D90">
        <w:t xml:space="preserve"> Critical Analyses </w:t>
      </w:r>
      <w:proofErr w:type="gramStart"/>
      <w:r w:rsidRPr="00DD2D90">
        <w:t>Of</w:t>
      </w:r>
      <w:proofErr w:type="gramEnd"/>
      <w:r w:rsidRPr="00DD2D90">
        <w:t xml:space="preserve"> </w:t>
      </w:r>
      <w:proofErr w:type="gramStart"/>
      <w:r w:rsidRPr="00DD2D90">
        <w:t>The</w:t>
      </w:r>
      <w:proofErr w:type="gramEnd"/>
      <w:r w:rsidRPr="00DD2D90">
        <w:t xml:space="preserve"> Commercial Discourse </w:t>
      </w:r>
      <w:proofErr w:type="gramStart"/>
      <w:r w:rsidRPr="00DD2D90">
        <w:t>Of</w:t>
      </w:r>
      <w:proofErr w:type="gramEnd"/>
      <w:r w:rsidRPr="00DD2D90">
        <w:t xml:space="preserve"> Health Care,” The Pennsylvania State University </w:t>
      </w:r>
      <w:proofErr w:type="gramStart"/>
      <w:r w:rsidRPr="00DD2D90">
        <w:t>The</w:t>
      </w:r>
      <w:proofErr w:type="gramEnd"/>
      <w:r w:rsidRPr="00DD2D90">
        <w:t xml:space="preserve"> Graduate School College of Communications, https://etda.libraries.psu.edu/files/final_submissions/10535]/Kankee</w:t>
      </w:r>
    </w:p>
    <w:p w14:paraId="3572D1C1" w14:textId="77777777" w:rsidR="00F41AA7" w:rsidRPr="00223414" w:rsidRDefault="00F41AA7" w:rsidP="00FD0FF6">
      <w:pPr>
        <w:rPr>
          <w:sz w:val="16"/>
        </w:rPr>
      </w:pPr>
      <w:r w:rsidRPr="00223414">
        <w:rPr>
          <w:sz w:val="16"/>
        </w:rPr>
        <w:t xml:space="preserve">Critical Advertising Studies Advertising can be defined as any form of promotional culture involving three important aspects: payment for time or space by advertisers, a clear demarcation of its presence as an advertisement and the involvement of an advertiser, and a persuasive component that urges an individual to take a form of action by means of “argument, reasoning, or emotional plea” (Turow &amp; McAllister, 2009, p. 2). </w:t>
      </w:r>
      <w:r w:rsidRPr="00DD2D90">
        <w:rPr>
          <w:rStyle w:val="StyleUnderline"/>
        </w:rPr>
        <w:t xml:space="preserve">Advertising is </w:t>
      </w:r>
      <w:r w:rsidRPr="00223414">
        <w:rPr>
          <w:sz w:val="16"/>
        </w:rPr>
        <w:t xml:space="preserve">prominent in </w:t>
      </w:r>
      <w:r w:rsidRPr="00DD2D90">
        <w:rPr>
          <w:rStyle w:val="StyleUnderline"/>
        </w:rPr>
        <w:t>helping</w:t>
      </w:r>
      <w:r w:rsidRPr="00223414">
        <w:rPr>
          <w:sz w:val="16"/>
        </w:rPr>
        <w:t xml:space="preserve"> to </w:t>
      </w:r>
      <w:r w:rsidRPr="00DD2D90">
        <w:rPr>
          <w:rStyle w:val="StyleUnderline"/>
        </w:rPr>
        <w:t>create consumer culture</w:t>
      </w:r>
      <w:r w:rsidRPr="00223414">
        <w:rPr>
          <w:sz w:val="16"/>
        </w:rPr>
        <w:t xml:space="preserve">, which involves the symbols and messages surrounding individuals and the process of meaning-making invoked by these messages (Turow &amp; McAllister, 2009). Critical Advertising Studies is part of the larger paradigm of critical-cultural media studies. Critical approaches to culture were seen as early as the 1920s through work from the Frankfurt School, which by the 1930s included theorists Horkheimer, Adorno, Fromm, Marcuse, Lowenthal, and Benjamin (Kellner &amp; Durham, 2013). Such work began the critical tradition of exploring how </w:t>
      </w:r>
      <w:r w:rsidRPr="00DD2D90">
        <w:rPr>
          <w:rStyle w:val="StyleUnderline"/>
          <w:highlight w:val="green"/>
        </w:rPr>
        <w:t>media perpetuates</w:t>
      </w:r>
      <w:r w:rsidRPr="00223414">
        <w:rPr>
          <w:sz w:val="16"/>
        </w:rPr>
        <w:t xml:space="preserve"> or challenges </w:t>
      </w:r>
      <w:r w:rsidRPr="00DD2D90">
        <w:rPr>
          <w:rStyle w:val="StyleUnderline"/>
        </w:rPr>
        <w:t xml:space="preserve">social and cultural </w:t>
      </w:r>
      <w:r w:rsidRPr="00DD2D90">
        <w:rPr>
          <w:rStyle w:val="Emphasis"/>
          <w:highlight w:val="green"/>
        </w:rPr>
        <w:t>inequities</w:t>
      </w:r>
      <w:r w:rsidRPr="00223414">
        <w:rPr>
          <w:sz w:val="16"/>
        </w:rPr>
        <w:t xml:space="preserve">. </w:t>
      </w:r>
      <w:r w:rsidRPr="00DD2D90">
        <w:rPr>
          <w:rStyle w:val="StyleUnderline"/>
        </w:rPr>
        <w:t>The Frankfurt School</w:t>
      </w:r>
      <w:r w:rsidRPr="00223414">
        <w:rPr>
          <w:sz w:val="16"/>
        </w:rPr>
        <w:t xml:space="preserve">, strongly influenced by the works of Karl Marx and contextualized by the rise of both fascism and industrial capitalism, examined popular culture through the lens of media as a powerful creator, </w:t>
      </w:r>
      <w:r w:rsidRPr="00DD2D90">
        <w:rPr>
          <w:rStyle w:val="StyleUnderline"/>
        </w:rPr>
        <w:t xml:space="preserve">emphasizing the media’s subsequent </w:t>
      </w:r>
      <w:r w:rsidRPr="00DD2D90">
        <w:rPr>
          <w:rStyle w:val="Emphasis"/>
          <w:highlight w:val="green"/>
        </w:rPr>
        <w:t>repress</w:t>
      </w:r>
      <w:r w:rsidRPr="00DD2D90">
        <w:rPr>
          <w:rStyle w:val="Emphasis"/>
        </w:rPr>
        <w:t>ion</w:t>
      </w:r>
      <w:r w:rsidRPr="00DD2D90">
        <w:rPr>
          <w:rStyle w:val="StyleUnderline"/>
        </w:rPr>
        <w:t xml:space="preserve"> of other economic and </w:t>
      </w:r>
      <w:r w:rsidRPr="00DD2D90">
        <w:rPr>
          <w:rStyle w:val="StyleUnderline"/>
          <w:highlight w:val="green"/>
        </w:rPr>
        <w:t>cultural forces that</w:t>
      </w:r>
      <w:r w:rsidRPr="00DD2D90">
        <w:rPr>
          <w:rStyle w:val="StyleUnderline"/>
        </w:rPr>
        <w:t xml:space="preserve"> </w:t>
      </w:r>
      <w:r w:rsidRPr="00DD2D90">
        <w:rPr>
          <w:rStyle w:val="StyleUnderline"/>
          <w:highlight w:val="green"/>
        </w:rPr>
        <w:t>could lead to social</w:t>
      </w:r>
      <w:r w:rsidRPr="00DD2D90">
        <w:rPr>
          <w:rStyle w:val="StyleUnderline"/>
        </w:rPr>
        <w:t xml:space="preserve"> </w:t>
      </w:r>
      <w:r w:rsidRPr="00DD2D90">
        <w:rPr>
          <w:rStyle w:val="StyleUnderline"/>
          <w:highlight w:val="green"/>
        </w:rPr>
        <w:t>change</w:t>
      </w:r>
      <w:r w:rsidRPr="00DD2D90">
        <w:rPr>
          <w:rStyle w:val="StyleUnderline"/>
        </w:rPr>
        <w:t xml:space="preserve"> and true progressive thought</w:t>
      </w:r>
      <w:r w:rsidRPr="00223414">
        <w:rPr>
          <w:sz w:val="16"/>
        </w:rPr>
        <w:t xml:space="preserve">. One of the most influential essays by Horkheimer and Adorno, originally written in the 1940s (reprinted in 2002), focused on 42 both the standardizing and narcotizing elements of mass culture, but also the entrenchment of advertising as a cultural form. Horkheimer and Adorno’s The Culture Industry: Enlightenment as Mass Deception analyzes the mass industrialization imposed on cultural production as a totalizing system where </w:t>
      </w:r>
      <w:r w:rsidRPr="00DD2D90">
        <w:rPr>
          <w:rStyle w:val="StyleUnderline"/>
        </w:rPr>
        <w:t>culture is structured to</w:t>
      </w:r>
      <w:r w:rsidRPr="00223414">
        <w:rPr>
          <w:sz w:val="16"/>
        </w:rPr>
        <w:t xml:space="preserve"> benefit the larger cultural industry, and functions by </w:t>
      </w:r>
      <w:r w:rsidRPr="00DD2D90">
        <w:rPr>
          <w:rStyle w:val="StyleUnderline"/>
        </w:rPr>
        <w:t>disallow</w:t>
      </w:r>
      <w:r w:rsidRPr="00223414">
        <w:rPr>
          <w:sz w:val="16"/>
        </w:rPr>
        <w:t xml:space="preserve">ing the potential for </w:t>
      </w:r>
      <w:r w:rsidRPr="00DD2D90">
        <w:rPr>
          <w:rStyle w:val="StyleUnderline"/>
        </w:rPr>
        <w:t>human individuality</w:t>
      </w:r>
      <w:r w:rsidRPr="00223414">
        <w:rPr>
          <w:sz w:val="16"/>
        </w:rPr>
        <w:t xml:space="preserve">, yet this piece repeatedly emphasizes that the existence of human individuality in modern industrialized culture is a myth (Horkheimer &amp; Adorno, 2002). Rather, </w:t>
      </w:r>
      <w:r w:rsidRPr="00DD2D90">
        <w:rPr>
          <w:rStyle w:val="StyleUnderline"/>
        </w:rPr>
        <w:t xml:space="preserve">the </w:t>
      </w:r>
      <w:r w:rsidRPr="00DD2D90">
        <w:rPr>
          <w:rStyle w:val="StyleUnderline"/>
          <w:highlight w:val="green"/>
        </w:rPr>
        <w:t>culture</w:t>
      </w:r>
      <w:r w:rsidRPr="00DD2D90">
        <w:rPr>
          <w:rStyle w:val="StyleUnderline"/>
        </w:rPr>
        <w:t xml:space="preserve"> industry </w:t>
      </w:r>
      <w:r w:rsidRPr="00DD2D90">
        <w:rPr>
          <w:rStyle w:val="StyleUnderline"/>
          <w:highlight w:val="green"/>
        </w:rPr>
        <w:t>promotes</w:t>
      </w:r>
      <w:r w:rsidRPr="00DD2D90">
        <w:rPr>
          <w:rStyle w:val="StyleUnderline"/>
        </w:rPr>
        <w:t xml:space="preserve"> forms of </w:t>
      </w:r>
      <w:r w:rsidRPr="00DD2D90">
        <w:rPr>
          <w:rStyle w:val="Emphasis"/>
          <w:highlight w:val="green"/>
        </w:rPr>
        <w:t>pseudo-individuality</w:t>
      </w:r>
      <w:r w:rsidRPr="00DD2D90">
        <w:rPr>
          <w:rStyle w:val="StyleUnderline"/>
        </w:rPr>
        <w:t xml:space="preserve"> </w:t>
      </w:r>
      <w:r w:rsidRPr="00DD2D90">
        <w:rPr>
          <w:rStyle w:val="StyleUnderline"/>
          <w:highlight w:val="green"/>
        </w:rPr>
        <w:t>in which trivial differences are falsely offered as genuine</w:t>
      </w:r>
      <w:r w:rsidRPr="00DD2D90">
        <w:rPr>
          <w:rStyle w:val="StyleUnderline"/>
        </w:rPr>
        <w:t xml:space="preserve"> options for </w:t>
      </w:r>
      <w:r w:rsidRPr="00DD2D90">
        <w:rPr>
          <w:rStyle w:val="StyleUnderline"/>
          <w:highlight w:val="green"/>
        </w:rPr>
        <w:t>life</w:t>
      </w:r>
      <w:r w:rsidRPr="00DD2D90">
        <w:rPr>
          <w:rStyle w:val="StyleUnderline"/>
        </w:rPr>
        <w:t xml:space="preserve"> decisions</w:t>
      </w:r>
      <w:r w:rsidRPr="00223414">
        <w:rPr>
          <w:sz w:val="16"/>
        </w:rPr>
        <w:t xml:space="preserve">, therefore </w:t>
      </w:r>
      <w:r w:rsidRPr="00DD2D90">
        <w:rPr>
          <w:rStyle w:val="Emphasis"/>
        </w:rPr>
        <w:t>co-opting</w:t>
      </w:r>
      <w:r w:rsidRPr="00DD2D90">
        <w:rPr>
          <w:rStyle w:val="StyleUnderline"/>
        </w:rPr>
        <w:t xml:space="preserve"> true individuality</w:t>
      </w:r>
      <w:r w:rsidRPr="00223414">
        <w:rPr>
          <w:sz w:val="16"/>
        </w:rPr>
        <w:t xml:space="preserve">. Admittedly, the deterministic ontology of Horkheimer and Adorno’s work leads to the assumption that individuals do not have agency or an ability to create “true meaning” from their media and the work has been much criticized for a totalizing view of an oppressive cultural system. An interesting point is the title of this work, emphasizing the singular cultural “industry” as opposed to “industries,” noting that economic coercion has only given society one option. While our ideology says that we have the freedom to choose, in reality, we have only the freedom to choose from what is the same, coming from one industry alone (Horkheimer &amp; Adorno, 2002). This essay has two especially notable points. First, the Frankfurt School scholars emphasize processes of standardization in their writing, as they are seeing similar trends in Western media which they had seen in the fascist media from which they came in Germany. The standardization of culture creates a uniformity of style and ideas, meaning that once one is constantly exposed to sameness, the ability to question and offer true critique becomes blunted. Second, this essay is a very early example of advertising criticism, as the industrialized nature of media at the time had made it an ideal conduit for advertising. The routine schedule of advertising (30-minute long programs with periodic commercial breaks, with new programs beginning on the hour) allows a scheduling template for “art” to be presented to individuals, whereby they are consistently getting the message that a product will improve life (a point to be later emphasized by other scholars, including Raymond Williams); however, once one acquires a product, little ever changes (Horkheimer &amp; Adorno, 2002). </w:t>
      </w:r>
      <w:r w:rsidRPr="00DD2D90">
        <w:rPr>
          <w:rStyle w:val="StyleUnderline"/>
        </w:rPr>
        <w:t>Horkheimer and Adorno</w:t>
      </w:r>
      <w:r w:rsidRPr="00223414">
        <w:rPr>
          <w:sz w:val="16"/>
        </w:rPr>
        <w:t xml:space="preserve"> </w:t>
      </w:r>
      <w:r w:rsidRPr="00DD2D90">
        <w:rPr>
          <w:rStyle w:val="StyleUnderline"/>
        </w:rPr>
        <w:t>stress</w:t>
      </w:r>
      <w:r w:rsidRPr="00223414">
        <w:rPr>
          <w:sz w:val="16"/>
        </w:rPr>
        <w:t xml:space="preserve"> the importance of </w:t>
      </w:r>
      <w:r w:rsidRPr="00DD2D90">
        <w:rPr>
          <w:rStyle w:val="StyleUnderline"/>
        </w:rPr>
        <w:t xml:space="preserve">advertising in creating </w:t>
      </w:r>
      <w:r w:rsidRPr="00DD2D90">
        <w:rPr>
          <w:rStyle w:val="Emphasis"/>
        </w:rPr>
        <w:t>pseudo-individuality</w:t>
      </w:r>
      <w:r w:rsidRPr="00DD2D90">
        <w:rPr>
          <w:rStyle w:val="StyleUnderline"/>
        </w:rPr>
        <w:t xml:space="preserve"> for society</w:t>
      </w:r>
      <w:r w:rsidRPr="00223414">
        <w:rPr>
          <w:sz w:val="16"/>
        </w:rPr>
        <w:t xml:space="preserve"> at the end of their essay, stating that </w:t>
      </w:r>
      <w:r w:rsidRPr="00DD2D90">
        <w:rPr>
          <w:rStyle w:val="StyleUnderline"/>
        </w:rPr>
        <w:t xml:space="preserve">the triumph of advertising is its ability to urge </w:t>
      </w:r>
      <w:r w:rsidRPr="00DD2D90">
        <w:rPr>
          <w:rStyle w:val="StyleUnderline"/>
          <w:highlight w:val="green"/>
        </w:rPr>
        <w:t>consumers</w:t>
      </w:r>
      <w:r w:rsidRPr="00DD2D90">
        <w:rPr>
          <w:rStyle w:val="StyleUnderline"/>
        </w:rPr>
        <w:t xml:space="preserve"> to </w:t>
      </w:r>
      <w:r w:rsidRPr="00DD2D90">
        <w:rPr>
          <w:rStyle w:val="Emphasis"/>
          <w:highlight w:val="green"/>
        </w:rPr>
        <w:t>compulsively</w:t>
      </w:r>
      <w:r w:rsidRPr="00DD2D90">
        <w:rPr>
          <w:rStyle w:val="StyleUnderline"/>
        </w:rPr>
        <w:t xml:space="preserve"> </w:t>
      </w:r>
      <w:r w:rsidRPr="00DD2D90">
        <w:rPr>
          <w:rStyle w:val="StyleUnderline"/>
          <w:highlight w:val="green"/>
        </w:rPr>
        <w:t>imitate</w:t>
      </w:r>
      <w:r w:rsidRPr="00DD2D90">
        <w:rPr>
          <w:rStyle w:val="StyleUnderline"/>
        </w:rPr>
        <w:t xml:space="preserve"> the images they see in </w:t>
      </w:r>
      <w:r w:rsidRPr="00DD2D90">
        <w:rPr>
          <w:rStyle w:val="StyleUnderline"/>
          <w:highlight w:val="green"/>
        </w:rPr>
        <w:t>advertising</w:t>
      </w:r>
      <w:r w:rsidRPr="00DD2D90">
        <w:rPr>
          <w:rStyle w:val="StyleUnderline"/>
        </w:rPr>
        <w:t>, where a freedom to choose from products becomes a freedom to be the same as everyone else given the uniformity in consumer culture</w:t>
      </w:r>
      <w:r w:rsidRPr="00223414">
        <w:rPr>
          <w:sz w:val="16"/>
        </w:rPr>
        <w:t xml:space="preserve"> (Horkheimer &amp; Adorno, 2002). Later movements in cultural studies such as the University of Birmingham Centre for Contemporary Cultural Studies, created in 1964, and directed by Stuart Hall in 1968, added the importance of studying specific symbolic and semiotic elements of popular culture to track how ideologies were constructed and challenged in popular culture. The Birmingham group provided a wide variety of critical-cultural perspectives and was among the first to study how audiences may be influenced by the cultural meanings in mass communications, especially the representation of ideology, class, gender, and race in cultural texts (Kellner &amp; Durham, 2012). An influential theorist for the Birmingham Centre was Raymond Williams, who wrote a much- cited essay on the history and symbolic logic of advertising (see below). In order to describe the subfield that is called Critical Advertising Studies, it is helpful to briefly trace the history of pivotal changes in production and consumption from a Western perspective. While the subfield’s history is rich, a brief analysis of its roots allows for a deeper understanding of scholarly concerns and questions. A general increase in advertising came as a result of the Industrial Revolution, with both increases in production and business-friendly policies playing key roles: in England the abolition of the Advertising Tax in 1853 allowed creative industries to change the landscape of consumer culture (Williams, 1980). Advances in mass production from 1880-1920 emphasized a more standardized system of distribution, alongside an evolution in the household – with the advent of new products and technologies, domestic routines became more about purchasing and less about “doing,” creating new ways for individuals to relate to the objects sold on the idea of making their lives easier (Strasser, 2009). Advertising filled a void for educating consumers on new products they knew nothing about. Beyond providing information on these new products, </w:t>
      </w:r>
      <w:r w:rsidRPr="00DD2D90">
        <w:rPr>
          <w:rStyle w:val="StyleUnderline"/>
        </w:rPr>
        <w:t xml:space="preserve">advertisements were able to “teach” buyers a set of values and norms in the developing age of consumer culture, giving generations the “tools” (branded commodities) </w:t>
      </w:r>
      <w:r w:rsidRPr="00DD2D90">
        <w:rPr>
          <w:rStyle w:val="StyleUnderline"/>
          <w:highlight w:val="green"/>
        </w:rPr>
        <w:t>to create</w:t>
      </w:r>
      <w:r w:rsidRPr="00DD2D90">
        <w:rPr>
          <w:rStyle w:val="StyleUnderline"/>
        </w:rPr>
        <w:t xml:space="preserve"> their </w:t>
      </w:r>
      <w:r w:rsidRPr="00DD2D90">
        <w:rPr>
          <w:rStyle w:val="StyleUnderline"/>
          <w:highlight w:val="green"/>
        </w:rPr>
        <w:t>identities</w:t>
      </w:r>
      <w:r w:rsidRPr="00223414">
        <w:rPr>
          <w:sz w:val="16"/>
        </w:rPr>
        <w:t xml:space="preserve"> (Strasser, 1989). Image-oriented magazine advertising constructed branded images on a national scale by the end of the 1800s. Radio advertising, beginning in the late 1920s, added such persuasive techniques as jingles and vocal qualities to the branding arsenal. There was resistance however. Stuart Chase and F.J. Schlink’s Your Money’s Worth: A Study in the Waste of the Consumer’s Dollars (1927) was one of the first catalysts for consumer activists objecting to advertising practices, as the authors exposed propaganda techniques used by the industry. Public outcry prompted the Roosevelt administration to call for federal regulation of advertising, leading to the Food and Drug Act which gave the Food and Drug Administration the authority to ban an advertisement for any food, drug, or cosmetic if it provided false information (Stole, 2013). However, as World War II spread throughout Europe in the 1940s, the U.S. government approached the advertising community, requesting help with promotional materials to educate the public on its war efforts (also referred to as propaganda campaigns). It was at this point that political debates concerning advertising began to minimize, as the industry used this opportunity to build the nation’s morale while simultaneously acting as a primary public information service (Stole, 2013). A new wave of consumer activism came in the 1960s and 1970s with the discovery of fraud against consumers, largely creating a critical public view of the industry (Cross, 2013). Over the years, joining these voices of criticism were critical advertising scholars. In its current manifestation, Critical Advertising Studies emphasizes two main areas of research: advertising as a cultural system and advertising as a funding system (West &amp; McAllister, 2013). Advertising as a cultural system involves looking at such issues as representation in advertising and how </w:t>
      </w:r>
      <w:r w:rsidRPr="00DD2D90">
        <w:rPr>
          <w:rStyle w:val="StyleUnderline"/>
          <w:highlight w:val="green"/>
        </w:rPr>
        <w:t>ad</w:t>
      </w:r>
      <w:r w:rsidRPr="00DD2D90">
        <w:rPr>
          <w:rStyle w:val="StyleUnderline"/>
        </w:rPr>
        <w:t xml:space="preserve">vertising </w:t>
      </w:r>
      <w:r w:rsidRPr="00DD2D90">
        <w:rPr>
          <w:rStyle w:val="StyleUnderline"/>
          <w:highlight w:val="green"/>
        </w:rPr>
        <w:t>offers a commodity as a solution to a social</w:t>
      </w:r>
      <w:r w:rsidRPr="00DD2D90">
        <w:rPr>
          <w:rStyle w:val="StyleUnderline"/>
        </w:rPr>
        <w:t xml:space="preserve"> or personal </w:t>
      </w:r>
      <w:r w:rsidRPr="00DD2D90">
        <w:rPr>
          <w:rStyle w:val="StyleUnderline"/>
          <w:highlight w:val="green"/>
        </w:rPr>
        <w:t>problem</w:t>
      </w:r>
      <w:r w:rsidRPr="00223414">
        <w:rPr>
          <w:sz w:val="16"/>
        </w:rPr>
        <w:t xml:space="preserve"> (West &amp; McAllister, 2013). Issues of </w:t>
      </w:r>
      <w:r w:rsidRPr="00DD2D90">
        <w:rPr>
          <w:rStyle w:val="StyleUnderline"/>
        </w:rPr>
        <w:t>representation</w:t>
      </w:r>
      <w:r w:rsidRPr="00223414">
        <w:rPr>
          <w:sz w:val="16"/>
        </w:rPr>
        <w:t xml:space="preserve"> could </w:t>
      </w:r>
      <w:r w:rsidRPr="00DD2D90">
        <w:rPr>
          <w:rStyle w:val="StyleUnderline"/>
        </w:rPr>
        <w:t xml:space="preserve">include </w:t>
      </w:r>
      <w:r w:rsidRPr="00DD2D90">
        <w:rPr>
          <w:rStyle w:val="StyleUnderline"/>
          <w:highlight w:val="green"/>
        </w:rPr>
        <w:t>gender</w:t>
      </w:r>
      <w:r w:rsidRPr="00223414">
        <w:rPr>
          <w:sz w:val="16"/>
        </w:rPr>
        <w:t xml:space="preserve"> (Goffman, 1979), </w:t>
      </w:r>
      <w:r w:rsidRPr="00DD2D90">
        <w:rPr>
          <w:rStyle w:val="StyleUnderline"/>
        </w:rPr>
        <w:t>race</w:t>
      </w:r>
      <w:r w:rsidRPr="00DD2D90">
        <w:rPr>
          <w:rStyle w:val="StyleUnderline"/>
          <w:highlight w:val="green"/>
        </w:rPr>
        <w:t>, class, able-bodiedness,</w:t>
      </w:r>
      <w:r w:rsidRPr="00223414">
        <w:rPr>
          <w:sz w:val="16"/>
          <w:highlight w:val="green"/>
        </w:rPr>
        <w:t xml:space="preserve"> </w:t>
      </w:r>
      <w:r w:rsidRPr="00DD2D90">
        <w:rPr>
          <w:rStyle w:val="StyleUnderline"/>
          <w:highlight w:val="green"/>
        </w:rPr>
        <w:t>and</w:t>
      </w:r>
      <w:r w:rsidRPr="00223414">
        <w:rPr>
          <w:sz w:val="16"/>
          <w:highlight w:val="green"/>
        </w:rPr>
        <w:t xml:space="preserve"> </w:t>
      </w:r>
      <w:r w:rsidRPr="00DD2D90">
        <w:rPr>
          <w:rStyle w:val="StyleUnderline"/>
          <w:highlight w:val="green"/>
        </w:rPr>
        <w:t>nationality</w:t>
      </w:r>
      <w:r w:rsidRPr="00223414">
        <w:rPr>
          <w:sz w:val="16"/>
        </w:rPr>
        <w:t xml:space="preserve">, among others. In such cases, scholars address how </w:t>
      </w:r>
      <w:r w:rsidRPr="00DD2D90">
        <w:rPr>
          <w:rStyle w:val="StyleUnderline"/>
        </w:rPr>
        <w:t>advertising contributes to cultural constructions of social identity;</w:t>
      </w:r>
      <w:r w:rsidRPr="00223414">
        <w:rPr>
          <w:sz w:val="16"/>
        </w:rPr>
        <w:t xml:space="preserve"> such </w:t>
      </w:r>
      <w:r w:rsidRPr="00DD2D90">
        <w:rPr>
          <w:rStyle w:val="StyleUnderline"/>
        </w:rPr>
        <w:t>identities are embedded in power relations and are at their heart ideological</w:t>
      </w:r>
      <w:r w:rsidRPr="00223414">
        <w:rPr>
          <w:sz w:val="16"/>
        </w:rPr>
        <w:t xml:space="preserve">. Advertising was seen, then, not just as a form of persuasion for short-term goals (selling a brand), but also as a symbol system that generated media beyond the selling function. Significant scholarship has addressed advertising representation, often focusing on attempts by companies to capitalize on market segments while presenting extremely limited notions of diversity (Dines &amp; Humez, 2003). For example, critical research has analyzed the circumscribed role of women in advertisements. Women in advertising are often portrayed as overtly feminine, yet even notions of femininity become very limited. This means that women in advertising are often portrayed as being dependent on others, having a fixation on beauty, positioning them in roles that emphasize family and nurturing, and having a fear of technology (Steinem, 2003). Others note the focus on traditional gender roles such as the housewife or mother (Hollows, 2003). By encoding modern conceptions of female identity in advertising, it can be clearly seen how this identity is largely created based on the construction of women as consumers (Friedan, 1963). Conversely, critical approaches toward advertising have looked at how male consumers are represented as overly masculine, including the Depression-era creations of masculinity in ads used to sell idealized versions of self-identification during a challenging economic time (Breazeale, 1994). Representations of masculinity in advertisements feature a simultaneous exploitation and denial of the feminine, meaning that male consumers are framed via women -- notions of masculinity are perpetuated by positioning men in advertisements alongside women that are represented as servicing men, not only on a sexual level, but via markers of class as well (Breazeale, 1994). While representations regarding the role of women in advertisements and notions of femininity/masculinity have been addressed in critical advertising literature, research has yet to fully address the nuances of these portrayals as they are depicted via DTCA, creating a current gap in the existing literature. With representations of older adults in advertisements, when such representations are the main focus of the ads, the actors/models used almost always look physically young and attractive in appearance (Carrigan &amp; Szmigin, 2002). By creating and perpetuating images that feature older adults as youthful, downplaying the challenges associated with growing older, advertising frames older adults as illegitimate members of society (Carrigan &amp; Szmigin, 2002). These images encourage older adults to be seen as young, strong, independent, and sexy – all while experiencing increased health problems and facing retirement, which itself is represented as signifying a loss of functioning and income for individuals. When coupled with advertising’s already inherent expectations of youth, fitness, and beauty, the result is a new set of exclusions for older adults (Chaney, 1995). Again, research has yet to explicate the ways in which DTC advertisements portray older adults, and whether these representations are consistent with the existing literature described above. When looking at advertising as a funding system, a political economy approach is used to look its production and distribution of culture when the culture depends upon advertising revenue to finance its media systems, acknowledging that a specific set of relationships between economy, social institutions, organizations, and media influence cultural meanings. Western scholarship emphasizes how capitalism structures modes of production and social practices according to the logic of commodification, emphasizing a profit imperative (Kellner &amp; Durham, 2012); advertising and advertising-supported media are implicated in such structures. A political economy approach, such as that conducted in chapter two, interrogates the content and implications of commercial ideology and its relationship to existing structures of power and privilege, while also looking at how ideology is produced within the organizational and occupational framework of media industries (Jhally &amp; Livant, 1990). Commercial ideology, then, is not just a product of advertising messages, but may infuse many media messages with consumerist views. As Schiller (1992) described, </w:t>
      </w:r>
      <w:r w:rsidRPr="00DD2D90">
        <w:rPr>
          <w:rStyle w:val="StyleUnderline"/>
        </w:rPr>
        <w:t xml:space="preserve">Western industrialized </w:t>
      </w:r>
      <w:r w:rsidRPr="00DD2D90">
        <w:rPr>
          <w:rStyle w:val="StyleUnderline"/>
          <w:highlight w:val="green"/>
        </w:rPr>
        <w:t>society</w:t>
      </w:r>
      <w:r w:rsidRPr="00DD2D90">
        <w:rPr>
          <w:rStyle w:val="StyleUnderline"/>
        </w:rPr>
        <w:t xml:space="preserve"> has </w:t>
      </w:r>
      <w:r w:rsidRPr="00DD2D90">
        <w:rPr>
          <w:rStyle w:val="StyleUnderline"/>
          <w:highlight w:val="green"/>
        </w:rPr>
        <w:t>replaced family, religion and</w:t>
      </w:r>
      <w:r w:rsidRPr="00DD2D90">
        <w:rPr>
          <w:rStyle w:val="StyleUnderline"/>
        </w:rPr>
        <w:t xml:space="preserve"> </w:t>
      </w:r>
      <w:r w:rsidRPr="00DD2D90">
        <w:rPr>
          <w:rStyle w:val="StyleUnderline"/>
          <w:highlight w:val="green"/>
        </w:rPr>
        <w:t>education with</w:t>
      </w:r>
      <w:r w:rsidRPr="00DD2D90">
        <w:rPr>
          <w:rStyle w:val="StyleUnderline"/>
        </w:rPr>
        <w:t xml:space="preserve"> </w:t>
      </w:r>
      <w:r w:rsidRPr="00DD2D90">
        <w:rPr>
          <w:rStyle w:val="StyleUnderline"/>
          <w:highlight w:val="green"/>
        </w:rPr>
        <w:t>media</w:t>
      </w:r>
      <w:r w:rsidRPr="00DD2D90">
        <w:rPr>
          <w:rStyle w:val="StyleUnderline"/>
        </w:rPr>
        <w:t xml:space="preserve"> </w:t>
      </w:r>
      <w:r w:rsidRPr="00DD2D90">
        <w:rPr>
          <w:rStyle w:val="StyleUnderline"/>
          <w:highlight w:val="green"/>
        </w:rPr>
        <w:t>as</w:t>
      </w:r>
      <w:r w:rsidRPr="00DD2D90">
        <w:rPr>
          <w:rStyle w:val="StyleUnderline"/>
        </w:rPr>
        <w:t xml:space="preserve"> a traditional form of </w:t>
      </w:r>
      <w:r w:rsidRPr="00DD2D90">
        <w:rPr>
          <w:rStyle w:val="StyleUnderline"/>
          <w:highlight w:val="green"/>
        </w:rPr>
        <w:t>socialization</w:t>
      </w:r>
      <w:r w:rsidRPr="00223414">
        <w:rPr>
          <w:sz w:val="16"/>
        </w:rPr>
        <w:t xml:space="preserve">, </w:t>
      </w:r>
      <w:r w:rsidRPr="00DD2D90">
        <w:rPr>
          <w:rStyle w:val="StyleUnderline"/>
          <w:highlight w:val="green"/>
        </w:rPr>
        <w:t>creating</w:t>
      </w:r>
      <w:r w:rsidRPr="00DD2D90">
        <w:rPr>
          <w:rStyle w:val="StyleUnderline"/>
        </w:rPr>
        <w:t xml:space="preserve"> an “</w:t>
      </w:r>
      <w:r w:rsidRPr="00DD2D90">
        <w:rPr>
          <w:rStyle w:val="Emphasis"/>
        </w:rPr>
        <w:t>ideology of consumerism</w:t>
      </w:r>
      <w:r w:rsidRPr="00223414">
        <w:rPr>
          <w:sz w:val="16"/>
        </w:rPr>
        <w:t xml:space="preserve">” that is researched in Critical Advertising Studies. One of the most important aspects to analyze alongside ideologies of consumption is the concept of commodity fetishism, as this term explicates the ways in which advertising attempts to influence the meanings of goods for individuals and, critical scholars argue, elevate the social status of these goods while simultaneously decontextualizing them. Commodity Fetishism </w:t>
      </w:r>
      <w:r w:rsidRPr="00DD2D90">
        <w:rPr>
          <w:rStyle w:val="Emphasis"/>
          <w:highlight w:val="green"/>
        </w:rPr>
        <w:t>Commodity fetishism</w:t>
      </w:r>
      <w:r w:rsidRPr="00223414">
        <w:rPr>
          <w:sz w:val="16"/>
        </w:rPr>
        <w:t xml:space="preserve"> </w:t>
      </w:r>
      <w:r w:rsidRPr="00DD2D90">
        <w:rPr>
          <w:rStyle w:val="StyleUnderline"/>
          <w:highlight w:val="green"/>
        </w:rPr>
        <w:t>is</w:t>
      </w:r>
      <w:r w:rsidRPr="00223414">
        <w:rPr>
          <w:sz w:val="16"/>
        </w:rPr>
        <w:t xml:space="preserve"> a process </w:t>
      </w:r>
      <w:r w:rsidRPr="00DD2D90">
        <w:rPr>
          <w:rStyle w:val="StyleUnderline"/>
          <w:highlight w:val="green"/>
        </w:rPr>
        <w:t>where</w:t>
      </w:r>
      <w:r w:rsidRPr="00223414">
        <w:rPr>
          <w:sz w:val="16"/>
        </w:rPr>
        <w:t xml:space="preserve">by the process of commodification constructs in particular ways the understanding of processes of production, as </w:t>
      </w:r>
      <w:r w:rsidRPr="00DD2D90">
        <w:rPr>
          <w:rStyle w:val="StyleUnderline"/>
        </w:rPr>
        <w:t>advertising</w:t>
      </w:r>
      <w:r w:rsidRPr="00223414">
        <w:rPr>
          <w:sz w:val="16"/>
        </w:rPr>
        <w:t xml:space="preserve"> and brand discourse </w:t>
      </w:r>
      <w:r w:rsidRPr="00DD2D90">
        <w:rPr>
          <w:rStyle w:val="StyleUnderline"/>
        </w:rPr>
        <w:t>ignore how products are created and rather emphasize additional meaning or symbolic agency around brands for consumers</w:t>
      </w:r>
      <w:r w:rsidRPr="00223414">
        <w:rPr>
          <w:sz w:val="16"/>
        </w:rPr>
        <w:t xml:space="preserve"> (McAllister, 2014). </w:t>
      </w:r>
      <w:r w:rsidRPr="00DD2D90">
        <w:rPr>
          <w:rStyle w:val="StyleUnderline"/>
        </w:rPr>
        <w:t>Commodity fetishism mitigates the relationship between people and manufactured commodities</w:t>
      </w:r>
      <w:r w:rsidRPr="00223414">
        <w:rPr>
          <w:sz w:val="16"/>
        </w:rPr>
        <w:t xml:space="preserve">, and fetishism occurs once individuals see meaning in things as inherent part of their physical existence, seemingly removing the labor and social processes involved in the production of the commodity (Marx, 1976). The work of Raymond Williams (1980) segues well with commodity fetishism. Williams’ seminal work, originally written in the 1960s, outlines advertising and public relations practices that are still influential today. The most prominent aspect to come out of his essay “Advertising: The Magic System” are the conceptions of </w:t>
      </w:r>
      <w:r w:rsidRPr="00DD2D90">
        <w:rPr>
          <w:rStyle w:val="StyleUnderline"/>
          <w:highlight w:val="green"/>
        </w:rPr>
        <w:t>advertising</w:t>
      </w:r>
      <w:r w:rsidRPr="00223414">
        <w:rPr>
          <w:sz w:val="16"/>
        </w:rPr>
        <w:t xml:space="preserve"> as “</w:t>
      </w:r>
      <w:r w:rsidRPr="00DD2D90">
        <w:rPr>
          <w:rStyle w:val="Emphasis"/>
          <w:highlight w:val="green"/>
        </w:rPr>
        <w:t>magic</w:t>
      </w:r>
      <w:r w:rsidRPr="00223414">
        <w:rPr>
          <w:sz w:val="16"/>
        </w:rPr>
        <w:t xml:space="preserve">,” referring to the ability of </w:t>
      </w:r>
      <w:r w:rsidRPr="00DD2D90">
        <w:rPr>
          <w:rStyle w:val="StyleUnderline"/>
        </w:rPr>
        <w:t>advertising</w:t>
      </w:r>
      <w:r w:rsidRPr="00223414">
        <w:rPr>
          <w:sz w:val="16"/>
        </w:rPr>
        <w:t xml:space="preserve"> to </w:t>
      </w:r>
      <w:r w:rsidRPr="00DD2D90">
        <w:rPr>
          <w:rStyle w:val="StyleUnderline"/>
        </w:rPr>
        <w:t xml:space="preserve">go beyond the material </w:t>
      </w:r>
      <w:r w:rsidRPr="00DD2D90">
        <w:rPr>
          <w:rStyle w:val="StyleUnderline"/>
          <w:highlight w:val="green"/>
        </w:rPr>
        <w:t>and</w:t>
      </w:r>
      <w:r w:rsidRPr="00DD2D90">
        <w:rPr>
          <w:rStyle w:val="StyleUnderline"/>
        </w:rPr>
        <w:t xml:space="preserve"> appeal to the desires of individuals</w:t>
      </w:r>
      <w:r w:rsidRPr="00223414">
        <w:rPr>
          <w:sz w:val="16"/>
        </w:rPr>
        <w:t xml:space="preserve"> (Williams, 1980). A common claim about consumer culture, Williams argues, is that modern consumers are very materialistic: we are driven by the need to acquire material goods for their own sake. But he posits that advertising works the way it does because individuals are, in fact, not materialist enough, as members of society are not satisfied with the material product, but require an additional, secondary effect (e.g., clothing must only serve its functional purpose, but it also has the ability to make us feel popular, sexy, happy, etc.) (Williams, 1980). If individuals were purely materialistic, advertisements would only need to display the commodities themselves; a new commodity would be the only motivation consumers need. Instead, individuals are driven by other values besides the material: love, belongingness, security, for example. They thus look for added meaning or value in products, a dilemma given the high level of standardization in product categories. Thus, advertising works by promising to fulfill additional needs and desires that go beyond the material using highly evocative and emotional symbols. The magic, then, is that advertising tells us our desires can be met by purchasing the product. Just as the production context of modern commodities are removed by the industrialization process, Williams work reminds us that advertising adds new meanings to commodities to fill that meaning gap. Much of Williams’ argument relies on the Marxist concepts of use-value and exchange- value as they relate to commodity fetishism. The use-value of a commodity refers to its material value. For example, the use-value of clothing is to cover and protect the body. The exchange- value, however, becomes much more difficult to identify, and can often be attributed to capital, but it is more abstract than this. Exchange-value increases as the labor it takes to create a commodity increases, and exchange-value rests on the notion that two commodities can be exchanged in an open market as they are always being compared to a third facet functioning as their “universal equivalent” (most often times money) (Marx, 1976). An understanding of the relationship between use-value and exchange-value of commodities allows advertising to be better understood as a form of relating people with objects. </w:t>
      </w:r>
      <w:r w:rsidRPr="00DD2D90">
        <w:rPr>
          <w:rStyle w:val="StyleUnderline"/>
        </w:rPr>
        <w:t>Advertisements</w:t>
      </w:r>
      <w:r w:rsidRPr="00223414">
        <w:rPr>
          <w:sz w:val="16"/>
        </w:rPr>
        <w:t xml:space="preserve">, including those </w:t>
      </w:r>
      <w:r w:rsidRPr="00DD2D90">
        <w:rPr>
          <w:rStyle w:val="StyleUnderline"/>
        </w:rPr>
        <w:t>for</w:t>
      </w:r>
      <w:r w:rsidRPr="00223414">
        <w:rPr>
          <w:sz w:val="16"/>
        </w:rPr>
        <w:t xml:space="preserve"> </w:t>
      </w:r>
      <w:r w:rsidRPr="00DD2D90">
        <w:rPr>
          <w:rStyle w:val="StyleUnderline"/>
        </w:rPr>
        <w:t>pharmaceuticals</w:t>
      </w:r>
      <w:r w:rsidRPr="00223414">
        <w:rPr>
          <w:sz w:val="16"/>
        </w:rPr>
        <w:t xml:space="preserve">, allow for culture </w:t>
      </w:r>
      <w:r w:rsidRPr="00DD2D90">
        <w:rPr>
          <w:rStyle w:val="StyleUnderline"/>
        </w:rPr>
        <w:t xml:space="preserve">to associate products with additional </w:t>
      </w:r>
      <w:r w:rsidRPr="00223414">
        <w:rPr>
          <w:sz w:val="16"/>
        </w:rPr>
        <w:t>meaning, as</w:t>
      </w:r>
      <w:r w:rsidRPr="00DD2D90">
        <w:rPr>
          <w:rStyle w:val="StyleUnderline"/>
        </w:rPr>
        <w:t xml:space="preserve"> emotional </w:t>
      </w:r>
      <w:r w:rsidRPr="00223414">
        <w:rPr>
          <w:sz w:val="16"/>
        </w:rPr>
        <w:t xml:space="preserve">meaning, forms of </w:t>
      </w:r>
      <w:r w:rsidRPr="00DD2D90">
        <w:rPr>
          <w:rStyle w:val="StyleUnderline"/>
        </w:rPr>
        <w:t>promotional culture</w:t>
      </w:r>
      <w:r w:rsidRPr="00223414">
        <w:rPr>
          <w:sz w:val="16"/>
        </w:rPr>
        <w:t xml:space="preserve">, and even packaging designs evoke sentiment for individuals (Williams, 1980). When such </w:t>
      </w:r>
      <w:r w:rsidRPr="00DD2D90">
        <w:rPr>
          <w:rStyle w:val="StyleUnderline"/>
        </w:rPr>
        <w:t>meanings</w:t>
      </w:r>
      <w:r w:rsidRPr="00223414">
        <w:rPr>
          <w:sz w:val="16"/>
        </w:rPr>
        <w:t xml:space="preserve"> </w:t>
      </w:r>
      <w:r w:rsidRPr="00DD2D90">
        <w:rPr>
          <w:rStyle w:val="StyleUnderline"/>
          <w:highlight w:val="green"/>
        </w:rPr>
        <w:t>enhance</w:t>
      </w:r>
      <w:r w:rsidRPr="00DD2D90">
        <w:rPr>
          <w:rStyle w:val="StyleUnderline"/>
        </w:rPr>
        <w:t xml:space="preserve"> the use of value of a commodity</w:t>
      </w:r>
      <w:r w:rsidRPr="00223414">
        <w:rPr>
          <w:sz w:val="16"/>
        </w:rPr>
        <w:t xml:space="preserve"> (a sports car equals prestige, for example), </w:t>
      </w:r>
      <w:r w:rsidRPr="00DD2D90">
        <w:rPr>
          <w:rStyle w:val="StyleUnderline"/>
        </w:rPr>
        <w:t>it</w:t>
      </w:r>
      <w:r w:rsidRPr="00223414">
        <w:rPr>
          <w:sz w:val="16"/>
        </w:rPr>
        <w:t xml:space="preserve"> also </w:t>
      </w:r>
      <w:r w:rsidRPr="00DD2D90">
        <w:rPr>
          <w:rStyle w:val="StyleUnderline"/>
        </w:rPr>
        <w:t>may</w:t>
      </w:r>
      <w:r w:rsidRPr="00223414">
        <w:rPr>
          <w:sz w:val="16"/>
        </w:rPr>
        <w:t xml:space="preserve"> </w:t>
      </w:r>
      <w:r w:rsidRPr="00DD2D90">
        <w:rPr>
          <w:rStyle w:val="StyleUnderline"/>
        </w:rPr>
        <w:t xml:space="preserve">enhance its </w:t>
      </w:r>
      <w:r w:rsidRPr="00DD2D90">
        <w:rPr>
          <w:rStyle w:val="StyleUnderline"/>
          <w:highlight w:val="green"/>
        </w:rPr>
        <w:t>exchange value</w:t>
      </w:r>
      <w:r w:rsidRPr="00DD2D90">
        <w:rPr>
          <w:rStyle w:val="StyleUnderline"/>
        </w:rPr>
        <w:t xml:space="preserve"> in the marketplace</w:t>
      </w:r>
      <w:r w:rsidRPr="00223414">
        <w:rPr>
          <w:sz w:val="16"/>
        </w:rPr>
        <w:t xml:space="preserve">. An important work to consider when describing commodity fetishism is Sut Jhally’s expansion upon Dallas Smythe’s work from the 1970s, which argues for a political economic lens when addressing advertising and its relationships to audiences. Jhally attempts to trace how the media’s use of </w:t>
      </w:r>
      <w:r w:rsidRPr="00DD2D90">
        <w:rPr>
          <w:rStyle w:val="StyleUnderline"/>
        </w:rPr>
        <w:t>advertising acts as a mediator between cultural understanding and a capitalist economy</w:t>
      </w:r>
      <w:r w:rsidRPr="00223414">
        <w:rPr>
          <w:sz w:val="16"/>
        </w:rPr>
        <w:t xml:space="preserve"> (Jhally, 1990). Jhally considers two concepts most important when studying the field of advertising. First, he emphasizes the fetishism of commodities, as defined by Marx, citing the </w:t>
      </w:r>
      <w:r w:rsidRPr="00DD2D90">
        <w:rPr>
          <w:rStyle w:val="StyleUnderline"/>
        </w:rPr>
        <w:t xml:space="preserve">advertising industry’s creation of additional qualities for products </w:t>
      </w:r>
      <w:r w:rsidRPr="00DD2D90">
        <w:rPr>
          <w:rStyle w:val="StyleUnderline"/>
          <w:highlight w:val="green"/>
        </w:rPr>
        <w:t>beyond</w:t>
      </w:r>
      <w:r w:rsidRPr="00DD2D90">
        <w:rPr>
          <w:rStyle w:val="StyleUnderline"/>
        </w:rPr>
        <w:t xml:space="preserve"> </w:t>
      </w:r>
      <w:r w:rsidRPr="00DD2D90">
        <w:rPr>
          <w:rStyle w:val="StyleUnderline"/>
          <w:highlight w:val="green"/>
        </w:rPr>
        <w:t>their material use</w:t>
      </w:r>
      <w:r w:rsidRPr="00223414">
        <w:rPr>
          <w:sz w:val="16"/>
        </w:rPr>
        <w:t xml:space="preserve">. Here, he describes the “reading” of goods as necessary for understanding their commodity form. By doing so, we can better explain the social relations of production and how these relations are reflected in goods themselves. By focusing on the fetishism of commodities, in this case, pharmaceuticals, this dissertation can explicate how </w:t>
      </w:r>
      <w:r w:rsidRPr="00DD2D90">
        <w:rPr>
          <w:rStyle w:val="StyleUnderline"/>
        </w:rPr>
        <w:t>our capitalist system empties these commodities of their</w:t>
      </w:r>
      <w:r w:rsidRPr="00223414">
        <w:rPr>
          <w:sz w:val="16"/>
        </w:rPr>
        <w:t xml:space="preserve"> “real” meaning, or </w:t>
      </w:r>
      <w:r w:rsidRPr="00DD2D90">
        <w:rPr>
          <w:rStyle w:val="StyleUnderline"/>
        </w:rPr>
        <w:t>use-value</w:t>
      </w:r>
      <w:r w:rsidRPr="00223414">
        <w:rPr>
          <w:sz w:val="16"/>
        </w:rPr>
        <w:t xml:space="preserve"> (serving as a remedy </w:t>
      </w:r>
      <w:r w:rsidRPr="00DD2D90">
        <w:rPr>
          <w:rStyle w:val="StyleUnderline"/>
        </w:rPr>
        <w:t>for</w:t>
      </w:r>
      <w:r w:rsidRPr="00223414">
        <w:rPr>
          <w:sz w:val="16"/>
        </w:rPr>
        <w:t xml:space="preserve"> a </w:t>
      </w:r>
      <w:r w:rsidRPr="00DD2D90">
        <w:rPr>
          <w:rStyle w:val="StyleUnderline"/>
        </w:rPr>
        <w:t>health</w:t>
      </w:r>
      <w:r w:rsidRPr="00223414">
        <w:rPr>
          <w:sz w:val="16"/>
        </w:rPr>
        <w:t xml:space="preserve"> ailment). </w:t>
      </w:r>
      <w:r w:rsidRPr="00DD2D90">
        <w:rPr>
          <w:rStyle w:val="StyleUnderline"/>
        </w:rPr>
        <w:t>This</w:t>
      </w:r>
      <w:r w:rsidRPr="00223414">
        <w:rPr>
          <w:sz w:val="16"/>
        </w:rPr>
        <w:t xml:space="preserve">, then, </w:t>
      </w:r>
      <w:r w:rsidRPr="00DD2D90">
        <w:rPr>
          <w:rStyle w:val="StyleUnderline"/>
        </w:rPr>
        <w:t>permits pharmaceutical advertising to insert meaning into the relationship between health and prescription drugs for consumers</w:t>
      </w:r>
      <w:r w:rsidRPr="00223414">
        <w:rPr>
          <w:sz w:val="16"/>
        </w:rPr>
        <w:t xml:space="preserve"> – </w:t>
      </w:r>
      <w:r w:rsidRPr="00DD2D90">
        <w:rPr>
          <w:rStyle w:val="StyleUnderline"/>
        </w:rPr>
        <w:t xml:space="preserve">as the </w:t>
      </w:r>
      <w:r w:rsidRPr="00DD2D90">
        <w:rPr>
          <w:rStyle w:val="StyleUnderline"/>
          <w:highlight w:val="green"/>
        </w:rPr>
        <w:t>use-value becomes subsumed by exchange- value</w:t>
      </w:r>
      <w:r w:rsidRPr="00223414">
        <w:rPr>
          <w:sz w:val="16"/>
        </w:rPr>
        <w:t xml:space="preserve"> for the manufacturers of such drugs, and as use-value becomes expanded for consumers beyond their immediate medicinal qualities to those involving happiness and “the good life.” Just as DTCA requests labor on behalf of individual consumers by encouraging them to personally 50 connect with an advertisement, it is evident that consumers are simultaneously performing different types of labor that directly benefit the pharmaceutical industry as a whole. A Smythian Analysis: DTCA Consumers as Laborers Credited with igniting the “blind spot debate” in 1977, Dallas Smythe considers two important metaphors in his important piece On the Audience Commodity and its Work: audience as commodity and audience as labor. Smythe dismisses the idea that media are best studied by analyzing texts to discover the ideology that produces society’s consciousness. He claims that the “blind spot” of Western Marxism involves its dismissal of media industries and he provides his own theory that the media are central to Marxist concepts, manufacturing only one commodity: the audience (Meehan, 2002). In this sense, media industries are assembling and selling audiences to advertisers, leaving content and programming as a secondary “free lunch” (Smythe, 1980). By media industries selling their audiences to advertisers, the implication is that advertisers want to maximize the utility of this commodity. Audiences give their attention and time, being paid through content other than the advertisement (“free lunch”), and Smythe says that audiences are in fact working when they watch these advertisements, with their payment being the television content itself (Smythe, 1980). There is an additional work performed by the audience member as they incorporate these products into their leisure time, so individuals are also laboring whenever a product or advertisement is part of their consciousness. As Smythe considers audience time as a form of labor, he claims that television is always asking viewers to be working, interpolating individuals as “consumer-oriented laborers” that integrate products seen in advertisements into their everyday lives. Smythe also critiques the media industries for cheating on their payment to audiences by requiring them to accept the cost of buying the equipment needed for content – televisions, radios, cable bills, electric bills, and so on. Advertising affects the logic of programming as well, as the programs often being watched are television shows structured around advertising, including messages that promote consumption and product placement (Smythe, 1980). Beyond these forms of labor, this dissertation argues that an important form of work being performed by consumers of DTCA relates to the meaning- making abilities of advertisements. Consumers are responsible for adding, or at least solidifying, meaning to prescription drugs being advertised once they inquire about these brands with their physicians. By utilizing signifiers and signifying practices that reveal underlying dimensions of a possible autonomy for a patient, </w:t>
      </w:r>
      <w:r w:rsidRPr="00DD2D90">
        <w:rPr>
          <w:rStyle w:val="StyleUnderline"/>
        </w:rPr>
        <w:t xml:space="preserve">DTCA acts as a mechanism that essentially leaves consumers </w:t>
      </w:r>
      <w:r w:rsidRPr="00DD2D90">
        <w:rPr>
          <w:rStyle w:val="Emphasis"/>
        </w:rPr>
        <w:t>blind</w:t>
      </w:r>
      <w:r w:rsidRPr="00223414">
        <w:rPr>
          <w:sz w:val="16"/>
        </w:rPr>
        <w:t xml:space="preserve">, as their request for specific brands of prescription drugs when meeting with physicians essentially leaves them blinded to their aiding in </w:t>
      </w:r>
      <w:r w:rsidRPr="00DD2D90">
        <w:rPr>
          <w:rStyle w:val="StyleUnderline"/>
        </w:rPr>
        <w:t>masking the role of drug companies if they act in the ways these advertisements suggest they should</w:t>
      </w:r>
      <w:r w:rsidRPr="00223414">
        <w:rPr>
          <w:sz w:val="16"/>
        </w:rPr>
        <w:t xml:space="preserve">. According to Smythe (1980), advertising has the power to do multiple things. First, it places value on audiences, labeling them as “demographics,” and giving some audiences more value than others. It also impacts the quantity of content, often accelerating the pace of media. Advertisements have to be flashy and entertaining in order to receive audience attention, so television content must do the same in order to keep up with the industry. Advertising also trivializes content, allowing audiences to take their media less seriously. Above all else, advertising provides society with less critical media coverage, as media industries take a pro- advertising stance and often integrate products in their coverage. </w:t>
      </w:r>
      <w:r w:rsidRPr="00DD2D90">
        <w:rPr>
          <w:rStyle w:val="StyleUnderline"/>
        </w:rPr>
        <w:t>The idea of audience as commodity is built into our logic of</w:t>
      </w:r>
      <w:r w:rsidRPr="00223414">
        <w:rPr>
          <w:sz w:val="16"/>
        </w:rPr>
        <w:t xml:space="preserve"> traditional and new </w:t>
      </w:r>
      <w:r w:rsidRPr="00DD2D90">
        <w:rPr>
          <w:rStyle w:val="StyleUnderline"/>
        </w:rPr>
        <w:t>media</w:t>
      </w:r>
      <w:r w:rsidRPr="00223414">
        <w:rPr>
          <w:sz w:val="16"/>
        </w:rPr>
        <w:t xml:space="preserve">, with new media being dependent on audiences for its existence. Audiences can now be media creators themselves, which simultaneously provides data points about their identities to advertising researchers (Smythe, 1980). A “Smythian” analysis in the context of DTCA is appropriate, as consumers are doing “work” by engaging with the advertisements, thinking about the meanings of brands and talking about them with their friends and family. In addition, beyond participating in the work involved to pay attention to these forms of promotion, with DTC advertisements, consumers take the additional steps of visiting a physician to ask about a particular drug or request it outright. In this sense, </w:t>
      </w:r>
      <w:r w:rsidRPr="00DD2D90">
        <w:rPr>
          <w:rStyle w:val="StyleUnderline"/>
        </w:rPr>
        <w:t>DTCA</w:t>
      </w:r>
      <w:r w:rsidRPr="00223414">
        <w:rPr>
          <w:sz w:val="16"/>
        </w:rPr>
        <w:t xml:space="preserve"> is an industry that </w:t>
      </w:r>
      <w:r w:rsidRPr="00DD2D90">
        <w:rPr>
          <w:rStyle w:val="StyleUnderline"/>
        </w:rPr>
        <w:t>requires its viewing audience to become labor-performing consumers themselves</w:t>
      </w:r>
      <w:r w:rsidRPr="00223414">
        <w:rPr>
          <w:sz w:val="16"/>
        </w:rPr>
        <w:t xml:space="preserve">, seeing that by asking a physician about a drug, </w:t>
      </w:r>
      <w:r w:rsidRPr="00DD2D90">
        <w:rPr>
          <w:rStyle w:val="StyleUnderline"/>
        </w:rPr>
        <w:t>they</w:t>
      </w:r>
      <w:r w:rsidRPr="00223414">
        <w:rPr>
          <w:sz w:val="16"/>
        </w:rPr>
        <w:t xml:space="preserve"> essentially </w:t>
      </w:r>
      <w:r w:rsidRPr="00DD2D90">
        <w:rPr>
          <w:rStyle w:val="StyleUnderline"/>
        </w:rPr>
        <w:t>become a new form of promotion for the drug itself</w:t>
      </w:r>
      <w:r w:rsidRPr="00223414">
        <w:rPr>
          <w:sz w:val="16"/>
        </w:rPr>
        <w:t>, further “</w:t>
      </w:r>
      <w:r w:rsidRPr="00DD2D90">
        <w:rPr>
          <w:rStyle w:val="StyleUnderline"/>
        </w:rPr>
        <w:t>advocating” to a physician their willingness to consume</w:t>
      </w:r>
      <w:r w:rsidRPr="00223414">
        <w:rPr>
          <w:sz w:val="16"/>
        </w:rPr>
        <w:t xml:space="preserve">. The logic of the system of DTCA, then, is that </w:t>
      </w:r>
      <w:r w:rsidRPr="00DD2D90">
        <w:rPr>
          <w:rStyle w:val="StyleUnderline"/>
        </w:rPr>
        <w:t>consumers are molded into salespersons for these drugs</w:t>
      </w:r>
      <w:r w:rsidRPr="00223414">
        <w:rPr>
          <w:sz w:val="16"/>
        </w:rPr>
        <w:t xml:space="preserve">, ultimately becoming the main sales force, as these </w:t>
      </w:r>
      <w:r w:rsidRPr="00DD2D90">
        <w:rPr>
          <w:rStyle w:val="StyleUnderline"/>
          <w:highlight w:val="green"/>
        </w:rPr>
        <w:t>advertisements become an intermediary between physicians and patients</w:t>
      </w:r>
      <w:r w:rsidRPr="00223414">
        <w:rPr>
          <w:sz w:val="16"/>
        </w:rPr>
        <w:t xml:space="preserve">. Critical Advertising Studies and commodity fetishism aide in the development of DTCA research particularly in its ability to address the pharmaceutical industry’s impact on the meaning-making practices of individuals – but also addresses implications beyond purely persuasive appeals -- and how consumers are encouraged to conceptualize health in a very particular way, most often while being offered a sense of pseudo- individuality and pseudo- autonomy. The theoretical foundations and social processes from Critical Advertising Studies and commodity fetishism can be combined with those of two other theoretical concepts -- medicalization and pharmaceuticalization -- to critique the nuances present in the content of DTC advertisements. Medicalization: A Historical Explanation and a Consumerist Discourse Perspective Although numerous key stakeholders comprise the field of health care, patients and citizens invested in their health, in particular, have been the group that have been most affected by changes in the organization of health care, transitions in the acquisition of medical knowledge, and volatile market events. Much of the dilemma in understanding such changes and the citizen’s role in them involves how changes and current health structures and practices are articulated. An analysis of professional health care thus requires an approach emphasizing discursive practices in order to learn how the cultural practices and meanings of health are produced and understood. Discourse can be understood broadly as a series of symbolized actions, not merely representations, which further constitute and solidify cultural logics and practices; critical-cultural work emphasizes the understanding of such discursive constructions, including ones that are multi-modal, narrativized, and offer constructions of multiple health care elements, as is the case with US pharmaceutical advertisements. But such health discourses are embedded in a history of social constructions and institutional dynamic involving western medicine. One notably important historical dynamic is </w:t>
      </w:r>
      <w:r w:rsidRPr="00DD2D90">
        <w:rPr>
          <w:rStyle w:val="Emphasis"/>
        </w:rPr>
        <w:t>medicalization</w:t>
      </w:r>
      <w:r w:rsidRPr="00223414">
        <w:rPr>
          <w:sz w:val="16"/>
        </w:rPr>
        <w:t xml:space="preserve">, a concept associated with work from several disciplines. Especially influential in the medicalization literature is Michel Foucault. First published in 1963, Foucault’s The Birth of the Clinic traces changes in medicine, the medical profession, and the clinic (referencing teaching hospitals), focusing primarily on the social and political changes brought about after the French Revolution in 1789. The central theme of Foucault’s work is his conception of the “clinical gaze” (or medical gaze), which can be partly summarized as the separation by the medical profession of the patient, whereby the body becomes a separate unit from an individual’s identity or being (Foucault, 1994). Foucault reflects on important historical events or shifts in order to analyze the structures of medicine, treating each as a discursive system, insisting that medical discourse is action and not merely representation (Foucault, 2010). Foucault’s key objective is to address the processes by which cultural and scientific meanings of the medical profession have been produced and understood over time (Long, 1992). Foucault is adamant in his description of the doctor as having a political role, claiming that doctors became “politicized administrators” during the nineteenth century, making value judgments on behalf of patients about their care (Foucault, 1994). Foucault’s text continues by marking the point at which the discursive formulation of medical knowledge took place, citing teaching hospitals (clinics) as areas that first allowed the patient to become de-centered (Foucault, 1994). At the beginning of the Renaissance period, education was seen as a positive value for enlightenment, furthering the practice of training in the medical profession as a means for acquiring knowledge (Peerson, 1995). The formation of this clinical method is directly related to the medical gaze, as historically patients became viewed more as teaching objects and less as individuals. At this point, the medical gaze began to define all possible health knowledge, whereby “the intervention of techniques presenting problems of measurement, substance, or composition at the level of invisible (my emphasis) structures is rejected” (Foucault, 1994). The development of the teaching clinic was pivotal in constructing the medical gaze – since the eighteenth century, clinical evidence has been obtained by a doctor gazing at a patient, rather than viewing their body as one which is holistic with personhood both in processes and experiences (Long, 1992). In the clinical setting, patients become live examples of disease, classified as transitory objects that doctors merely happen to come in contact with (Machado, 2012). These insights, I argue, </w:t>
      </w:r>
      <w:r w:rsidRPr="00DD2D90">
        <w:rPr>
          <w:rStyle w:val="StyleUnderline"/>
        </w:rPr>
        <w:t>can be</w:t>
      </w:r>
      <w:r w:rsidRPr="00223414">
        <w:rPr>
          <w:sz w:val="16"/>
        </w:rPr>
        <w:t xml:space="preserve"> directly </w:t>
      </w:r>
      <w:r w:rsidRPr="00DD2D90">
        <w:rPr>
          <w:rStyle w:val="StyleUnderline"/>
        </w:rPr>
        <w:t>traced to</w:t>
      </w:r>
      <w:r w:rsidRPr="00223414">
        <w:rPr>
          <w:sz w:val="16"/>
        </w:rPr>
        <w:t xml:space="preserve"> developments in </w:t>
      </w:r>
      <w:r w:rsidRPr="00DD2D90">
        <w:rPr>
          <w:rStyle w:val="StyleUnderline"/>
        </w:rPr>
        <w:t>the pharmaceutical industry</w:t>
      </w:r>
      <w:r w:rsidRPr="00223414">
        <w:rPr>
          <w:sz w:val="16"/>
        </w:rPr>
        <w:t xml:space="preserve"> today, as patients are still positioned as live examples of disease, </w:t>
      </w:r>
      <w:r w:rsidRPr="00DD2D90">
        <w:rPr>
          <w:rStyle w:val="StyleUnderline"/>
        </w:rPr>
        <w:t xml:space="preserve">with </w:t>
      </w:r>
      <w:r w:rsidRPr="00DD2D90">
        <w:rPr>
          <w:rStyle w:val="StyleUnderline"/>
          <w:highlight w:val="green"/>
        </w:rPr>
        <w:t>ad</w:t>
      </w:r>
      <w:r w:rsidRPr="00DD2D90">
        <w:rPr>
          <w:rStyle w:val="StyleUnderline"/>
        </w:rPr>
        <w:t xml:space="preserve">vertisements being created and disseminated that </w:t>
      </w:r>
      <w:r w:rsidRPr="00DD2D90">
        <w:rPr>
          <w:rStyle w:val="StyleUnderline"/>
          <w:highlight w:val="green"/>
        </w:rPr>
        <w:t>frame consumers with idealized versions of</w:t>
      </w:r>
      <w:r w:rsidRPr="00DD2D90">
        <w:rPr>
          <w:rStyle w:val="StyleUnderline"/>
        </w:rPr>
        <w:t xml:space="preserve"> </w:t>
      </w:r>
      <w:r w:rsidRPr="00DD2D90">
        <w:rPr>
          <w:rStyle w:val="StyleUnderline"/>
          <w:highlight w:val="green"/>
        </w:rPr>
        <w:t>disease</w:t>
      </w:r>
      <w:r w:rsidRPr="00DD2D90">
        <w:rPr>
          <w:rStyle w:val="StyleUnderline"/>
        </w:rPr>
        <w:t xml:space="preserve"> or illness</w:t>
      </w:r>
      <w:r w:rsidRPr="00223414">
        <w:rPr>
          <w:sz w:val="16"/>
        </w:rPr>
        <w:t xml:space="preserve">. </w:t>
      </w:r>
      <w:r w:rsidRPr="00DD2D90">
        <w:rPr>
          <w:rStyle w:val="StyleUnderline"/>
          <w:highlight w:val="green"/>
        </w:rPr>
        <w:t>The discursive construction of</w:t>
      </w:r>
      <w:r w:rsidRPr="00DD2D90">
        <w:rPr>
          <w:rStyle w:val="StyleUnderline"/>
        </w:rPr>
        <w:t xml:space="preserve"> </w:t>
      </w:r>
      <w:r w:rsidRPr="00DD2D90">
        <w:rPr>
          <w:rStyle w:val="StyleUnderline"/>
          <w:highlight w:val="green"/>
        </w:rPr>
        <w:t>health</w:t>
      </w:r>
      <w:r w:rsidRPr="00DD2D90">
        <w:rPr>
          <w:rStyle w:val="StyleUnderline"/>
        </w:rPr>
        <w:t xml:space="preserve"> </w:t>
      </w:r>
      <w:r w:rsidRPr="00223414">
        <w:rPr>
          <w:sz w:val="16"/>
        </w:rPr>
        <w:t xml:space="preserve">can be thought of as the “systematic intersection” of two series of information (one coming from the patient, the other coming from the doctor), where the intersection reveals an individual fact, or figure of knowledge, expanding the doctor-patient relationship in a way that does not often permit knowledge of the authority to be questioned (Foucault, 1994). This relates to Foucault’s conception of the “epistemic change” or “epistemic break” in medical knowledge itself, where the use of corpses in teaching hospitals changed the structure of the profession and its focus. The epistemic belief in using corpses as cadavers in teaching hospitals was that it could teach a more localized form of medicine. With the introduction of these corpses, the “epistemic change” resulted in that, rather than clinicians focusing on the history of a patient and their essential being, they focused on the geography of medicine (i.e. specifically where someone’s body is being affected) (Foucault, 1994). This created a more nominalist approach to medicine, robbing patients of an experience with their physician that emphasized history and holistic approaches to care. Medical knowledge transformed in a way that emphasized visible problems in the bodies of patients rather than inclusive, broader approaches to care. The analysis of these localized problems by physicians meant that a new epistemology had been accepted – one that permitted the view of medicine as a discipline dependent upon the rationalized comparison of “healthy” indicators to “unhealthy” indicators to be accepted as the standard for medical knowledge (Machado, 2012). An important component of the medical gaze is its subjective and ideologically driven nature (Peerson, 1995). Foucault attempts to dispel the myth that the medical gaze is subconscious on behalf of the doctor – instead, he claims that medical discourse has been reciprocated for so long that it is now commonplace for doctors to view patients as two separate beings: a set of symptoms (or a case) and an individual. As I argue, the pharmaceutical industry presents itself as a form of cultural authority equal to the physician however, viewing patients as sets of symptoms only, ultimately degrading conceptions of true individuality. This form of presentation is not unlike much of the authority and weight given to quantitative over qualitative research in the field of health communication, as more generalizable concepts are typically revered as having more insight, while the nuanced and detailed interpretations offered by highlighting the individual experiences or stories of patients in the health care settings becomes overshadowed. While the process of medicalization is often attributed to Foucault, the theoretical roots of the concept have been strongly influenced by the sociologist Ivan Illich, who coined the theory of Social Iatrogenesis. Social Iatrogensis theorizes that the structures of medicine have </w:t>
      </w:r>
      <w:r w:rsidRPr="00DD2D90">
        <w:rPr>
          <w:rStyle w:val="StyleUnderline"/>
          <w:highlight w:val="green"/>
        </w:rPr>
        <w:t>created</w:t>
      </w:r>
      <w:r w:rsidRPr="00DD2D90">
        <w:rPr>
          <w:rStyle w:val="StyleUnderline"/>
        </w:rPr>
        <w:t xml:space="preserve"> health impairments</w:t>
      </w:r>
      <w:r w:rsidRPr="00223414">
        <w:rPr>
          <w:sz w:val="16"/>
        </w:rPr>
        <w:t xml:space="preserve"> (i.e. unhappiness, social anxiety) that are made more visible to the public via socio-economic transformations in health care (Illich, 1973). This means that </w:t>
      </w:r>
      <w:r w:rsidRPr="00DD2D90">
        <w:rPr>
          <w:rStyle w:val="StyleUnderline"/>
          <w:highlight w:val="green"/>
        </w:rPr>
        <w:t>the proliferation of disease</w:t>
      </w:r>
      <w:r w:rsidRPr="00DD2D90">
        <w:rPr>
          <w:rStyle w:val="StyleUnderline"/>
        </w:rPr>
        <w:t xml:space="preserve"> is exacerbated by the extension of medical categories on everyday life</w:t>
      </w:r>
      <w:r w:rsidRPr="00223414">
        <w:rPr>
          <w:sz w:val="16"/>
        </w:rPr>
        <w:t xml:space="preserve">, and this project is seeking to explicate how pharmaceutical advertisements feature content that may contribute to this process. For example, many pharmaceutical advertisements feature individuals who have intolerance for sadness, which has increased in society alongside increased diagnoses of depression (Horwitz &amp; Wakefield, 2009). As described above, traditional views on medicalization come from the field of sociology and approach the construction of disease, highlighting how </w:t>
      </w:r>
      <w:r w:rsidRPr="00DD2D90">
        <w:rPr>
          <w:rStyle w:val="StyleUnderline"/>
        </w:rPr>
        <w:t>medical expansion</w:t>
      </w:r>
      <w:r w:rsidRPr="00223414">
        <w:rPr>
          <w:sz w:val="16"/>
        </w:rPr>
        <w:t xml:space="preserve"> has </w:t>
      </w:r>
      <w:r w:rsidRPr="00DD2D90">
        <w:rPr>
          <w:rStyle w:val="StyleUnderline"/>
        </w:rPr>
        <w:t>permitted an</w:t>
      </w:r>
      <w:r w:rsidRPr="00223414">
        <w:rPr>
          <w:sz w:val="16"/>
        </w:rPr>
        <w:t xml:space="preserve"> </w:t>
      </w:r>
      <w:r w:rsidRPr="00DD2D90">
        <w:rPr>
          <w:rStyle w:val="StyleUnderline"/>
        </w:rPr>
        <w:t>increased sense of control over the lives of individuals and an expanded definition of what is “illness</w:t>
      </w:r>
      <w:r w:rsidRPr="00223414">
        <w:rPr>
          <w:sz w:val="16"/>
        </w:rPr>
        <w:t xml:space="preserve">” (Williams, Gabe &amp; Davis, 2008). While the utilization of the theory of medicalization is important in order to describe sociological constructions of health, it is my intent to offer a mass communications/media studies approach that can focus more on the constructions of health, patients, and pharmaceutical drugs via media platforms. More traditional health communication studies have positioned medicine as a form of cultural authority that is apolitical, meaning its only existence is to improve the health of citizens (McAllister, 1992). Medicalization is an attempt to deconstruct these notions, as it highlights how </w:t>
      </w:r>
      <w:r w:rsidRPr="00DD2D90">
        <w:rPr>
          <w:rStyle w:val="StyleUnderline"/>
        </w:rPr>
        <w:t xml:space="preserve">medical ideology has intersected into our everyday lives, often </w:t>
      </w:r>
      <w:r w:rsidRPr="00DD2D90">
        <w:rPr>
          <w:rStyle w:val="StyleUnderline"/>
          <w:highlight w:val="green"/>
        </w:rPr>
        <w:t>allowing</w:t>
      </w:r>
      <w:r w:rsidRPr="00DD2D90">
        <w:rPr>
          <w:rStyle w:val="StyleUnderline"/>
        </w:rPr>
        <w:t xml:space="preserve"> the “difficulties people have” to be transformed into illness</w:t>
      </w:r>
      <w:r w:rsidRPr="00223414">
        <w:rPr>
          <w:sz w:val="16"/>
        </w:rPr>
        <w:t xml:space="preserve">, disease, or instances </w:t>
      </w:r>
      <w:r w:rsidRPr="00DD2D90">
        <w:rPr>
          <w:rStyle w:val="StyleUnderline"/>
        </w:rPr>
        <w:t>that require professional medical intervention</w:t>
      </w:r>
      <w:r w:rsidRPr="00223414">
        <w:rPr>
          <w:sz w:val="16"/>
        </w:rPr>
        <w:t xml:space="preserve"> (McAllister, 1992; Engelhardt, 1986). </w:t>
      </w:r>
      <w:r w:rsidRPr="00DD2D90">
        <w:rPr>
          <w:rStyle w:val="StyleUnderline"/>
        </w:rPr>
        <w:t>Media discourses about health</w:t>
      </w:r>
      <w:r w:rsidRPr="00223414">
        <w:rPr>
          <w:sz w:val="16"/>
        </w:rPr>
        <w:t xml:space="preserve"> and medicine can </w:t>
      </w:r>
      <w:r w:rsidRPr="00DD2D90">
        <w:rPr>
          <w:rStyle w:val="StyleUnderline"/>
        </w:rPr>
        <w:t>serve</w:t>
      </w:r>
      <w:r w:rsidRPr="00223414">
        <w:rPr>
          <w:sz w:val="16"/>
        </w:rPr>
        <w:t xml:space="preserve">, then, </w:t>
      </w:r>
      <w:r w:rsidRPr="00DD2D90">
        <w:rPr>
          <w:rStyle w:val="StyleUnderline"/>
        </w:rPr>
        <w:t>as a source for</w:t>
      </w:r>
      <w:r w:rsidRPr="00223414">
        <w:rPr>
          <w:sz w:val="16"/>
        </w:rPr>
        <w:t xml:space="preserve"> or against </w:t>
      </w:r>
      <w:r w:rsidRPr="00DD2D90">
        <w:rPr>
          <w:rStyle w:val="StyleUnderline"/>
        </w:rPr>
        <w:t>medicalized definitions</w:t>
      </w:r>
      <w:r w:rsidRPr="00223414">
        <w:rPr>
          <w:sz w:val="16"/>
        </w:rPr>
        <w:t xml:space="preserve">. Foucault’s work influenced later work on medicalization through his emphasis on the development of medicalized perspectives and discourses and the resulting solidification of power of the medical profession. Peter Conrad (2007) also addresses the discursive formation of medicalization and its implications, defining medicalization as a process where </w:t>
      </w:r>
      <w:r w:rsidRPr="00DD2D90">
        <w:rPr>
          <w:rStyle w:val="StyleUnderline"/>
          <w:highlight w:val="green"/>
        </w:rPr>
        <w:t>non-medical problems</w:t>
      </w:r>
      <w:r w:rsidRPr="00DD2D90">
        <w:rPr>
          <w:rStyle w:val="StyleUnderline"/>
        </w:rPr>
        <w:t xml:space="preserve"> become </w:t>
      </w:r>
      <w:r w:rsidRPr="00DD2D90">
        <w:rPr>
          <w:rStyle w:val="StyleUnderline"/>
          <w:highlight w:val="green"/>
        </w:rPr>
        <w:t>defined and treated as medical problems</w:t>
      </w:r>
      <w:r w:rsidRPr="00223414">
        <w:rPr>
          <w:sz w:val="16"/>
        </w:rPr>
        <w:t xml:space="preserve">, with the key being “definition.” Medical terms must define a problem, </w:t>
      </w:r>
      <w:r w:rsidRPr="00DD2D90">
        <w:rPr>
          <w:rStyle w:val="StyleUnderline"/>
        </w:rPr>
        <w:t>allowing medical language to create a medical framework in order to treat a social problem with a form of medical intervention</w:t>
      </w:r>
      <w:r w:rsidRPr="00223414">
        <w:rPr>
          <w:sz w:val="16"/>
        </w:rPr>
        <w:t xml:space="preserve"> (Conrad, 2007). Conrad’s main point is that medicalization is a process, one that becomes enacted when phenomena become defined by medical professionals as a medical problem (Conrad, 2007). Conrad traces the sociological study of medicalization to the 1970s with its relation to the medical imperialism thesis of the 1960s, as medical professionals were characterized as agents of power -- symbolized by the influence of such professional-level groups as the American Medical Association -- seeking to maintain their social order while limiting patients based on gender, race, and socioeconomic status. The study of medicalization shifted drastically starting in the 1990s, as the structure of health care in the United States began to privilege not only physicians, but major health care industries as well. In this sense, Conrad argues, </w:t>
      </w:r>
      <w:r w:rsidRPr="00DD2D90">
        <w:rPr>
          <w:rStyle w:val="StyleUnderline"/>
        </w:rPr>
        <w:t>the pharmaceutical industry has become a major stakeholder in the medicalization process</w:t>
      </w:r>
      <w:r w:rsidRPr="00223414">
        <w:rPr>
          <w:sz w:val="16"/>
        </w:rPr>
        <w:t xml:space="preserve">, as managed </w:t>
      </w:r>
      <w:r w:rsidRPr="00DD2D90">
        <w:rPr>
          <w:rStyle w:val="StyleUnderline"/>
        </w:rPr>
        <w:t>care</w:t>
      </w:r>
      <w:r w:rsidRPr="00223414">
        <w:rPr>
          <w:sz w:val="16"/>
        </w:rPr>
        <w:t xml:space="preserve"> often </w:t>
      </w:r>
      <w:r w:rsidRPr="00DD2D90">
        <w:rPr>
          <w:rStyle w:val="StyleUnderline"/>
        </w:rPr>
        <w:t>covers</w:t>
      </w:r>
      <w:r w:rsidRPr="00223414">
        <w:rPr>
          <w:sz w:val="16"/>
        </w:rPr>
        <w:t xml:space="preserve"> prescription </w:t>
      </w:r>
      <w:r w:rsidRPr="00DD2D90">
        <w:rPr>
          <w:rStyle w:val="StyleUnderline"/>
        </w:rPr>
        <w:t>drugs as</w:t>
      </w:r>
      <w:r w:rsidRPr="00223414">
        <w:rPr>
          <w:sz w:val="16"/>
        </w:rPr>
        <w:t xml:space="preserve"> </w:t>
      </w:r>
      <w:r w:rsidRPr="00DD2D90">
        <w:rPr>
          <w:rStyle w:val="StyleUnderline"/>
        </w:rPr>
        <w:t>remedies</w:t>
      </w:r>
      <w:r w:rsidRPr="00223414">
        <w:rPr>
          <w:sz w:val="16"/>
        </w:rPr>
        <w:t xml:space="preserve"> for ailments </w:t>
      </w:r>
      <w:r w:rsidRPr="00DD2D90">
        <w:rPr>
          <w:rStyle w:val="StyleUnderline"/>
        </w:rPr>
        <w:t>as opposed to</w:t>
      </w:r>
      <w:r w:rsidRPr="00223414">
        <w:rPr>
          <w:sz w:val="16"/>
        </w:rPr>
        <w:t xml:space="preserve"> providing </w:t>
      </w:r>
      <w:r w:rsidRPr="00DD2D90">
        <w:rPr>
          <w:rStyle w:val="StyleUnderline"/>
        </w:rPr>
        <w:t>long-term psychotherapeutic interventions</w:t>
      </w:r>
      <w:r w:rsidRPr="00223414">
        <w:rPr>
          <w:sz w:val="16"/>
        </w:rPr>
        <w:t xml:space="preserve">. Conrad’s work pays homage to Foucault’s medical gaze, arguing that the process of medicalization includes the application of medical treatments and solutions to human problems, but as also including something much deeper – the social control aspects of medicalization which include discourse and subjectivity (Conrad, 2007). Interestingly, Conrad also uses Foucault’s medical gaze to point to one of the largest problems he currently sees in health care – the ways in which </w:t>
      </w:r>
      <w:r w:rsidRPr="00DD2D90">
        <w:rPr>
          <w:rStyle w:val="StyleUnderline"/>
          <w:highlight w:val="green"/>
        </w:rPr>
        <w:t>medicalization too narrowly emphasizes individual problems, while ignoring</w:t>
      </w:r>
      <w:r w:rsidRPr="00DD2D90">
        <w:rPr>
          <w:rStyle w:val="StyleUnderline"/>
        </w:rPr>
        <w:t xml:space="preserve"> larger </w:t>
      </w:r>
      <w:r w:rsidRPr="00DD2D90">
        <w:rPr>
          <w:rStyle w:val="StyleUnderline"/>
          <w:highlight w:val="green"/>
        </w:rPr>
        <w:t>social</w:t>
      </w:r>
      <w:r w:rsidRPr="00DD2D90">
        <w:rPr>
          <w:rStyle w:val="StyleUnderline"/>
        </w:rPr>
        <w:t xml:space="preserve"> and environmental </w:t>
      </w:r>
      <w:r w:rsidRPr="00DD2D90">
        <w:rPr>
          <w:rStyle w:val="StyleUnderline"/>
          <w:highlight w:val="green"/>
        </w:rPr>
        <w:t>effects</w:t>
      </w:r>
      <w:r w:rsidRPr="00223414">
        <w:rPr>
          <w:sz w:val="16"/>
        </w:rPr>
        <w:t xml:space="preserve">. This seemingly has strong implications for the study at hand, suggesting, for example, that the health care system in the United States calls for individualized medical interventions in the form of prescription drugs, rather than more collective or social solutions to problems, </w:t>
      </w:r>
      <w:r w:rsidRPr="00DD2D90">
        <w:rPr>
          <w:rStyle w:val="StyleUnderline"/>
        </w:rPr>
        <w:t>increasing the amount of medical social control over human behavior</w:t>
      </w:r>
      <w:r w:rsidRPr="00223414">
        <w:rPr>
          <w:sz w:val="16"/>
        </w:rPr>
        <w:t xml:space="preserve">. The recent corporatization of medicine Conrad describes as a discursive process of the patient becoming modified into “consumer.” As the organization of medical care has shifted, patients have had to “shop around” for their doctors in an attempt to discover what their health insurance will cover, prompting them to act more as buyers seeking out medical services rather than patients seeking quality care. In this sense, modern capitalism and sales discourse promoting the solutions of copyright protected medical technologies and drugs have expanded medicalization. While Conrad offers great explanations of the ways in which </w:t>
      </w:r>
      <w:r w:rsidRPr="00DD2D90">
        <w:rPr>
          <w:rStyle w:val="StyleUnderline"/>
        </w:rPr>
        <w:t>pharmaceutical</w:t>
      </w:r>
      <w:r w:rsidRPr="00223414">
        <w:rPr>
          <w:sz w:val="16"/>
        </w:rPr>
        <w:t xml:space="preserve"> drugs enter the doctor-patient relationship, his emphasis is on the creation, promotion, and application of particular medical categories to human problems and life events (Conrad, 2007). Current </w:t>
      </w:r>
      <w:r w:rsidRPr="00DD2D90">
        <w:rPr>
          <w:rStyle w:val="StyleUnderline"/>
        </w:rPr>
        <w:t>representations of medical knowledge are</w:t>
      </w:r>
      <w:r w:rsidRPr="00223414">
        <w:rPr>
          <w:sz w:val="16"/>
        </w:rPr>
        <w:t xml:space="preserve"> </w:t>
      </w:r>
      <w:r w:rsidRPr="00DD2D90">
        <w:rPr>
          <w:rStyle w:val="Emphasis"/>
        </w:rPr>
        <w:t>extremely influential</w:t>
      </w:r>
      <w:r w:rsidRPr="00223414">
        <w:rPr>
          <w:sz w:val="16"/>
        </w:rPr>
        <w:t xml:space="preserve"> </w:t>
      </w:r>
      <w:r w:rsidRPr="00DD2D90">
        <w:rPr>
          <w:rStyle w:val="StyleUnderline"/>
        </w:rPr>
        <w:t>in shaping</w:t>
      </w:r>
      <w:r w:rsidRPr="00223414">
        <w:rPr>
          <w:sz w:val="16"/>
        </w:rPr>
        <w:t xml:space="preserve"> </w:t>
      </w:r>
      <w:r w:rsidRPr="00DD2D90">
        <w:rPr>
          <w:rStyle w:val="StyleUnderline"/>
        </w:rPr>
        <w:t>current understandings of</w:t>
      </w:r>
      <w:r w:rsidRPr="00223414">
        <w:rPr>
          <w:sz w:val="16"/>
        </w:rPr>
        <w:t xml:space="preserve"> activities associated with </w:t>
      </w:r>
      <w:r w:rsidRPr="00DD2D90">
        <w:rPr>
          <w:rStyle w:val="StyleUnderline"/>
        </w:rPr>
        <w:t>health</w:t>
      </w:r>
      <w:r w:rsidRPr="00223414">
        <w:rPr>
          <w:sz w:val="16"/>
        </w:rPr>
        <w:t xml:space="preserve"> </w:t>
      </w:r>
      <w:r w:rsidRPr="00DD2D90">
        <w:rPr>
          <w:rStyle w:val="StyleUnderline"/>
        </w:rPr>
        <w:t>care</w:t>
      </w:r>
      <w:r w:rsidRPr="00223414">
        <w:rPr>
          <w:sz w:val="16"/>
        </w:rPr>
        <w:t xml:space="preserve"> professions today. According to Foucault (1994), the development of the clinical field of medicine permitted a discourse to be created and perpetuated whereby the patient became an “endlessly reproducible fact” to be found in all patients suffering in a similar way. Here, the plurality of observations becomes a progressive convergence where patients become classified according to their symptoms, regardless of potential variance of symptoms in the case of each unique patient (Foucault, 1994). This concept relates directly to the pharmaceutical industry’s advertisements, as each advertisement is required by the FDA to list both the symptoms for which a drug can be used, and also potential side effects which may result from taking a particular drug. Beyond merely a glance, the medical gaze includes both a hearing gaze and a speaking gaze, where doctors represent a moment of balance between speech and spectacle. As patients are framed as objects, doctors are framed as authority figures with unlimited medical knowledge – as a result, the medical gaze is more than just observation, as it belongs to an individual who is supported and justified by the institution in which it works, complete with the power to make decisions and intervene in health care treatments. Foucault’s work is a helpful foundation for analyzing the discursive approaches to how patients and medical professionals are framed in pharmaceutical advertisements. </w:t>
      </w:r>
      <w:r w:rsidRPr="00DD2D90">
        <w:rPr>
          <w:rStyle w:val="StyleUnderline"/>
        </w:rPr>
        <w:t xml:space="preserve">The medical gaze allows the </w:t>
      </w:r>
      <w:r w:rsidRPr="00DD2D90">
        <w:rPr>
          <w:rStyle w:val="StyleUnderline"/>
          <w:highlight w:val="green"/>
        </w:rPr>
        <w:t>pharma</w:t>
      </w:r>
      <w:r w:rsidRPr="00DD2D90">
        <w:rPr>
          <w:rStyle w:val="StyleUnderline"/>
        </w:rPr>
        <w:t xml:space="preserve">ceutical industry to </w:t>
      </w:r>
      <w:r w:rsidRPr="00DD2D90">
        <w:rPr>
          <w:rStyle w:val="StyleUnderline"/>
          <w:highlight w:val="green"/>
        </w:rPr>
        <w:t>position itself as an authority</w:t>
      </w:r>
      <w:r w:rsidRPr="00DD2D90">
        <w:rPr>
          <w:rStyle w:val="StyleUnderline"/>
        </w:rPr>
        <w:t xml:space="preserve"> figure in medical knowledge</w:t>
      </w:r>
      <w:r w:rsidRPr="00223414">
        <w:rPr>
          <w:sz w:val="16"/>
        </w:rPr>
        <w:t xml:space="preserve">, meaning that </w:t>
      </w:r>
      <w:r w:rsidRPr="00DD2D90">
        <w:rPr>
          <w:rStyle w:val="StyleUnderline"/>
        </w:rPr>
        <w:t>the industry</w:t>
      </w:r>
      <w:r w:rsidRPr="00223414">
        <w:rPr>
          <w:sz w:val="16"/>
        </w:rPr>
        <w:t xml:space="preserve"> itself </w:t>
      </w:r>
      <w:r w:rsidRPr="00DD2D90">
        <w:rPr>
          <w:rStyle w:val="StyleUnderline"/>
        </w:rPr>
        <w:t>has the power to see an underlying</w:t>
      </w:r>
      <w:r w:rsidRPr="00223414">
        <w:rPr>
          <w:sz w:val="16"/>
        </w:rPr>
        <w:t xml:space="preserve"> reality or “</w:t>
      </w:r>
      <w:r w:rsidRPr="00DD2D90">
        <w:rPr>
          <w:rStyle w:val="StyleUnderline"/>
        </w:rPr>
        <w:t>hidden truth</w:t>
      </w:r>
      <w:r w:rsidRPr="00223414">
        <w:rPr>
          <w:sz w:val="16"/>
        </w:rPr>
        <w:t xml:space="preserve">.” The “hidden truth” here is that </w:t>
      </w:r>
      <w:r w:rsidRPr="00DD2D90">
        <w:rPr>
          <w:rStyle w:val="StyleUnderline"/>
        </w:rPr>
        <w:t>pharmaceutical advertisements sell remedies for patients in a way that offers each consumer a sense of pseudo- individuality – in the advertisements themselves, “</w:t>
      </w:r>
      <w:r w:rsidRPr="00DD2D90">
        <w:rPr>
          <w:rStyle w:val="StyleUnderline"/>
          <w:highlight w:val="green"/>
        </w:rPr>
        <w:t>patients</w:t>
      </w:r>
      <w:r w:rsidRPr="00DD2D90">
        <w:rPr>
          <w:rStyle w:val="StyleUnderline"/>
        </w:rPr>
        <w:t xml:space="preserve">” (actors) </w:t>
      </w:r>
      <w:r w:rsidRPr="00DD2D90">
        <w:rPr>
          <w:rStyle w:val="StyleUnderline"/>
          <w:highlight w:val="green"/>
        </w:rPr>
        <w:t>are framed as being who</w:t>
      </w:r>
      <w:r w:rsidRPr="00DD2D90">
        <w:rPr>
          <w:rStyle w:val="StyleUnderline"/>
        </w:rPr>
        <w:t xml:space="preserve">le, complete </w:t>
      </w:r>
      <w:r w:rsidRPr="00DD2D90">
        <w:rPr>
          <w:rStyle w:val="StyleUnderline"/>
          <w:highlight w:val="green"/>
        </w:rPr>
        <w:t>individuals</w:t>
      </w:r>
      <w:r w:rsidRPr="00DD2D90">
        <w:rPr>
          <w:rStyle w:val="StyleUnderline"/>
        </w:rPr>
        <w:t xml:space="preserve">, </w:t>
      </w:r>
      <w:r w:rsidRPr="00DD2D90">
        <w:rPr>
          <w:rStyle w:val="StyleUnderline"/>
          <w:highlight w:val="green"/>
        </w:rPr>
        <w:t>more than their disease</w:t>
      </w:r>
      <w:r w:rsidRPr="00DD2D90">
        <w:rPr>
          <w:rStyle w:val="StyleUnderline"/>
        </w:rPr>
        <w:t>,</w:t>
      </w:r>
      <w:r w:rsidRPr="00223414">
        <w:rPr>
          <w:sz w:val="16"/>
        </w:rPr>
        <w:t xml:space="preserve"> symptoms, or medical ailment. In reality, </w:t>
      </w:r>
      <w:r w:rsidRPr="00DD2D90">
        <w:rPr>
          <w:rStyle w:val="StyleUnderline"/>
          <w:highlight w:val="green"/>
        </w:rPr>
        <w:t>the product</w:t>
      </w:r>
      <w:r w:rsidRPr="00DD2D90">
        <w:rPr>
          <w:rStyle w:val="StyleUnderline"/>
        </w:rPr>
        <w:t xml:space="preserve"> being sold </w:t>
      </w:r>
      <w:r w:rsidRPr="00DD2D90">
        <w:rPr>
          <w:rStyle w:val="StyleUnderline"/>
          <w:highlight w:val="green"/>
        </w:rPr>
        <w:t>is meant to treat a symptom</w:t>
      </w:r>
      <w:r w:rsidRPr="00223414">
        <w:rPr>
          <w:sz w:val="16"/>
        </w:rPr>
        <w:t xml:space="preserve"> or set of symptoms, thereby </w:t>
      </w:r>
      <w:r w:rsidRPr="00DD2D90">
        <w:rPr>
          <w:rStyle w:val="StyleUnderline"/>
          <w:highlight w:val="green"/>
        </w:rPr>
        <w:t>dismissing the</w:t>
      </w:r>
      <w:r w:rsidRPr="00DD2D90">
        <w:rPr>
          <w:rStyle w:val="StyleUnderline"/>
        </w:rPr>
        <w:t xml:space="preserve"> </w:t>
      </w:r>
      <w:r w:rsidRPr="00DD2D90">
        <w:rPr>
          <w:rStyle w:val="StyleUnderline"/>
          <w:highlight w:val="green"/>
        </w:rPr>
        <w:t>patient</w:t>
      </w:r>
      <w:r w:rsidRPr="00DD2D90">
        <w:rPr>
          <w:rStyle w:val="StyleUnderline"/>
        </w:rPr>
        <w:t xml:space="preserve"> </w:t>
      </w:r>
      <w:r w:rsidRPr="00DD2D90">
        <w:rPr>
          <w:rStyle w:val="StyleUnderline"/>
          <w:highlight w:val="green"/>
        </w:rPr>
        <w:t>as an</w:t>
      </w:r>
      <w:r w:rsidRPr="00DD2D90">
        <w:rPr>
          <w:rStyle w:val="StyleUnderline"/>
        </w:rPr>
        <w:t xml:space="preserve"> individual and ignoring their “whole self</w:t>
      </w:r>
      <w:r w:rsidRPr="00223414">
        <w:rPr>
          <w:sz w:val="16"/>
        </w:rPr>
        <w:t xml:space="preserve">”. Beyond referencing medicine’s progression away from patient-centeredness, </w:t>
      </w:r>
      <w:r w:rsidRPr="00DD2D90">
        <w:rPr>
          <w:rStyle w:val="StyleUnderline"/>
        </w:rPr>
        <w:t xml:space="preserve">medicalization positions the patient as an </w:t>
      </w:r>
      <w:r w:rsidRPr="00DD2D90">
        <w:rPr>
          <w:rStyle w:val="StyleUnderline"/>
          <w:highlight w:val="green"/>
        </w:rPr>
        <w:t>object of discourse</w:t>
      </w:r>
      <w:r w:rsidRPr="00223414">
        <w:rPr>
          <w:sz w:val="16"/>
        </w:rPr>
        <w:t xml:space="preserve"> </w:t>
      </w:r>
      <w:r w:rsidRPr="00DD2D90">
        <w:rPr>
          <w:rStyle w:val="StyleUnderline"/>
        </w:rPr>
        <w:t>which transforms into a subject</w:t>
      </w:r>
      <w:r w:rsidRPr="00223414">
        <w:rPr>
          <w:sz w:val="16"/>
        </w:rPr>
        <w:t xml:space="preserve">, a formal reorganization that permits the body </w:t>
      </w:r>
      <w:r w:rsidRPr="00DD2D90">
        <w:rPr>
          <w:rStyle w:val="StyleUnderline"/>
        </w:rPr>
        <w:t xml:space="preserve">to become </w:t>
      </w:r>
      <w:r w:rsidRPr="00DD2D90">
        <w:rPr>
          <w:rStyle w:val="StyleUnderline"/>
          <w:highlight w:val="green"/>
        </w:rPr>
        <w:t>a rhetorical signifier of disease</w:t>
      </w:r>
      <w:r w:rsidRPr="00DD2D90">
        <w:rPr>
          <w:rStyle w:val="StyleUnderline"/>
        </w:rPr>
        <w:t xml:space="preserve">, </w:t>
      </w:r>
      <w:r w:rsidRPr="00DD2D90">
        <w:rPr>
          <w:rStyle w:val="StyleUnderline"/>
          <w:highlight w:val="green"/>
        </w:rPr>
        <w:t>losing</w:t>
      </w:r>
      <w:r w:rsidRPr="00223414">
        <w:rPr>
          <w:sz w:val="16"/>
        </w:rPr>
        <w:t xml:space="preserve"> at least some component of </w:t>
      </w:r>
      <w:r w:rsidRPr="00DD2D90">
        <w:rPr>
          <w:rStyle w:val="StyleUnderline"/>
          <w:highlight w:val="green"/>
        </w:rPr>
        <w:t>individuality</w:t>
      </w:r>
      <w:r w:rsidRPr="00223414">
        <w:rPr>
          <w:sz w:val="16"/>
        </w:rPr>
        <w:t xml:space="preserve"> (Foucault, 1994). This can be interpreted as viewing the patient as a display for disease, where symptoms become more important than the ailing individual. Medicalization is more than just a process, as it also aides in defining medical knowledge within the larger field of health care. The pharmaceutical industry is successful because it does not privilege individual patients’ experiences and health cases, but rather, it assumes that countless individuals can be “boxed in” to a specific type of consumer, ultimately stripping patients of their treatment options, identity, and the personal intricacies and variations of the body. To summarize, the medical gaze can be defined as the medical perception and experience acquired by physicians following the French Revolution, yet, the medical gaze exists arguably more today than ever before (Peerson, 1995). By relying on the clinic and the use of corpses combined with observation-style methods of teaching, physicians were able to observe bodies in entirely new ways, allowing theories to be dispelled and new knowledge to be discovered. This led to those in the medical profession gaining a great deal of power and privilege, leaving little room for others to challenge their findings. Throughout this process, the perspective and experience of the patient become lost in translation, as the doctor’s judgment was more revered. The patient, then, enters a never-ending pattern of objectification, and this objectification is exacerbated by the dividing nature of social compartmentalization (Long, 1992). This objectification can be seen in the DTCA industry’s positioning of the patient in forms of marketing, as patients are featured as having control and authority over the health care decisions – yet, upon deeper analysis, these forms of autonomy are false, as prescription drugs cannot offer the necessarily and exclusive remedies for all of the categories for which they present – individuals cannot become happier or more fulfilled by taking prescription drugs, as the advertisements suggest. For the purposes of this research, medicalization can be used to explicate how pharmaceutical advertisements decontextualize popular conceptions of health, ultimately reducing what it means to be healthy as becoming equated with previous, continued representations of medical science and/or pharmaceutical drugs as forms of cultural authority. A more nuanced interpretation of this phenomenon can be explained via the theoretical foundation and social process of pharmaceuticalization. Pharmaceuticalization The theory of pharmaceuticalization has been present in sociology research for more than 20 years, yet recent work by scholars has allowed for explication of the term, referring also to the “pharmaceutical person,” and the “pharmaceutical imagination” (Abraham, 2009; Fox &amp; Ward, 2009; Marshall, 2009; Martin, 2006). Pharmaceuticalization explores society’s over-reliance or dependence on drugs (Williams, Gabe &amp; Davis, 2008). Pharmaceuticalization specifically addresses the ways in which </w:t>
      </w:r>
      <w:r w:rsidRPr="00DD2D90">
        <w:rPr>
          <w:rStyle w:val="StyleUnderline"/>
        </w:rPr>
        <w:t>pharmaceuticals have become woven into aspects of society, making the industry seem commonplace and the only option a consumer has when seeking information about their health</w:t>
      </w:r>
      <w:r w:rsidRPr="00223414">
        <w:rPr>
          <w:sz w:val="16"/>
        </w:rPr>
        <w:t xml:space="preserve">. </w:t>
      </w:r>
      <w:r w:rsidRPr="00DD2D90">
        <w:rPr>
          <w:rStyle w:val="StyleUnderline"/>
        </w:rPr>
        <w:t>DTCA</w:t>
      </w:r>
      <w:r w:rsidRPr="00223414">
        <w:rPr>
          <w:sz w:val="16"/>
        </w:rPr>
        <w:t xml:space="preserve"> </w:t>
      </w:r>
      <w:r w:rsidRPr="00DD2D90">
        <w:rPr>
          <w:rStyle w:val="StyleUnderline"/>
        </w:rPr>
        <w:t>has been</w:t>
      </w:r>
      <w:r w:rsidRPr="00223414">
        <w:rPr>
          <w:sz w:val="16"/>
        </w:rPr>
        <w:t xml:space="preserve"> named as a </w:t>
      </w:r>
      <w:r w:rsidRPr="00DD2D90">
        <w:rPr>
          <w:rStyle w:val="Emphasis"/>
        </w:rPr>
        <w:t>crucial</w:t>
      </w:r>
      <w:r w:rsidRPr="00223414">
        <w:rPr>
          <w:sz w:val="16"/>
        </w:rPr>
        <w:t xml:space="preserve"> component of pharmaceuticalization, as the pharmaceutical industry uses these </w:t>
      </w:r>
      <w:r w:rsidRPr="00DD2D90">
        <w:rPr>
          <w:rStyle w:val="StyleUnderline"/>
        </w:rPr>
        <w:t xml:space="preserve">advertisements </w:t>
      </w:r>
      <w:r w:rsidRPr="00223414">
        <w:rPr>
          <w:sz w:val="16"/>
        </w:rPr>
        <w:t xml:space="preserve">as a vehicle to </w:t>
      </w:r>
      <w:r w:rsidRPr="00DD2D90">
        <w:rPr>
          <w:rStyle w:val="StyleUnderline"/>
        </w:rPr>
        <w:t>obtain direct contact with the public.</w:t>
      </w:r>
      <w:r w:rsidRPr="00223414">
        <w:rPr>
          <w:sz w:val="16"/>
        </w:rPr>
        <w:t xml:space="preserve"> DTCA extends the relationship of prescription drug companies, physicians, and consumers in a very particular way that enhances the independent relationship between the consumer and the drug company (Conrad &amp; Leiter, 2004). </w:t>
      </w:r>
      <w:r w:rsidRPr="00DD2D90">
        <w:rPr>
          <w:rStyle w:val="StyleUnderline"/>
          <w:highlight w:val="green"/>
        </w:rPr>
        <w:t>As</w:t>
      </w:r>
      <w:r w:rsidRPr="00223414">
        <w:rPr>
          <w:sz w:val="16"/>
          <w:highlight w:val="green"/>
        </w:rPr>
        <w:t xml:space="preserve"> </w:t>
      </w:r>
      <w:r w:rsidRPr="00DD2D90">
        <w:rPr>
          <w:rStyle w:val="StyleUnderline"/>
          <w:highlight w:val="green"/>
        </w:rPr>
        <w:t>consumers are exposed</w:t>
      </w:r>
      <w:r w:rsidRPr="00DD2D90">
        <w:rPr>
          <w:rStyle w:val="StyleUnderline"/>
        </w:rPr>
        <w:t xml:space="preserve"> to more pharmaceutical advertisements, </w:t>
      </w:r>
      <w:r w:rsidRPr="00DD2D90">
        <w:rPr>
          <w:rStyle w:val="StyleUnderline"/>
          <w:highlight w:val="green"/>
        </w:rPr>
        <w:t>they become</w:t>
      </w:r>
      <w:r w:rsidRPr="00DD2D90">
        <w:rPr>
          <w:rStyle w:val="StyleUnderline"/>
        </w:rPr>
        <w:t xml:space="preserve"> more </w:t>
      </w:r>
      <w:r w:rsidRPr="00DD2D90">
        <w:rPr>
          <w:rStyle w:val="StyleUnderline"/>
          <w:highlight w:val="green"/>
        </w:rPr>
        <w:t>well-versed in brand names</w:t>
      </w:r>
      <w:r w:rsidRPr="00DD2D90">
        <w:rPr>
          <w:rStyle w:val="StyleUnderline"/>
        </w:rPr>
        <w:t xml:space="preserve"> </w:t>
      </w:r>
      <w:r w:rsidRPr="00DD2D90">
        <w:rPr>
          <w:rStyle w:val="StyleUnderline"/>
          <w:highlight w:val="green"/>
        </w:rPr>
        <w:t>and</w:t>
      </w:r>
      <w:r w:rsidRPr="00DD2D90">
        <w:rPr>
          <w:rStyle w:val="StyleUnderline"/>
        </w:rPr>
        <w:t xml:space="preserve"> celebratory </w:t>
      </w:r>
      <w:r w:rsidRPr="00DD2D90">
        <w:rPr>
          <w:rStyle w:val="StyleUnderline"/>
          <w:highlight w:val="green"/>
        </w:rPr>
        <w:t>depictions of medications</w:t>
      </w:r>
      <w:r w:rsidRPr="00DD2D90">
        <w:rPr>
          <w:rStyle w:val="StyleUnderline"/>
        </w:rPr>
        <w:t xml:space="preserve"> rather </w:t>
      </w:r>
      <w:r w:rsidRPr="00DD2D90">
        <w:rPr>
          <w:rStyle w:val="StyleUnderline"/>
          <w:highlight w:val="green"/>
        </w:rPr>
        <w:t>than</w:t>
      </w:r>
      <w:r w:rsidRPr="00DD2D90">
        <w:rPr>
          <w:rStyle w:val="StyleUnderline"/>
        </w:rPr>
        <w:t xml:space="preserve"> becoming educated on specific forms of illness</w:t>
      </w:r>
      <w:r w:rsidRPr="00223414">
        <w:rPr>
          <w:sz w:val="16"/>
        </w:rPr>
        <w:t xml:space="preserve"> or disease </w:t>
      </w:r>
      <w:r w:rsidRPr="00DD2D90">
        <w:rPr>
          <w:rStyle w:val="StyleUnderline"/>
        </w:rPr>
        <w:t>and</w:t>
      </w:r>
      <w:r w:rsidRPr="00223414">
        <w:rPr>
          <w:sz w:val="16"/>
        </w:rPr>
        <w:t xml:space="preserve"> </w:t>
      </w:r>
      <w:r w:rsidRPr="00DD2D90">
        <w:rPr>
          <w:rStyle w:val="StyleUnderline"/>
        </w:rPr>
        <w:t xml:space="preserve">alternative </w:t>
      </w:r>
      <w:r w:rsidRPr="00DD2D90">
        <w:rPr>
          <w:rStyle w:val="StyleUnderline"/>
          <w:highlight w:val="green"/>
        </w:rPr>
        <w:t>non-pharmaceutical options</w:t>
      </w:r>
      <w:r w:rsidRPr="00223414">
        <w:rPr>
          <w:sz w:val="16"/>
        </w:rPr>
        <w:t xml:space="preserve">, ultimately meaning that </w:t>
      </w:r>
      <w:r w:rsidRPr="00DD2D90">
        <w:rPr>
          <w:rStyle w:val="StyleUnderline"/>
        </w:rPr>
        <w:t>patients are being trained</w:t>
      </w:r>
      <w:r w:rsidRPr="00223414">
        <w:rPr>
          <w:sz w:val="16"/>
        </w:rPr>
        <w:t xml:space="preserve"> by the media to </w:t>
      </w:r>
      <w:r w:rsidRPr="00DD2D90">
        <w:rPr>
          <w:rStyle w:val="StyleUnderline"/>
        </w:rPr>
        <w:t>consume more prescription drugs rather than</w:t>
      </w:r>
      <w:r w:rsidRPr="00223414">
        <w:rPr>
          <w:sz w:val="16"/>
        </w:rPr>
        <w:t xml:space="preserve"> being provided with the information necessary to make </w:t>
      </w:r>
      <w:r w:rsidRPr="00DD2D90">
        <w:rPr>
          <w:rStyle w:val="StyleUnderline"/>
        </w:rPr>
        <w:t>informed health care decisions</w:t>
      </w:r>
      <w:r w:rsidRPr="00223414">
        <w:rPr>
          <w:sz w:val="16"/>
        </w:rPr>
        <w:t xml:space="preserve">. Although both processes assume similar criteria, pharmaceuticalization cannot be completely subsumed under medicalization. Theorists have adapted a teleological approach to pharmaceuticalization, focusing mainly on the expansion and increase of prescription drugs throughout society (Clarke, Shim, Mamo, Fosket &amp; Fishman, 2003). Pharmaceuticalization can grow without the expansion of medicalization, as the pharmaceutical industry has come under fire for establishing specific medical conditions that warrant the use of their products – thus, transforming non-medical problems into medical ones (Abraham, 2010). This growing presence of pharmaceuticals in society is referred to as a form of biomedicalism. The biomedicalism thesis states that a growth in prescription drugs can be attributed to the ability of progressive medicine to discover solutions for new or established illnesses (Conrad &amp; Leiter, 2008; Rose, 2007). Pharmaceuticalization posits that </w:t>
      </w:r>
      <w:r w:rsidRPr="00DD2D90">
        <w:rPr>
          <w:rStyle w:val="StyleUnderline"/>
        </w:rPr>
        <w:t>this biomedicalism is taking place alongside an ideology of consumerism that characterizes advertising as being the driving force behind the cultural demand for prescription drugs</w:t>
      </w:r>
      <w:r w:rsidRPr="00223414">
        <w:rPr>
          <w:sz w:val="16"/>
        </w:rPr>
        <w:t xml:space="preserve"> (Applbaum, 2006; Conrad, 2007; Fox &amp; Ward, 2009; Marshall, 2009; Rose, 2007; Williams, Seale, Boden, Lowe &amp; Lynn, 2009). Abraham (2010) has argued that pharmaceuticalization be framed using five explanatory factors, which are “mutually interactive but competing”: biomedicalism (drug research, development, and innovation); medicalization; industry drug promotion and marketing; consumerism; and the ideology or policy of the regulatory state. As described in chapter two, the demand for prescription drugs is apparent, as the pharmaceutical industry is one of the most financially lucrative in the United States. Commodity fetishism can be used to demonstrate how this rise in consumerism permits the facets of pharmaceuticalization to not only increase in presence, but to become more seamlessly present in society. “Pharmaceutical Fetishism” and Pseudo-Individuality/Autonomy Featured in DTCA The culmination of medicalization, pharmaceuticalization, and commodity fetishism can be used to explicate how processes of “pharmaceutical fetishism” are present in advertising culture. As sociological research has already established the relationships between consumerism and increased instances of medicalization and pharmaceuticalization, this dissertation seeks to coin the term “pharmaceutical fetishism,” related to the Marxian concept of “commodity fetishism.” By utilizing the theories of medicalization, pharmaceuticalization, and commodity fetishism, I am seeking to use this dissertation as an opportunity to coin and define “pharmaceutical fetishism” as the commodification of brand-name pharmaceutical drugs, which, via advertising and promotional cultures, ignore large-scale production and for-profit motives of “big pharma” while simultaneously reiterating a brand discourse that offers individuals additionally constructed meanings and discourse which promote: medicine as a cultural authority in health care and prescription drugs as having the capability to solve individual problems beyond those for which a medicine is scientifically intended. The concept of pharmaceutical fetishism relies upon the forms of pseudo-autonomy presented to consumers, namely through DTC advertisements. Recall the earlier discussions of pseudo-individuality, commodity fetishism, and </w:t>
      </w:r>
      <w:r w:rsidRPr="00DD2D90">
        <w:rPr>
          <w:rStyle w:val="StyleUnderline"/>
        </w:rPr>
        <w:t>advertising</w:t>
      </w:r>
      <w:r w:rsidRPr="00223414">
        <w:rPr>
          <w:sz w:val="16"/>
        </w:rPr>
        <w:t xml:space="preserve"> as </w:t>
      </w:r>
      <w:r w:rsidRPr="00DD2D90">
        <w:rPr>
          <w:rStyle w:val="StyleUnderline"/>
        </w:rPr>
        <w:t>magic</w:t>
      </w:r>
      <w:r w:rsidRPr="00223414">
        <w:rPr>
          <w:sz w:val="16"/>
        </w:rPr>
        <w:t xml:space="preserve">. These arguments can be applied specifically to DTC advertisements to </w:t>
      </w:r>
      <w:r w:rsidRPr="00DD2D90">
        <w:rPr>
          <w:rStyle w:val="StyleUnderline"/>
        </w:rPr>
        <w:t>develop</w:t>
      </w:r>
      <w:r w:rsidRPr="00223414">
        <w:rPr>
          <w:sz w:val="16"/>
        </w:rPr>
        <w:t xml:space="preserve"> the concept of “</w:t>
      </w:r>
      <w:r w:rsidRPr="00DD2D90">
        <w:rPr>
          <w:rStyle w:val="Emphasis"/>
        </w:rPr>
        <w:t>pharmaceutical fetishism</w:t>
      </w:r>
      <w:r w:rsidRPr="00223414">
        <w:rPr>
          <w:sz w:val="16"/>
        </w:rPr>
        <w:t xml:space="preserve">.” This dissertation is coining pharmaceutical fetishism as the ability of DTC advertisements to present consumers with romanticized portrayals regarding what benefits a prescription drug can offer and ignoring other treatment options. Rather than relying merely on the medical benefits associated with a drug designed to treat a target condition, the industry of DTCA has </w:t>
      </w:r>
      <w:r w:rsidRPr="00DD2D90">
        <w:rPr>
          <w:rStyle w:val="StyleUnderline"/>
        </w:rPr>
        <w:t>permitted</w:t>
      </w:r>
      <w:r w:rsidRPr="00223414">
        <w:rPr>
          <w:sz w:val="16"/>
        </w:rPr>
        <w:t xml:space="preserve"> these </w:t>
      </w:r>
      <w:r w:rsidRPr="00DD2D90">
        <w:rPr>
          <w:rStyle w:val="StyleUnderline"/>
        </w:rPr>
        <w:t>commercials to include “additional benefits,” usually by relying on the use of emotional appeals or presentations of scenarios of those in the ads who have used the drugs</w:t>
      </w:r>
      <w:r w:rsidRPr="00223414">
        <w:rPr>
          <w:sz w:val="16"/>
        </w:rPr>
        <w:t xml:space="preserve">. This means that </w:t>
      </w:r>
      <w:r w:rsidRPr="00DD2D90">
        <w:rPr>
          <w:rStyle w:val="StyleUnderline"/>
        </w:rPr>
        <w:t xml:space="preserve">the culture of </w:t>
      </w:r>
      <w:r w:rsidRPr="00223414">
        <w:rPr>
          <w:sz w:val="16"/>
        </w:rPr>
        <w:t>prescription</w:t>
      </w:r>
      <w:r w:rsidRPr="00DD2D90">
        <w:rPr>
          <w:rStyle w:val="StyleUnderline"/>
        </w:rPr>
        <w:t xml:space="preserve"> drugs is being reproduced</w:t>
      </w:r>
      <w:r w:rsidRPr="00223414">
        <w:rPr>
          <w:sz w:val="16"/>
        </w:rPr>
        <w:t xml:space="preserve">, potentially suggesting to consumers that they can obtain positive attributes beyond what can be corrected in the body – for example, </w:t>
      </w:r>
      <w:r w:rsidRPr="00DD2D90">
        <w:rPr>
          <w:rStyle w:val="StyleUnderline"/>
        </w:rPr>
        <w:t>advertisements for</w:t>
      </w:r>
      <w:r w:rsidRPr="00223414">
        <w:rPr>
          <w:sz w:val="16"/>
        </w:rPr>
        <w:t xml:space="preserve"> </w:t>
      </w:r>
      <w:r w:rsidRPr="00DD2D90">
        <w:rPr>
          <w:rStyle w:val="StyleUnderline"/>
        </w:rPr>
        <w:t>antidepressants</w:t>
      </w:r>
      <w:r w:rsidRPr="00223414">
        <w:rPr>
          <w:sz w:val="16"/>
        </w:rPr>
        <w:t xml:space="preserve"> often </w:t>
      </w:r>
      <w:r w:rsidRPr="00DD2D90">
        <w:rPr>
          <w:rStyle w:val="StyleUnderline"/>
        </w:rPr>
        <w:t>feature</w:t>
      </w:r>
      <w:r w:rsidRPr="00223414">
        <w:rPr>
          <w:sz w:val="16"/>
        </w:rPr>
        <w:t xml:space="preserve"> all </w:t>
      </w:r>
      <w:r w:rsidRPr="00DD2D90">
        <w:rPr>
          <w:rStyle w:val="StyleUnderline"/>
        </w:rPr>
        <w:t>relationships</w:t>
      </w:r>
      <w:r w:rsidRPr="00223414">
        <w:rPr>
          <w:sz w:val="16"/>
        </w:rPr>
        <w:t xml:space="preserve"> </w:t>
      </w:r>
      <w:r w:rsidRPr="00DD2D90">
        <w:rPr>
          <w:rStyle w:val="StyleUnderline"/>
        </w:rPr>
        <w:t>as</w:t>
      </w:r>
      <w:r w:rsidRPr="00223414">
        <w:rPr>
          <w:sz w:val="16"/>
        </w:rPr>
        <w:t xml:space="preserve"> significantly improving and seeming “</w:t>
      </w:r>
      <w:r w:rsidRPr="00DD2D90">
        <w:rPr>
          <w:rStyle w:val="Emphasis"/>
        </w:rPr>
        <w:t>perfect</w:t>
      </w:r>
      <w:r w:rsidRPr="00223414">
        <w:rPr>
          <w:sz w:val="16"/>
        </w:rPr>
        <w:t xml:space="preserve">” as a result of consuming a medication, but </w:t>
      </w:r>
      <w:r w:rsidRPr="00DD2D90">
        <w:rPr>
          <w:rStyle w:val="StyleUnderline"/>
        </w:rPr>
        <w:t>this is a veiled representation of a serious mental health</w:t>
      </w:r>
      <w:r w:rsidRPr="00223414">
        <w:rPr>
          <w:sz w:val="16"/>
        </w:rPr>
        <w:t xml:space="preserve"> </w:t>
      </w:r>
      <w:r w:rsidRPr="00DD2D90">
        <w:rPr>
          <w:rStyle w:val="StyleUnderline"/>
        </w:rPr>
        <w:t>condition</w:t>
      </w:r>
      <w:r w:rsidRPr="00223414">
        <w:rPr>
          <w:sz w:val="16"/>
        </w:rPr>
        <w:t xml:space="preserve"> and the social challenges that come along with it. In order to benefit capitalistic endeavors, </w:t>
      </w:r>
      <w:r w:rsidRPr="00DD2D90">
        <w:rPr>
          <w:rStyle w:val="StyleUnderline"/>
        </w:rPr>
        <w:t>the culture of pharmaceuticals</w:t>
      </w:r>
      <w:r w:rsidRPr="00223414">
        <w:rPr>
          <w:sz w:val="16"/>
        </w:rPr>
        <w:t xml:space="preserve"> has evolved into one that </w:t>
      </w:r>
      <w:r w:rsidRPr="00DD2D90">
        <w:rPr>
          <w:rStyle w:val="StyleUnderline"/>
        </w:rPr>
        <w:t>promises much more than it can realistically deliver for consumers</w:t>
      </w:r>
      <w:r w:rsidRPr="00223414">
        <w:rPr>
          <w:sz w:val="16"/>
        </w:rPr>
        <w:t xml:space="preserve">. As Rose (2007) has suggested, </w:t>
      </w:r>
      <w:r w:rsidRPr="00DD2D90">
        <w:rPr>
          <w:rStyle w:val="StyleUnderline"/>
          <w:highlight w:val="green"/>
        </w:rPr>
        <w:t>DTCA</w:t>
      </w:r>
      <w:r w:rsidRPr="00DD2D90">
        <w:rPr>
          <w:rStyle w:val="StyleUnderline"/>
        </w:rPr>
        <w:t xml:space="preserve"> may be</w:t>
      </w:r>
      <w:r w:rsidRPr="00223414">
        <w:rPr>
          <w:sz w:val="16"/>
        </w:rPr>
        <w:t xml:space="preserve"> an aspect of </w:t>
      </w:r>
      <w:r w:rsidRPr="00DD2D90">
        <w:rPr>
          <w:rStyle w:val="Emphasis"/>
          <w:highlight w:val="green"/>
        </w:rPr>
        <w:t>medicalization</w:t>
      </w:r>
      <w:r w:rsidRPr="00223414">
        <w:rPr>
          <w:sz w:val="16"/>
        </w:rPr>
        <w:t xml:space="preserve"> and pharmaceuticalization </w:t>
      </w:r>
      <w:r w:rsidRPr="00DD2D90">
        <w:rPr>
          <w:rStyle w:val="StyleUnderline"/>
        </w:rPr>
        <w:t xml:space="preserve">that </w:t>
      </w:r>
      <w:r w:rsidRPr="00DD2D90">
        <w:rPr>
          <w:rStyle w:val="StyleUnderline"/>
          <w:highlight w:val="green"/>
        </w:rPr>
        <w:t xml:space="preserve">creates </w:t>
      </w:r>
      <w:r w:rsidRPr="00DD2D90">
        <w:rPr>
          <w:rStyle w:val="Emphasis"/>
          <w:highlight w:val="green"/>
        </w:rPr>
        <w:t>false needs</w:t>
      </w:r>
      <w:r w:rsidRPr="00DD2D90">
        <w:rPr>
          <w:rStyle w:val="StyleUnderline"/>
          <w:highlight w:val="green"/>
        </w:rPr>
        <w:t xml:space="preserve"> for consumers</w:t>
      </w:r>
      <w:r w:rsidRPr="00223414">
        <w:rPr>
          <w:sz w:val="16"/>
        </w:rPr>
        <w:t xml:space="preserve">. Furthermore, false claims are presented to consumers that lead them to believe that pharmaceuticals can meet individual needs and desires. This can be described as a form of ideological appropriation, as the industry that exists to expand understandings of health is the very industry that creates false needs in a consumer-driven market (Abraham, 2010). Pharmaceutical fetishism will be an important underpinning for the examination of this dissertation’s sample, allowing empirical data to be viewed through a more critical lens. How a Mixed-Methods Approach Provides an Empirical Foundation for Deeper Critical Analyses </w:t>
      </w:r>
    </w:p>
    <w:p w14:paraId="7A5F1B94" w14:textId="77777777" w:rsidR="008727CC" w:rsidRPr="00223414" w:rsidRDefault="008727CC">
      <w:pPr>
        <w:rPr>
          <w:rFonts w:eastAsiaTheme="majorEastAsia" w:cstheme="majorBidi"/>
          <w:b/>
          <w:iCs/>
          <w:sz w:val="16"/>
        </w:rPr>
      </w:pPr>
      <w:r w:rsidRPr="00223414">
        <w:rPr>
          <w:sz w:val="16"/>
        </w:rPr>
        <w:br w:type="page"/>
      </w:r>
    </w:p>
    <w:p w14:paraId="10E5AA90" w14:textId="4E1AEF67" w:rsidR="00F41AA7" w:rsidRPr="00223414" w:rsidRDefault="00A215F0" w:rsidP="00F41AA7">
      <w:pPr>
        <w:pStyle w:val="Heading4"/>
        <w:rPr>
          <w:szCs w:val="26"/>
        </w:rPr>
      </w:pPr>
      <w:r w:rsidRPr="00223414">
        <w:rPr>
          <w:szCs w:val="26"/>
        </w:rPr>
        <w:t xml:space="preserve">Uninformed decision-making based on cultural messages from advertisers deprioritizes health in favor of commodities, </w:t>
      </w:r>
      <w:r w:rsidR="007214F7" w:rsidRPr="00223414">
        <w:rPr>
          <w:szCs w:val="26"/>
        </w:rPr>
        <w:t>making individuals feel hollow when nothing changes after the consumption of “magical” drugs</w:t>
      </w:r>
    </w:p>
    <w:p w14:paraId="55CD1ACC" w14:textId="77777777" w:rsidR="00F41AA7" w:rsidRPr="00DD2D90" w:rsidRDefault="00F41AA7" w:rsidP="00F41AA7">
      <w:r w:rsidRPr="00223414">
        <w:rPr>
          <w:b/>
          <w:bCs/>
          <w:sz w:val="26"/>
          <w:szCs w:val="26"/>
        </w:rPr>
        <w:t>Applequist 15</w:t>
      </w:r>
      <w:r w:rsidRPr="00DD2D90">
        <w:t xml:space="preserve"> [Janelle Applequist, PhD candidate at Pennsylvania State University, 2015, “A Mixed-methods Approach Toward Primetime Television Direct-to-consumer Advertising: Pharmaceutical Fetishism </w:t>
      </w:r>
      <w:proofErr w:type="gramStart"/>
      <w:r w:rsidRPr="00DD2D90">
        <w:t>And</w:t>
      </w:r>
      <w:proofErr w:type="gramEnd"/>
      <w:r w:rsidRPr="00DD2D90">
        <w:t xml:space="preserve"> Critical Analyses </w:t>
      </w:r>
      <w:proofErr w:type="gramStart"/>
      <w:r w:rsidRPr="00DD2D90">
        <w:t>Of</w:t>
      </w:r>
      <w:proofErr w:type="gramEnd"/>
      <w:r w:rsidRPr="00DD2D90">
        <w:t xml:space="preserve"> </w:t>
      </w:r>
      <w:proofErr w:type="gramStart"/>
      <w:r w:rsidRPr="00DD2D90">
        <w:t>The</w:t>
      </w:r>
      <w:proofErr w:type="gramEnd"/>
      <w:r w:rsidRPr="00DD2D90">
        <w:t xml:space="preserve"> Commercial Discourse </w:t>
      </w:r>
      <w:proofErr w:type="gramStart"/>
      <w:r w:rsidRPr="00DD2D90">
        <w:t>Of</w:t>
      </w:r>
      <w:proofErr w:type="gramEnd"/>
      <w:r w:rsidRPr="00DD2D90">
        <w:t xml:space="preserve"> Health Care,” The Pennsylvania State University </w:t>
      </w:r>
      <w:proofErr w:type="gramStart"/>
      <w:r w:rsidRPr="00DD2D90">
        <w:t>The</w:t>
      </w:r>
      <w:proofErr w:type="gramEnd"/>
      <w:r w:rsidRPr="00DD2D90">
        <w:t xml:space="preserve"> Graduate School College of Communications, https://etda.libraries.psu.edu/files/final_submissions/10535]/Kankee</w:t>
      </w:r>
    </w:p>
    <w:p w14:paraId="39D806F4" w14:textId="77777777" w:rsidR="00A215F0" w:rsidRPr="00223414" w:rsidRDefault="00F41AA7" w:rsidP="00F41AA7">
      <w:pPr>
        <w:rPr>
          <w:sz w:val="16"/>
        </w:rPr>
      </w:pPr>
      <w:r w:rsidRPr="00223414">
        <w:rPr>
          <w:sz w:val="16"/>
        </w:rPr>
        <w:t>Discussion</w:t>
      </w:r>
      <w:r w:rsidR="00777787" w:rsidRPr="00223414">
        <w:rPr>
          <w:sz w:val="16"/>
        </w:rPr>
        <w:t xml:space="preserve"> </w:t>
      </w:r>
      <w:r w:rsidRPr="00223414">
        <w:rPr>
          <w:sz w:val="16"/>
        </w:rPr>
        <w:t>The use of grounded theory in this dataset found that the theory of pharmaceutical</w:t>
      </w:r>
      <w:r w:rsidR="00777787" w:rsidRPr="00223414">
        <w:rPr>
          <w:sz w:val="16"/>
        </w:rPr>
        <w:t xml:space="preserve"> </w:t>
      </w:r>
      <w:r w:rsidRPr="00223414">
        <w:rPr>
          <w:sz w:val="16"/>
        </w:rPr>
        <w:t>fetishism is grounded in the dataset used, meaning that it is highly probably that the same</w:t>
      </w:r>
      <w:r w:rsidR="00777787" w:rsidRPr="00223414">
        <w:rPr>
          <w:sz w:val="16"/>
        </w:rPr>
        <w:t xml:space="preserve"> </w:t>
      </w:r>
      <w:r w:rsidRPr="00223414">
        <w:rPr>
          <w:sz w:val="16"/>
        </w:rPr>
        <w:t>conceptions have been used, and are continuing to be used, in DTC advertisements of</w:t>
      </w:r>
      <w:r w:rsidR="00777787" w:rsidRPr="00223414">
        <w:rPr>
          <w:sz w:val="16"/>
        </w:rPr>
        <w:t xml:space="preserve"> </w:t>
      </w:r>
      <w:r w:rsidRPr="00223414">
        <w:rPr>
          <w:sz w:val="16"/>
        </w:rPr>
        <w:t>pharmaceutical drugs.</w:t>
      </w:r>
      <w:r w:rsidR="00777787" w:rsidRPr="00223414">
        <w:rPr>
          <w:sz w:val="16"/>
        </w:rPr>
        <w:t xml:space="preserve"> </w:t>
      </w:r>
      <w:r w:rsidRPr="00223414">
        <w:rPr>
          <w:sz w:val="16"/>
        </w:rPr>
        <w:t>This research raises many questions regarding the content of pharmaceutical</w:t>
      </w:r>
      <w:r w:rsidR="00777787" w:rsidRPr="00223414">
        <w:rPr>
          <w:sz w:val="16"/>
        </w:rPr>
        <w:t xml:space="preserve"> </w:t>
      </w:r>
      <w:r w:rsidRPr="00223414">
        <w:rPr>
          <w:sz w:val="16"/>
        </w:rPr>
        <w:t>advertisements, particularly in association with issues of patient representation in advertisements.</w:t>
      </w:r>
      <w:r w:rsidR="00777787" w:rsidRPr="00223414">
        <w:rPr>
          <w:sz w:val="16"/>
        </w:rPr>
        <w:t xml:space="preserve"> </w:t>
      </w:r>
      <w:r w:rsidRPr="00223414">
        <w:rPr>
          <w:sz w:val="16"/>
        </w:rPr>
        <w:t>Although there were multiple findings that raise important questions for consumers, the scope of</w:t>
      </w:r>
      <w:r w:rsidR="00777787" w:rsidRPr="00223414">
        <w:rPr>
          <w:sz w:val="16"/>
        </w:rPr>
        <w:t xml:space="preserve"> </w:t>
      </w:r>
      <w:r w:rsidRPr="00223414">
        <w:rPr>
          <w:sz w:val="16"/>
        </w:rPr>
        <w:t>this discussion will focus on a limited number of findings in order to more descriptively address a</w:t>
      </w:r>
      <w:r w:rsidR="00777787" w:rsidRPr="00223414">
        <w:rPr>
          <w:sz w:val="16"/>
        </w:rPr>
        <w:t xml:space="preserve"> </w:t>
      </w:r>
      <w:r w:rsidRPr="00223414">
        <w:rPr>
          <w:sz w:val="16"/>
        </w:rPr>
        <w:t>few important issues.</w:t>
      </w:r>
      <w:r w:rsidR="00777787" w:rsidRPr="00223414">
        <w:rPr>
          <w:sz w:val="16"/>
        </w:rPr>
        <w:t xml:space="preserve"> </w:t>
      </w:r>
      <w:r w:rsidRPr="00223414">
        <w:rPr>
          <w:sz w:val="16"/>
        </w:rPr>
        <w:t>Raymond Williams’ influential essay, originally written in the 1960s, outlines advertising</w:t>
      </w:r>
      <w:r w:rsidR="00777787" w:rsidRPr="00223414">
        <w:rPr>
          <w:sz w:val="16"/>
        </w:rPr>
        <w:t xml:space="preserve"> </w:t>
      </w:r>
      <w:r w:rsidRPr="00223414">
        <w:rPr>
          <w:sz w:val="16"/>
        </w:rPr>
        <w:t>and public relations practices that are still influential today in the pharmaceutical industry. The</w:t>
      </w:r>
      <w:r w:rsidR="00777787" w:rsidRPr="00223414">
        <w:rPr>
          <w:sz w:val="16"/>
        </w:rPr>
        <w:t xml:space="preserve"> </w:t>
      </w:r>
      <w:r w:rsidRPr="00223414">
        <w:rPr>
          <w:sz w:val="16"/>
        </w:rPr>
        <w:t>most prominent aspect to come from Williams’ work is his reference to advertising as “magic,”</w:t>
      </w:r>
      <w:r w:rsidR="00777787" w:rsidRPr="00223414">
        <w:rPr>
          <w:sz w:val="16"/>
        </w:rPr>
        <w:t xml:space="preserve"> </w:t>
      </w:r>
      <w:r w:rsidRPr="00223414">
        <w:rPr>
          <w:sz w:val="16"/>
        </w:rPr>
        <w:t>referring to the ability of advertising to go beyond the material and appeal to the desires of</w:t>
      </w:r>
      <w:r w:rsidR="00777787" w:rsidRPr="00223414">
        <w:rPr>
          <w:sz w:val="16"/>
        </w:rPr>
        <w:t xml:space="preserve"> </w:t>
      </w:r>
      <w:r w:rsidRPr="00223414">
        <w:rPr>
          <w:sz w:val="16"/>
        </w:rPr>
        <w:t>individuals (Williams, 1980). He critiques our culture by saying that we are, in fact, not</w:t>
      </w:r>
      <w:r w:rsidR="00777787" w:rsidRPr="00223414">
        <w:rPr>
          <w:sz w:val="16"/>
        </w:rPr>
        <w:t xml:space="preserve"> </w:t>
      </w:r>
      <w:r w:rsidRPr="00223414">
        <w:rPr>
          <w:sz w:val="16"/>
        </w:rPr>
        <w:t>materialist enough, as members of our society are not satisfied with the material product, but</w:t>
      </w:r>
      <w:r w:rsidR="00777787" w:rsidRPr="00223414">
        <w:rPr>
          <w:sz w:val="16"/>
        </w:rPr>
        <w:t xml:space="preserve"> </w:t>
      </w:r>
      <w:r w:rsidRPr="00223414">
        <w:rPr>
          <w:sz w:val="16"/>
        </w:rPr>
        <w:t>additionally need a secondary effect (e.g., clothing must only serve its functional purpose, but it</w:t>
      </w:r>
      <w:r w:rsidR="00777787" w:rsidRPr="00223414">
        <w:rPr>
          <w:sz w:val="16"/>
        </w:rPr>
        <w:t xml:space="preserve"> </w:t>
      </w:r>
      <w:r w:rsidRPr="00223414">
        <w:rPr>
          <w:sz w:val="16"/>
        </w:rPr>
        <w:t>also has the ability to make us feel popular, sexy, happy, etc.) (Williams, 1980). Material needs</w:t>
      </w:r>
      <w:r w:rsidR="00777787" w:rsidRPr="00223414">
        <w:rPr>
          <w:sz w:val="16"/>
        </w:rPr>
        <w:t xml:space="preserve"> </w:t>
      </w:r>
      <w:r w:rsidRPr="00223414">
        <w:rPr>
          <w:sz w:val="16"/>
        </w:rPr>
        <w:t>are present, but individuals have other needs that go beyond the material which are far more</w:t>
      </w:r>
      <w:r w:rsidR="00777787" w:rsidRPr="00223414">
        <w:rPr>
          <w:sz w:val="16"/>
        </w:rPr>
        <w:t xml:space="preserve"> </w:t>
      </w:r>
      <w:r w:rsidRPr="00223414">
        <w:rPr>
          <w:sz w:val="16"/>
        </w:rPr>
        <w:t>powerful, so advertising appeals to these desires, and it must show that these desires can be</w:t>
      </w:r>
      <w:r w:rsidR="00777787" w:rsidRPr="00223414">
        <w:rPr>
          <w:sz w:val="16"/>
        </w:rPr>
        <w:t xml:space="preserve"> </w:t>
      </w:r>
      <w:r w:rsidRPr="00223414">
        <w:rPr>
          <w:sz w:val="16"/>
        </w:rPr>
        <w:t>fulfilled.</w:t>
      </w:r>
      <w:r w:rsidR="00777787" w:rsidRPr="00223414">
        <w:rPr>
          <w:sz w:val="16"/>
        </w:rPr>
        <w:t xml:space="preserve"> </w:t>
      </w:r>
      <w:r w:rsidRPr="00223414">
        <w:rPr>
          <w:sz w:val="16"/>
        </w:rPr>
        <w:t xml:space="preserve">This research found that </w:t>
      </w:r>
      <w:r w:rsidRPr="00DD2D90">
        <w:rPr>
          <w:rStyle w:val="StyleUnderline"/>
        </w:rPr>
        <w:t>pharmaceutical advertisements</w:t>
      </w:r>
      <w:r w:rsidRPr="00223414">
        <w:rPr>
          <w:sz w:val="16"/>
        </w:rPr>
        <w:t xml:space="preserve"> </w:t>
      </w:r>
      <w:r w:rsidRPr="00DD2D90">
        <w:rPr>
          <w:rStyle w:val="StyleUnderline"/>
        </w:rPr>
        <w:t>are</w:t>
      </w:r>
      <w:r w:rsidRPr="00223414">
        <w:rPr>
          <w:sz w:val="16"/>
        </w:rPr>
        <w:t xml:space="preserve"> explicitly </w:t>
      </w:r>
      <w:r w:rsidRPr="00DD2D90">
        <w:rPr>
          <w:rStyle w:val="StyleUnderline"/>
        </w:rPr>
        <w:t>utilizing</w:t>
      </w:r>
      <w:r w:rsidRPr="00223414">
        <w:rPr>
          <w:sz w:val="16"/>
        </w:rPr>
        <w:t xml:space="preserve"> the</w:t>
      </w:r>
      <w:r w:rsidR="00777787" w:rsidRPr="00223414">
        <w:rPr>
          <w:sz w:val="16"/>
        </w:rPr>
        <w:t xml:space="preserve"> </w:t>
      </w:r>
      <w:r w:rsidRPr="00223414">
        <w:rPr>
          <w:sz w:val="16"/>
        </w:rPr>
        <w:t>“</w:t>
      </w:r>
      <w:r w:rsidRPr="00DD2D90">
        <w:rPr>
          <w:rStyle w:val="Emphasis"/>
        </w:rPr>
        <w:t>magic</w:t>
      </w:r>
      <w:r w:rsidRPr="00223414">
        <w:rPr>
          <w:sz w:val="16"/>
        </w:rPr>
        <w:t xml:space="preserve">” </w:t>
      </w:r>
      <w:r w:rsidRPr="00DD2D90">
        <w:rPr>
          <w:rStyle w:val="StyleUnderline"/>
        </w:rPr>
        <w:t>of advertising by presenting</w:t>
      </w:r>
      <w:r w:rsidRPr="00223414">
        <w:rPr>
          <w:sz w:val="16"/>
        </w:rPr>
        <w:t xml:space="preserve"> prescription </w:t>
      </w:r>
      <w:r w:rsidRPr="00DD2D90">
        <w:rPr>
          <w:rStyle w:val="StyleUnderline"/>
        </w:rPr>
        <w:t>drugs as cures for more than just health</w:t>
      </w:r>
      <w:r w:rsidR="00777787" w:rsidRPr="00DD2D90">
        <w:rPr>
          <w:rStyle w:val="StyleUnderline"/>
        </w:rPr>
        <w:t xml:space="preserve"> </w:t>
      </w:r>
      <w:r w:rsidRPr="00DD2D90">
        <w:rPr>
          <w:rStyle w:val="StyleUnderline"/>
        </w:rPr>
        <w:t>conditions</w:t>
      </w:r>
      <w:r w:rsidRPr="00223414">
        <w:rPr>
          <w:sz w:val="16"/>
        </w:rPr>
        <w:t xml:space="preserve">. </w:t>
      </w:r>
      <w:r w:rsidRPr="00DD2D90">
        <w:rPr>
          <w:rStyle w:val="StyleUnderline"/>
          <w:highlight w:val="green"/>
        </w:rPr>
        <w:t>Drugs</w:t>
      </w:r>
      <w:r w:rsidRPr="00223414">
        <w:rPr>
          <w:sz w:val="16"/>
        </w:rPr>
        <w:t xml:space="preserve"> are advertised in a way that presents them as having the added benefit of</w:t>
      </w:r>
      <w:r w:rsidR="00777787" w:rsidRPr="00223414">
        <w:rPr>
          <w:sz w:val="16"/>
        </w:rPr>
        <w:t xml:space="preserve"> </w:t>
      </w:r>
      <w:r w:rsidRPr="00DD2D90">
        <w:rPr>
          <w:rStyle w:val="StyleUnderline"/>
        </w:rPr>
        <w:t>sell</w:t>
      </w:r>
      <w:r w:rsidRPr="00223414">
        <w:rPr>
          <w:sz w:val="16"/>
        </w:rPr>
        <w:t xml:space="preserve">ing </w:t>
      </w:r>
      <w:r w:rsidRPr="00DD2D90">
        <w:rPr>
          <w:rStyle w:val="StyleUnderline"/>
        </w:rPr>
        <w:t>a</w:t>
      </w:r>
      <w:r w:rsidRPr="00223414">
        <w:rPr>
          <w:sz w:val="16"/>
        </w:rPr>
        <w:t xml:space="preserve"> particular </w:t>
      </w:r>
      <w:r w:rsidRPr="00DD2D90">
        <w:rPr>
          <w:rStyle w:val="StyleUnderline"/>
        </w:rPr>
        <w:t>lifestyle</w:t>
      </w:r>
      <w:r w:rsidRPr="00223414">
        <w:rPr>
          <w:sz w:val="16"/>
        </w:rPr>
        <w:t xml:space="preserve"> to individuals - </w:t>
      </w:r>
      <w:r w:rsidRPr="00DD2D90">
        <w:rPr>
          <w:rStyle w:val="StyleUnderline"/>
        </w:rPr>
        <w:t xml:space="preserve">one that </w:t>
      </w:r>
      <w:r w:rsidRPr="00DD2D90">
        <w:rPr>
          <w:rStyle w:val="StyleUnderline"/>
          <w:highlight w:val="green"/>
        </w:rPr>
        <w:t>emphasizes</w:t>
      </w:r>
      <w:r w:rsidRPr="00DD2D90">
        <w:rPr>
          <w:rStyle w:val="StyleUnderline"/>
        </w:rPr>
        <w:t xml:space="preserve"> </w:t>
      </w:r>
      <w:r w:rsidRPr="00DD2D90">
        <w:rPr>
          <w:rStyle w:val="StyleUnderline"/>
          <w:highlight w:val="green"/>
        </w:rPr>
        <w:t>happiness</w:t>
      </w:r>
      <w:r w:rsidRPr="00DD2D90">
        <w:rPr>
          <w:rStyle w:val="StyleUnderline"/>
        </w:rPr>
        <w:t xml:space="preserve">, </w:t>
      </w:r>
      <w:r w:rsidRPr="00DD2D90">
        <w:rPr>
          <w:rStyle w:val="StyleUnderline"/>
          <w:highlight w:val="green"/>
        </w:rPr>
        <w:t>successful</w:t>
      </w:r>
      <w:r w:rsidR="00777787" w:rsidRPr="00DD2D90">
        <w:rPr>
          <w:rStyle w:val="StyleUnderline"/>
          <w:highlight w:val="green"/>
        </w:rPr>
        <w:t xml:space="preserve"> </w:t>
      </w:r>
      <w:r w:rsidRPr="00DD2D90">
        <w:rPr>
          <w:rStyle w:val="StyleUnderline"/>
          <w:highlight w:val="green"/>
        </w:rPr>
        <w:t>relationships</w:t>
      </w:r>
      <w:r w:rsidRPr="00DD2D90">
        <w:rPr>
          <w:rStyle w:val="StyleUnderline"/>
        </w:rPr>
        <w:t xml:space="preserve">, </w:t>
      </w:r>
      <w:r w:rsidRPr="00DD2D90">
        <w:rPr>
          <w:rStyle w:val="StyleUnderline"/>
          <w:highlight w:val="green"/>
        </w:rPr>
        <w:t>nuclear family activities</w:t>
      </w:r>
      <w:r w:rsidRPr="00DD2D90">
        <w:rPr>
          <w:rStyle w:val="StyleUnderline"/>
        </w:rPr>
        <w:t>, and personal fulfillment</w:t>
      </w:r>
      <w:r w:rsidRPr="00223414">
        <w:rPr>
          <w:sz w:val="16"/>
        </w:rPr>
        <w:t xml:space="preserve">. Furthermore, </w:t>
      </w:r>
      <w:r w:rsidRPr="00DD2D90">
        <w:rPr>
          <w:rStyle w:val="StyleUnderline"/>
        </w:rPr>
        <w:t>these ads</w:t>
      </w:r>
      <w:r w:rsidR="00777787" w:rsidRPr="00DD2D90">
        <w:rPr>
          <w:rStyle w:val="StyleUnderline"/>
        </w:rPr>
        <w:t xml:space="preserve"> </w:t>
      </w:r>
      <w:r w:rsidRPr="00DD2D90">
        <w:rPr>
          <w:rStyle w:val="StyleUnderline"/>
        </w:rPr>
        <w:t>perpetuate normalized</w:t>
      </w:r>
      <w:r w:rsidRPr="00223414">
        <w:rPr>
          <w:sz w:val="16"/>
        </w:rPr>
        <w:t xml:space="preserve"> conceptions of particular representations, featuring characters that portray</w:t>
      </w:r>
      <w:r w:rsidR="00777787" w:rsidRPr="00223414">
        <w:rPr>
          <w:sz w:val="16"/>
        </w:rPr>
        <w:t xml:space="preserve"> </w:t>
      </w:r>
      <w:r w:rsidRPr="00DD2D90">
        <w:rPr>
          <w:rStyle w:val="StyleUnderline"/>
          <w:highlight w:val="green"/>
        </w:rPr>
        <w:t>stereotypical gender</w:t>
      </w:r>
      <w:r w:rsidRPr="00DD2D90">
        <w:rPr>
          <w:rStyle w:val="StyleUnderline"/>
        </w:rPr>
        <w:t xml:space="preserve"> </w:t>
      </w:r>
      <w:r w:rsidRPr="00DD2D90">
        <w:rPr>
          <w:rStyle w:val="StyleUnderline"/>
          <w:highlight w:val="green"/>
        </w:rPr>
        <w:t>roles</w:t>
      </w:r>
      <w:r w:rsidRPr="00223414">
        <w:rPr>
          <w:sz w:val="16"/>
        </w:rPr>
        <w:t xml:space="preserve">, </w:t>
      </w:r>
      <w:r w:rsidRPr="00DD2D90">
        <w:rPr>
          <w:rStyle w:val="StyleUnderline"/>
        </w:rPr>
        <w:t>youthfulness</w:t>
      </w:r>
      <w:r w:rsidRPr="00223414">
        <w:rPr>
          <w:sz w:val="16"/>
        </w:rPr>
        <w:t xml:space="preserve"> even in cases of being older, </w:t>
      </w:r>
      <w:r w:rsidRPr="00DD2D90">
        <w:rPr>
          <w:rStyle w:val="StyleUnderline"/>
          <w:highlight w:val="green"/>
        </w:rPr>
        <w:t>heteronormative</w:t>
      </w:r>
      <w:r w:rsidR="00777787" w:rsidRPr="00DD2D90">
        <w:rPr>
          <w:rStyle w:val="StyleUnderline"/>
          <w:highlight w:val="green"/>
        </w:rPr>
        <w:t xml:space="preserve"> </w:t>
      </w:r>
      <w:r w:rsidRPr="00DD2D90">
        <w:rPr>
          <w:rStyle w:val="StyleUnderline"/>
          <w:highlight w:val="green"/>
        </w:rPr>
        <w:t>relationships</w:t>
      </w:r>
      <w:r w:rsidRPr="00223414">
        <w:rPr>
          <w:sz w:val="16"/>
        </w:rPr>
        <w:t xml:space="preserve">, </w:t>
      </w:r>
      <w:r w:rsidRPr="00DD2D90">
        <w:rPr>
          <w:rStyle w:val="StyleUnderline"/>
        </w:rPr>
        <w:t>familial relationships</w:t>
      </w:r>
      <w:r w:rsidRPr="00223414">
        <w:rPr>
          <w:sz w:val="16"/>
        </w:rPr>
        <w:t xml:space="preserve"> as being central to health, and patients as being autonomous</w:t>
      </w:r>
      <w:r w:rsidR="00777787" w:rsidRPr="00223414">
        <w:rPr>
          <w:sz w:val="16"/>
        </w:rPr>
        <w:t xml:space="preserve"> </w:t>
      </w:r>
      <w:r w:rsidRPr="00223414">
        <w:rPr>
          <w:sz w:val="16"/>
        </w:rPr>
        <w:t xml:space="preserve">from their physicians. This means that </w:t>
      </w:r>
      <w:r w:rsidRPr="00DD2D90">
        <w:rPr>
          <w:rStyle w:val="StyleUnderline"/>
          <w:highlight w:val="green"/>
        </w:rPr>
        <w:t>drugs</w:t>
      </w:r>
      <w:r w:rsidRPr="00DD2D90">
        <w:rPr>
          <w:rStyle w:val="StyleUnderline"/>
        </w:rPr>
        <w:t xml:space="preserve"> </w:t>
      </w:r>
      <w:r w:rsidRPr="00DD2D90">
        <w:rPr>
          <w:rStyle w:val="StyleUnderline"/>
          <w:highlight w:val="green"/>
        </w:rPr>
        <w:t xml:space="preserve">have been </w:t>
      </w:r>
      <w:r w:rsidRPr="00DD2D90">
        <w:rPr>
          <w:rStyle w:val="Emphasis"/>
          <w:highlight w:val="green"/>
        </w:rPr>
        <w:t>commodified</w:t>
      </w:r>
      <w:r w:rsidRPr="00223414">
        <w:rPr>
          <w:sz w:val="16"/>
        </w:rPr>
        <w:t xml:space="preserve"> </w:t>
      </w:r>
      <w:r w:rsidRPr="00DD2D90">
        <w:rPr>
          <w:rStyle w:val="StyleUnderline"/>
          <w:highlight w:val="green"/>
        </w:rPr>
        <w:t>to sell</w:t>
      </w:r>
      <w:r w:rsidRPr="00DD2D90">
        <w:rPr>
          <w:rStyle w:val="StyleUnderline"/>
        </w:rPr>
        <w:t xml:space="preserve"> much </w:t>
      </w:r>
      <w:r w:rsidRPr="00DD2D90">
        <w:rPr>
          <w:rStyle w:val="StyleUnderline"/>
          <w:highlight w:val="green"/>
        </w:rPr>
        <w:t>more than</w:t>
      </w:r>
      <w:r w:rsidR="00777787" w:rsidRPr="00223414">
        <w:rPr>
          <w:sz w:val="16"/>
        </w:rPr>
        <w:t xml:space="preserve"> </w:t>
      </w:r>
      <w:r w:rsidRPr="00223414">
        <w:rPr>
          <w:sz w:val="16"/>
        </w:rPr>
        <w:t>147</w:t>
      </w:r>
      <w:r w:rsidR="00777787" w:rsidRPr="00223414">
        <w:rPr>
          <w:sz w:val="16"/>
        </w:rPr>
        <w:t xml:space="preserve"> </w:t>
      </w:r>
      <w:r w:rsidRPr="00223414">
        <w:rPr>
          <w:sz w:val="16"/>
        </w:rPr>
        <w:t xml:space="preserve">remedies for </w:t>
      </w:r>
      <w:r w:rsidRPr="00DD2D90">
        <w:rPr>
          <w:rStyle w:val="StyleUnderline"/>
          <w:highlight w:val="green"/>
        </w:rPr>
        <w:t>health</w:t>
      </w:r>
      <w:r w:rsidRPr="00223414">
        <w:rPr>
          <w:sz w:val="16"/>
        </w:rPr>
        <w:t xml:space="preserve"> conditions. </w:t>
      </w:r>
      <w:r w:rsidRPr="00DD2D90">
        <w:rPr>
          <w:rStyle w:val="StyleUnderline"/>
        </w:rPr>
        <w:t>Commodity fetishism is</w:t>
      </w:r>
      <w:r w:rsidRPr="00223414">
        <w:rPr>
          <w:sz w:val="16"/>
        </w:rPr>
        <w:t xml:space="preserve"> the relationship between people and</w:t>
      </w:r>
      <w:r w:rsidR="00777787" w:rsidRPr="00223414">
        <w:rPr>
          <w:sz w:val="16"/>
        </w:rPr>
        <w:t xml:space="preserve"> </w:t>
      </w:r>
      <w:r w:rsidRPr="00223414">
        <w:rPr>
          <w:sz w:val="16"/>
        </w:rPr>
        <w:t xml:space="preserve">products, and fetishism occurs once </w:t>
      </w:r>
      <w:r w:rsidRPr="00DD2D90">
        <w:rPr>
          <w:rStyle w:val="StyleUnderline"/>
        </w:rPr>
        <w:t>individuals see meaning in things that seem an inherent part</w:t>
      </w:r>
      <w:r w:rsidR="00777787" w:rsidRPr="00DD2D90">
        <w:rPr>
          <w:rStyle w:val="StyleUnderline"/>
        </w:rPr>
        <w:t xml:space="preserve"> </w:t>
      </w:r>
      <w:r w:rsidRPr="00DD2D90">
        <w:rPr>
          <w:rStyle w:val="StyleUnderline"/>
        </w:rPr>
        <w:t>of their physical existence, yet, the meaning is actually created by individuals themselves</w:t>
      </w:r>
      <w:r w:rsidRPr="00223414">
        <w:rPr>
          <w:sz w:val="16"/>
        </w:rPr>
        <w:t xml:space="preserve"> (Marx,</w:t>
      </w:r>
      <w:r w:rsidR="00777787" w:rsidRPr="00223414">
        <w:rPr>
          <w:sz w:val="16"/>
        </w:rPr>
        <w:t xml:space="preserve"> </w:t>
      </w:r>
      <w:r w:rsidRPr="00223414">
        <w:rPr>
          <w:sz w:val="16"/>
        </w:rPr>
        <w:t>1976). Thus, products appear to have value inherent in them, but the fact is that human beings</w:t>
      </w:r>
      <w:r w:rsidR="00777787" w:rsidRPr="00223414">
        <w:rPr>
          <w:sz w:val="16"/>
        </w:rPr>
        <w:t xml:space="preserve"> </w:t>
      </w:r>
      <w:r w:rsidRPr="00223414">
        <w:rPr>
          <w:sz w:val="16"/>
        </w:rPr>
        <w:t>themselves produce the additional value. Advertisements allow for culture to associate products</w:t>
      </w:r>
      <w:r w:rsidR="00777787" w:rsidRPr="00223414">
        <w:rPr>
          <w:sz w:val="16"/>
        </w:rPr>
        <w:t xml:space="preserve"> </w:t>
      </w:r>
      <w:r w:rsidRPr="00223414">
        <w:rPr>
          <w:sz w:val="16"/>
        </w:rPr>
        <w:t>with meaning, as emotional meaning, forms of promotional culture, and even logos and branding</w:t>
      </w:r>
      <w:r w:rsidR="00777787" w:rsidRPr="00223414">
        <w:rPr>
          <w:sz w:val="16"/>
        </w:rPr>
        <w:t xml:space="preserve"> </w:t>
      </w:r>
      <w:r w:rsidRPr="00223414">
        <w:rPr>
          <w:sz w:val="16"/>
        </w:rPr>
        <w:t>animation (i.e. the use of animation in pharmaceutical advertisements) can evoke sentiment for</w:t>
      </w:r>
      <w:r w:rsidR="00777787" w:rsidRPr="00223414">
        <w:rPr>
          <w:sz w:val="16"/>
        </w:rPr>
        <w:t xml:space="preserve"> </w:t>
      </w:r>
      <w:r w:rsidRPr="00223414">
        <w:rPr>
          <w:sz w:val="16"/>
        </w:rPr>
        <w:t>individuals (Williams, 1980). Additionally, the production contexts for these drugs are removed</w:t>
      </w:r>
      <w:r w:rsidR="00777787" w:rsidRPr="00223414">
        <w:rPr>
          <w:sz w:val="16"/>
        </w:rPr>
        <w:t xml:space="preserve"> </w:t>
      </w:r>
      <w:r w:rsidRPr="00223414">
        <w:rPr>
          <w:sz w:val="16"/>
        </w:rPr>
        <w:t>from the advertisements themselves, with the product (the drug) being portrayed as heroic. By</w:t>
      </w:r>
      <w:r w:rsidR="00777787" w:rsidRPr="00223414">
        <w:rPr>
          <w:sz w:val="16"/>
        </w:rPr>
        <w:t xml:space="preserve"> </w:t>
      </w:r>
      <w:r w:rsidRPr="00223414">
        <w:rPr>
          <w:sz w:val="16"/>
        </w:rPr>
        <w:t xml:space="preserve">claiming that individuals are not materialistic enough, Williams is saying that </w:t>
      </w:r>
      <w:r w:rsidRPr="00DD2D90">
        <w:rPr>
          <w:rStyle w:val="StyleUnderline"/>
        </w:rPr>
        <w:t>advertising works</w:t>
      </w:r>
      <w:r w:rsidR="00777787" w:rsidRPr="00DD2D90">
        <w:rPr>
          <w:rStyle w:val="StyleUnderline"/>
        </w:rPr>
        <w:t xml:space="preserve"> </w:t>
      </w:r>
      <w:r w:rsidRPr="00DD2D90">
        <w:rPr>
          <w:rStyle w:val="StyleUnderline"/>
        </w:rPr>
        <w:t>because it promises to solve non-material problems</w:t>
      </w:r>
      <w:r w:rsidRPr="00223414">
        <w:rPr>
          <w:sz w:val="16"/>
        </w:rPr>
        <w:t>. If individuals were materialistic enough,</w:t>
      </w:r>
      <w:r w:rsidR="00777787" w:rsidRPr="00223414">
        <w:rPr>
          <w:sz w:val="16"/>
        </w:rPr>
        <w:t xml:space="preserve"> </w:t>
      </w:r>
      <w:r w:rsidRPr="00223414">
        <w:rPr>
          <w:sz w:val="16"/>
        </w:rPr>
        <w:t>they would only look at advertisements for the informational value in order to gauge how a</w:t>
      </w:r>
      <w:r w:rsidR="00777787" w:rsidRPr="00223414">
        <w:rPr>
          <w:sz w:val="16"/>
        </w:rPr>
        <w:t xml:space="preserve"> </w:t>
      </w:r>
      <w:r w:rsidRPr="00223414">
        <w:rPr>
          <w:sz w:val="16"/>
        </w:rPr>
        <w:t>product can serve functional needs. Instead, individuals look for added meaning or value in</w:t>
      </w:r>
      <w:r w:rsidR="00777787" w:rsidRPr="00223414">
        <w:rPr>
          <w:sz w:val="16"/>
        </w:rPr>
        <w:t xml:space="preserve"> </w:t>
      </w:r>
      <w:r w:rsidRPr="00223414">
        <w:rPr>
          <w:sz w:val="16"/>
        </w:rPr>
        <w:t>products, being confronted with an advertising culture that promises to fulfill additional needs</w:t>
      </w:r>
      <w:r w:rsidR="00777787" w:rsidRPr="00223414">
        <w:rPr>
          <w:sz w:val="16"/>
        </w:rPr>
        <w:t xml:space="preserve"> </w:t>
      </w:r>
      <w:r w:rsidRPr="00223414">
        <w:rPr>
          <w:sz w:val="16"/>
        </w:rPr>
        <w:t xml:space="preserve">and desires. The </w:t>
      </w:r>
      <w:r w:rsidRPr="00DD2D90">
        <w:rPr>
          <w:rStyle w:val="StyleUnderline"/>
        </w:rPr>
        <w:t>magic</w:t>
      </w:r>
      <w:r w:rsidRPr="00223414">
        <w:rPr>
          <w:sz w:val="16"/>
        </w:rPr>
        <w:t>, then, is that</w:t>
      </w:r>
      <w:r w:rsidRPr="00DD2D90">
        <w:rPr>
          <w:rStyle w:val="StyleUnderline"/>
        </w:rPr>
        <w:t xml:space="preserve"> advertising tells us our desires can be</w:t>
      </w:r>
      <w:r w:rsidRPr="00223414">
        <w:rPr>
          <w:sz w:val="16"/>
        </w:rPr>
        <w:t xml:space="preserve"> </w:t>
      </w:r>
      <w:r w:rsidRPr="00DD2D90">
        <w:rPr>
          <w:rStyle w:val="StyleUnderline"/>
        </w:rPr>
        <w:t>met</w:t>
      </w:r>
      <w:r w:rsidRPr="00223414">
        <w:rPr>
          <w:sz w:val="16"/>
        </w:rPr>
        <w:t>. In this sense,</w:t>
      </w:r>
      <w:r w:rsidR="00777787" w:rsidRPr="00223414">
        <w:rPr>
          <w:sz w:val="16"/>
        </w:rPr>
        <w:t xml:space="preserve"> </w:t>
      </w:r>
      <w:r w:rsidRPr="00223414">
        <w:rPr>
          <w:sz w:val="16"/>
        </w:rPr>
        <w:t>pharmaceutical advertisers are meeting the health needs of consumers, but also meeting their</w:t>
      </w:r>
      <w:r w:rsidR="00777787" w:rsidRPr="00223414">
        <w:rPr>
          <w:sz w:val="16"/>
        </w:rPr>
        <w:t xml:space="preserve"> </w:t>
      </w:r>
      <w:r w:rsidRPr="00223414">
        <w:rPr>
          <w:sz w:val="16"/>
        </w:rPr>
        <w:t>inner, more personal needs - the need to feel youthful, the need to perform, the need to be happy.</w:t>
      </w:r>
      <w:r w:rsidR="00777787" w:rsidRPr="00223414">
        <w:rPr>
          <w:sz w:val="16"/>
        </w:rPr>
        <w:t xml:space="preserve"> </w:t>
      </w:r>
      <w:r w:rsidRPr="00223414">
        <w:rPr>
          <w:sz w:val="16"/>
        </w:rPr>
        <w:t>The advertisements utilize this “magic” predominantly through the use of “before and</w:t>
      </w:r>
      <w:r w:rsidR="00777787" w:rsidRPr="00223414">
        <w:rPr>
          <w:sz w:val="16"/>
        </w:rPr>
        <w:t xml:space="preserve"> </w:t>
      </w:r>
      <w:r w:rsidRPr="00223414">
        <w:rPr>
          <w:sz w:val="16"/>
        </w:rPr>
        <w:t xml:space="preserve">after” imagery. </w:t>
      </w:r>
      <w:r w:rsidRPr="00DD2D90">
        <w:rPr>
          <w:rStyle w:val="StyleUnderline"/>
          <w:highlight w:val="green"/>
        </w:rPr>
        <w:t>The</w:t>
      </w:r>
      <w:r w:rsidRPr="00DD2D90">
        <w:rPr>
          <w:rStyle w:val="StyleUnderline"/>
        </w:rPr>
        <w:t xml:space="preserve"> most common </w:t>
      </w:r>
      <w:r w:rsidRPr="00DD2D90">
        <w:rPr>
          <w:rStyle w:val="StyleUnderline"/>
          <w:highlight w:val="green"/>
        </w:rPr>
        <w:t>theme</w:t>
      </w:r>
      <w:r w:rsidRPr="00DD2D90">
        <w:rPr>
          <w:rStyle w:val="StyleUnderline"/>
        </w:rPr>
        <w:t xml:space="preserve"> seen throughout the advertisements </w:t>
      </w:r>
      <w:r w:rsidRPr="00DD2D90">
        <w:rPr>
          <w:rStyle w:val="StyleUnderline"/>
          <w:highlight w:val="green"/>
        </w:rPr>
        <w:t>was the lack of</w:t>
      </w:r>
      <w:r w:rsidR="00777787" w:rsidRPr="00DD2D90">
        <w:rPr>
          <w:rStyle w:val="StyleUnderline"/>
          <w:highlight w:val="green"/>
        </w:rPr>
        <w:t xml:space="preserve"> </w:t>
      </w:r>
      <w:r w:rsidRPr="00DD2D90">
        <w:rPr>
          <w:rStyle w:val="StyleUnderline"/>
          <w:highlight w:val="green"/>
        </w:rPr>
        <w:t>agency characters portrayed until they obtained the</w:t>
      </w:r>
      <w:r w:rsidRPr="00DD2D90">
        <w:rPr>
          <w:rStyle w:val="StyleUnderline"/>
        </w:rPr>
        <w:t xml:space="preserve"> prescription </w:t>
      </w:r>
      <w:r w:rsidRPr="00DD2D90">
        <w:rPr>
          <w:rStyle w:val="StyleUnderline"/>
          <w:highlight w:val="green"/>
        </w:rPr>
        <w:t>drug</w:t>
      </w:r>
      <w:r w:rsidRPr="00DD2D90">
        <w:rPr>
          <w:rStyle w:val="StyleUnderline"/>
        </w:rPr>
        <w:t>, reiterating the message</w:t>
      </w:r>
      <w:r w:rsidRPr="00223414">
        <w:rPr>
          <w:sz w:val="16"/>
        </w:rPr>
        <w:t xml:space="preserve"> that</w:t>
      </w:r>
      <w:r w:rsidR="00777787" w:rsidRPr="00223414">
        <w:rPr>
          <w:sz w:val="16"/>
        </w:rPr>
        <w:t xml:space="preserve"> </w:t>
      </w:r>
      <w:r w:rsidRPr="00DD2D90">
        <w:rPr>
          <w:rStyle w:val="StyleUnderline"/>
        </w:rPr>
        <w:t>the power to change one’s life comes from the medication</w:t>
      </w:r>
      <w:r w:rsidRPr="00223414">
        <w:rPr>
          <w:sz w:val="16"/>
        </w:rPr>
        <w:t xml:space="preserve"> itself. This neo-liberal message</w:t>
      </w:r>
      <w:r w:rsidR="00777787" w:rsidRPr="00223414">
        <w:rPr>
          <w:sz w:val="16"/>
        </w:rPr>
        <w:t xml:space="preserve"> </w:t>
      </w:r>
      <w:r w:rsidRPr="00223414">
        <w:rPr>
          <w:sz w:val="16"/>
        </w:rPr>
        <w:t xml:space="preserve">propagates the notion that </w:t>
      </w:r>
      <w:r w:rsidRPr="00DD2D90">
        <w:rPr>
          <w:rStyle w:val="StyleUnderline"/>
        </w:rPr>
        <w:t xml:space="preserve">a consumable product, in this case a </w:t>
      </w:r>
      <w:r w:rsidRPr="00DD2D90">
        <w:rPr>
          <w:rStyle w:val="Emphasis"/>
        </w:rPr>
        <w:t>potentially deadly</w:t>
      </w:r>
      <w:r w:rsidRPr="00DD2D90">
        <w:rPr>
          <w:rStyle w:val="StyleUnderline"/>
        </w:rPr>
        <w:t xml:space="preserve"> one</w:t>
      </w:r>
      <w:r w:rsidRPr="00223414">
        <w:rPr>
          <w:sz w:val="16"/>
        </w:rPr>
        <w:t xml:space="preserve">, </w:t>
      </w:r>
      <w:r w:rsidRPr="00DD2D90">
        <w:rPr>
          <w:rStyle w:val="StyleUnderline"/>
        </w:rPr>
        <w:t>can make</w:t>
      </w:r>
      <w:r w:rsidR="00777787" w:rsidRPr="00DD2D90">
        <w:rPr>
          <w:rStyle w:val="StyleUnderline"/>
        </w:rPr>
        <w:t xml:space="preserve"> </w:t>
      </w:r>
      <w:r w:rsidRPr="00DD2D90">
        <w:rPr>
          <w:rStyle w:val="StyleUnderline"/>
        </w:rPr>
        <w:t>one not only a better version of themselves, but a better version than the rest of society as well</w:t>
      </w:r>
      <w:r w:rsidRPr="00223414">
        <w:rPr>
          <w:sz w:val="16"/>
        </w:rPr>
        <w:t>.</w:t>
      </w:r>
      <w:r w:rsidR="00777787" w:rsidRPr="00223414">
        <w:rPr>
          <w:sz w:val="16"/>
        </w:rPr>
        <w:t xml:space="preserve"> </w:t>
      </w:r>
      <w:r w:rsidRPr="00223414">
        <w:rPr>
          <w:sz w:val="16"/>
        </w:rPr>
        <w:t>This message is exemplified through the portrayals of characters being active, youthful,</w:t>
      </w:r>
      <w:r w:rsidR="00777787" w:rsidRPr="00223414">
        <w:rPr>
          <w:sz w:val="16"/>
        </w:rPr>
        <w:t xml:space="preserve"> </w:t>
      </w:r>
      <w:r w:rsidRPr="00223414">
        <w:rPr>
          <w:sz w:val="16"/>
        </w:rPr>
        <w:t>participating in heterosexual relationships, and maintaining traditional gender roles.</w:t>
      </w:r>
      <w:r w:rsidR="00777787" w:rsidRPr="00223414">
        <w:rPr>
          <w:sz w:val="16"/>
        </w:rPr>
        <w:t xml:space="preserve"> </w:t>
      </w:r>
      <w:r w:rsidRPr="00223414">
        <w:rPr>
          <w:sz w:val="16"/>
        </w:rPr>
        <w:t xml:space="preserve">Unfortunately, for all of the debate </w:t>
      </w:r>
      <w:r w:rsidRPr="00DD2D90">
        <w:rPr>
          <w:rStyle w:val="StyleUnderline"/>
        </w:rPr>
        <w:t>surrounding the diminishment of the doctor-patient</w:t>
      </w:r>
      <w:r w:rsidR="00777787" w:rsidRPr="00DD2D90">
        <w:rPr>
          <w:rStyle w:val="StyleUnderline"/>
        </w:rPr>
        <w:t xml:space="preserve"> </w:t>
      </w:r>
      <w:r w:rsidRPr="00DD2D90">
        <w:rPr>
          <w:rStyle w:val="StyleUnderline"/>
        </w:rPr>
        <w:t>relationship, problems associated with patient self-diagnosis and advertising’s control over</w:t>
      </w:r>
      <w:r w:rsidR="00777787" w:rsidRPr="00DD2D90">
        <w:rPr>
          <w:rStyle w:val="StyleUnderline"/>
        </w:rPr>
        <w:t xml:space="preserve"> </w:t>
      </w:r>
      <w:r w:rsidRPr="00DD2D90">
        <w:rPr>
          <w:rStyle w:val="StyleUnderline"/>
        </w:rPr>
        <w:t>medical decisions to come as a result of pharmaceutical advertising</w:t>
      </w:r>
      <w:r w:rsidRPr="00223414">
        <w:rPr>
          <w:sz w:val="16"/>
        </w:rPr>
        <w:t>, current policies have shifted</w:t>
      </w:r>
      <w:r w:rsidR="00777787" w:rsidRPr="00223414">
        <w:rPr>
          <w:sz w:val="16"/>
        </w:rPr>
        <w:t xml:space="preserve"> </w:t>
      </w:r>
      <w:r w:rsidRPr="00223414">
        <w:rPr>
          <w:sz w:val="16"/>
        </w:rPr>
        <w:t xml:space="preserve">over time to offer a false representation that </w:t>
      </w:r>
      <w:r w:rsidRPr="00DD2D90">
        <w:rPr>
          <w:rStyle w:val="StyleUnderline"/>
        </w:rPr>
        <w:t>these advertisements are</w:t>
      </w:r>
      <w:r w:rsidRPr="00223414">
        <w:rPr>
          <w:sz w:val="16"/>
        </w:rPr>
        <w:t xml:space="preserve"> not </w:t>
      </w:r>
      <w:r w:rsidRPr="00DD2D90">
        <w:rPr>
          <w:rStyle w:val="Emphasis"/>
        </w:rPr>
        <w:t>desecrating</w:t>
      </w:r>
      <w:r w:rsidRPr="00223414">
        <w:rPr>
          <w:sz w:val="16"/>
        </w:rPr>
        <w:t xml:space="preserve"> </w:t>
      </w:r>
      <w:r w:rsidRPr="00DD2D90">
        <w:rPr>
          <w:rStyle w:val="StyleUnderline"/>
        </w:rPr>
        <w:t>patients</w:t>
      </w:r>
      <w:r w:rsidRPr="00223414">
        <w:rPr>
          <w:sz w:val="16"/>
        </w:rPr>
        <w:t>.</w:t>
      </w:r>
      <w:r w:rsidR="00777787" w:rsidRPr="00223414">
        <w:rPr>
          <w:sz w:val="16"/>
        </w:rPr>
        <w:t xml:space="preserve"> </w:t>
      </w:r>
      <w:r w:rsidRPr="00223414">
        <w:rPr>
          <w:sz w:val="16"/>
        </w:rPr>
        <w:t>Perhaps what is even more problematic in this sense is not necessarily the relaxed restrictions</w:t>
      </w:r>
      <w:r w:rsidR="00777787" w:rsidRPr="00223414">
        <w:rPr>
          <w:sz w:val="16"/>
        </w:rPr>
        <w:t xml:space="preserve"> </w:t>
      </w:r>
      <w:r w:rsidRPr="00223414">
        <w:rPr>
          <w:sz w:val="16"/>
        </w:rPr>
        <w:t xml:space="preserve">given by the FDA for DTC advertisements, but rather </w:t>
      </w:r>
      <w:r w:rsidRPr="00DD2D90">
        <w:rPr>
          <w:rStyle w:val="StyleUnderline"/>
        </w:rPr>
        <w:t xml:space="preserve">the content of the </w:t>
      </w:r>
      <w:r w:rsidRPr="00DD2D90">
        <w:rPr>
          <w:rStyle w:val="StyleUnderline"/>
          <w:highlight w:val="green"/>
        </w:rPr>
        <w:t>advertisements</w:t>
      </w:r>
      <w:r w:rsidR="00777787" w:rsidRPr="00223414">
        <w:rPr>
          <w:sz w:val="16"/>
        </w:rPr>
        <w:t xml:space="preserve"> </w:t>
      </w:r>
      <w:r w:rsidRPr="00223414">
        <w:rPr>
          <w:sz w:val="16"/>
        </w:rPr>
        <w:t xml:space="preserve">themselves and the ways in which they </w:t>
      </w:r>
      <w:r w:rsidRPr="00DD2D90">
        <w:rPr>
          <w:rStyle w:val="StyleUnderline"/>
          <w:highlight w:val="green"/>
        </w:rPr>
        <w:t xml:space="preserve">blatantly </w:t>
      </w:r>
      <w:r w:rsidRPr="00DD2D90">
        <w:rPr>
          <w:rStyle w:val="StyleUnderline"/>
        </w:rPr>
        <w:t xml:space="preserve">sell an ideology that </w:t>
      </w:r>
      <w:r w:rsidRPr="00DD2D90">
        <w:rPr>
          <w:rStyle w:val="StyleUnderline"/>
          <w:highlight w:val="green"/>
        </w:rPr>
        <w:t>privileges consumption</w:t>
      </w:r>
      <w:r w:rsidR="00777787" w:rsidRPr="00DD2D90">
        <w:rPr>
          <w:rStyle w:val="StyleUnderline"/>
        </w:rPr>
        <w:t xml:space="preserve"> </w:t>
      </w:r>
      <w:r w:rsidRPr="00DD2D90">
        <w:rPr>
          <w:rStyle w:val="StyleUnderline"/>
          <w:highlight w:val="green"/>
        </w:rPr>
        <w:t>over health</w:t>
      </w:r>
      <w:r w:rsidRPr="00DD2D90">
        <w:rPr>
          <w:rStyle w:val="StyleUnderline"/>
        </w:rPr>
        <w:t xml:space="preserve"> to consumers</w:t>
      </w:r>
      <w:r w:rsidRPr="00223414">
        <w:rPr>
          <w:sz w:val="16"/>
        </w:rPr>
        <w:t>. Furthermore, advertisers draw upon certain codes to produce the</w:t>
      </w:r>
      <w:r w:rsidR="00777787" w:rsidRPr="00223414">
        <w:rPr>
          <w:sz w:val="16"/>
        </w:rPr>
        <w:t xml:space="preserve"> </w:t>
      </w:r>
      <w:r w:rsidRPr="00223414">
        <w:rPr>
          <w:sz w:val="16"/>
        </w:rPr>
        <w:t>brands that become recognized, as creating a successful ad campaign relies on those trained in the</w:t>
      </w:r>
      <w:r w:rsidR="00777787" w:rsidRPr="00223414">
        <w:rPr>
          <w:sz w:val="16"/>
        </w:rPr>
        <w:t xml:space="preserve"> </w:t>
      </w:r>
      <w:r w:rsidRPr="00223414">
        <w:rPr>
          <w:sz w:val="16"/>
        </w:rPr>
        <w:t>industry to prioritize industrial interests over consumers, aligning with principles of capture</w:t>
      </w:r>
      <w:r w:rsidR="00777787" w:rsidRPr="00223414">
        <w:rPr>
          <w:sz w:val="16"/>
        </w:rPr>
        <w:t xml:space="preserve"> </w:t>
      </w:r>
      <w:r w:rsidRPr="00223414">
        <w:rPr>
          <w:sz w:val="16"/>
        </w:rPr>
        <w:t xml:space="preserve">theory (Bernstein, 1955). The nature of </w:t>
      </w:r>
      <w:r w:rsidRPr="00DD2D90">
        <w:rPr>
          <w:rStyle w:val="StyleUnderline"/>
          <w:highlight w:val="green"/>
        </w:rPr>
        <w:t>DTCA</w:t>
      </w:r>
      <w:r w:rsidRPr="00223414">
        <w:rPr>
          <w:sz w:val="16"/>
        </w:rPr>
        <w:t xml:space="preserve"> is that it </w:t>
      </w:r>
      <w:r w:rsidRPr="00DD2D90">
        <w:rPr>
          <w:rStyle w:val="StyleUnderline"/>
          <w:highlight w:val="green"/>
        </w:rPr>
        <w:t xml:space="preserve">relies on the </w:t>
      </w:r>
      <w:r w:rsidRPr="00DD2D90">
        <w:rPr>
          <w:rStyle w:val="Emphasis"/>
          <w:highlight w:val="green"/>
        </w:rPr>
        <w:t>decentralization</w:t>
      </w:r>
      <w:r w:rsidRPr="00DD2D90">
        <w:rPr>
          <w:rStyle w:val="StyleUnderline"/>
          <w:highlight w:val="green"/>
        </w:rPr>
        <w:t xml:space="preserve"> of the</w:t>
      </w:r>
      <w:r w:rsidR="00777787" w:rsidRPr="00DD2D90">
        <w:rPr>
          <w:rStyle w:val="StyleUnderline"/>
        </w:rPr>
        <w:t xml:space="preserve"> </w:t>
      </w:r>
      <w:r w:rsidRPr="00DD2D90">
        <w:rPr>
          <w:rStyle w:val="StyleUnderline"/>
          <w:highlight w:val="green"/>
        </w:rPr>
        <w:t>physician’s role</w:t>
      </w:r>
      <w:r w:rsidRPr="00DD2D90">
        <w:rPr>
          <w:rStyle w:val="StyleUnderline"/>
        </w:rPr>
        <w:t xml:space="preserve"> through its efforts to medicalize human problems, which encourages consumers</w:t>
      </w:r>
      <w:r w:rsidR="00777787" w:rsidRPr="00DD2D90">
        <w:rPr>
          <w:rStyle w:val="StyleUnderline"/>
        </w:rPr>
        <w:t xml:space="preserve"> </w:t>
      </w:r>
      <w:r w:rsidRPr="00DD2D90">
        <w:rPr>
          <w:rStyle w:val="StyleUnderline"/>
        </w:rPr>
        <w:t>to self-diagnose</w:t>
      </w:r>
      <w:r w:rsidRPr="00223414">
        <w:rPr>
          <w:sz w:val="16"/>
        </w:rPr>
        <w:t xml:space="preserve"> (Conrad, 2007). This process shows how not just </w:t>
      </w:r>
      <w:r w:rsidRPr="00DD2D90">
        <w:rPr>
          <w:rStyle w:val="StyleUnderline"/>
        </w:rPr>
        <w:t>the contents of these ads</w:t>
      </w:r>
      <w:r w:rsidR="00777787" w:rsidRPr="00DD2D90">
        <w:rPr>
          <w:rStyle w:val="StyleUnderline"/>
        </w:rPr>
        <w:t xml:space="preserve"> </w:t>
      </w:r>
      <w:r w:rsidRPr="00DD2D90">
        <w:rPr>
          <w:rStyle w:val="StyleUnderline"/>
        </w:rPr>
        <w:t>encouraged increased cases of pharmaceutical fetishism, but how an ideology that emphasizes</w:t>
      </w:r>
      <w:r w:rsidR="00777787" w:rsidRPr="00DD2D90">
        <w:rPr>
          <w:rStyle w:val="StyleUnderline"/>
        </w:rPr>
        <w:t xml:space="preserve"> </w:t>
      </w:r>
      <w:r w:rsidRPr="00DD2D90">
        <w:rPr>
          <w:rStyle w:val="StyleUnderline"/>
        </w:rPr>
        <w:t>consumerism over patient understanding</w:t>
      </w:r>
      <w:r w:rsidRPr="00223414">
        <w:rPr>
          <w:sz w:val="16"/>
        </w:rPr>
        <w:t xml:space="preserve"> becomes commonplace in the field of health care.</w:t>
      </w:r>
      <w:r w:rsidR="00777787" w:rsidRPr="00223414">
        <w:rPr>
          <w:sz w:val="16"/>
        </w:rPr>
        <w:t xml:space="preserve"> </w:t>
      </w:r>
      <w:r w:rsidRPr="00223414">
        <w:rPr>
          <w:sz w:val="16"/>
        </w:rPr>
        <w:t>Beyond the health risks associated with advertising prescription drugs to consumers not</w:t>
      </w:r>
      <w:r w:rsidR="00777787" w:rsidRPr="00223414">
        <w:rPr>
          <w:sz w:val="16"/>
        </w:rPr>
        <w:t xml:space="preserve"> </w:t>
      </w:r>
      <w:r w:rsidRPr="00223414">
        <w:rPr>
          <w:sz w:val="16"/>
        </w:rPr>
        <w:t xml:space="preserve">educated in medicine, </w:t>
      </w:r>
      <w:r w:rsidRPr="00DD2D90">
        <w:rPr>
          <w:rStyle w:val="StyleUnderline"/>
        </w:rPr>
        <w:t>the</w:t>
      </w:r>
      <w:r w:rsidRPr="00223414">
        <w:rPr>
          <w:sz w:val="16"/>
        </w:rPr>
        <w:t xml:space="preserve"> most serious </w:t>
      </w:r>
      <w:r w:rsidRPr="00DD2D90">
        <w:rPr>
          <w:rStyle w:val="StyleUnderline"/>
        </w:rPr>
        <w:t>implication to thinking of patients of consumers is the</w:t>
      </w:r>
      <w:r w:rsidR="00777787" w:rsidRPr="00DD2D90">
        <w:rPr>
          <w:rStyle w:val="StyleUnderline"/>
        </w:rPr>
        <w:t xml:space="preserve"> </w:t>
      </w:r>
      <w:r w:rsidRPr="00DD2D90">
        <w:rPr>
          <w:rStyle w:val="StyleUnderline"/>
        </w:rPr>
        <w:t>pseudo-individuality and pseudo-autonomy that emerge as a result of the health domain being</w:t>
      </w:r>
      <w:r w:rsidR="00777787" w:rsidRPr="00DD2D90">
        <w:rPr>
          <w:rStyle w:val="StyleUnderline"/>
        </w:rPr>
        <w:t xml:space="preserve"> </w:t>
      </w:r>
      <w:r w:rsidRPr="00DD2D90">
        <w:rPr>
          <w:rStyle w:val="StyleUnderline"/>
        </w:rPr>
        <w:t>defined based on market relations</w:t>
      </w:r>
      <w:r w:rsidRPr="00223414">
        <w:rPr>
          <w:sz w:val="16"/>
        </w:rPr>
        <w:t>. Advertisements serve two functions in that they offer role</w:t>
      </w:r>
      <w:r w:rsidR="00777787" w:rsidRPr="00223414">
        <w:rPr>
          <w:sz w:val="16"/>
        </w:rPr>
        <w:t xml:space="preserve"> </w:t>
      </w:r>
      <w:r w:rsidRPr="00223414">
        <w:rPr>
          <w:sz w:val="16"/>
        </w:rPr>
        <w:t>models for consumers to identify with, framing constructions of individuals as they can aspire to</w:t>
      </w:r>
      <w:r w:rsidR="00777787" w:rsidRPr="00223414">
        <w:rPr>
          <w:sz w:val="16"/>
        </w:rPr>
        <w:t xml:space="preserve"> </w:t>
      </w:r>
      <w:r w:rsidRPr="00223414">
        <w:rPr>
          <w:sz w:val="16"/>
        </w:rPr>
        <w:t>be, while also encouraging consumers to enter the marketplace where desirable qualities and</w:t>
      </w:r>
      <w:r w:rsidR="00777787" w:rsidRPr="00223414">
        <w:rPr>
          <w:sz w:val="16"/>
        </w:rPr>
        <w:t xml:space="preserve"> </w:t>
      </w:r>
      <w:r w:rsidRPr="00223414">
        <w:rPr>
          <w:sz w:val="16"/>
        </w:rPr>
        <w:t xml:space="preserve">lifestyles are commodified and available for purchase (Sender, 1999). </w:t>
      </w:r>
      <w:r w:rsidRPr="00DD2D90">
        <w:rPr>
          <w:rStyle w:val="StyleUnderline"/>
        </w:rPr>
        <w:t>Pharmaceutical</w:t>
      </w:r>
      <w:r w:rsidR="00777787" w:rsidRPr="00DD2D90">
        <w:rPr>
          <w:rStyle w:val="StyleUnderline"/>
        </w:rPr>
        <w:t xml:space="preserve"> </w:t>
      </w:r>
      <w:r w:rsidRPr="00DD2D90">
        <w:rPr>
          <w:rStyle w:val="StyleUnderline"/>
          <w:highlight w:val="green"/>
        </w:rPr>
        <w:t>advertisements</w:t>
      </w:r>
      <w:r w:rsidRPr="00223414">
        <w:rPr>
          <w:sz w:val="16"/>
        </w:rPr>
        <w:t xml:space="preserve"> are structured in a way that </w:t>
      </w:r>
      <w:r w:rsidRPr="00DD2D90">
        <w:rPr>
          <w:rStyle w:val="StyleUnderline"/>
          <w:highlight w:val="green"/>
        </w:rPr>
        <w:t>gives</w:t>
      </w:r>
      <w:r w:rsidRPr="00DD2D90">
        <w:rPr>
          <w:rStyle w:val="StyleUnderline"/>
        </w:rPr>
        <w:t xml:space="preserve"> a consistent </w:t>
      </w:r>
      <w:r w:rsidRPr="00DD2D90">
        <w:rPr>
          <w:rStyle w:val="StyleUnderline"/>
          <w:highlight w:val="green"/>
        </w:rPr>
        <w:t>message</w:t>
      </w:r>
      <w:r w:rsidRPr="00DD2D90">
        <w:rPr>
          <w:rStyle w:val="StyleUnderline"/>
        </w:rPr>
        <w:t xml:space="preserve"> to viewers that </w:t>
      </w:r>
      <w:r w:rsidRPr="00DD2D90">
        <w:rPr>
          <w:rStyle w:val="StyleUnderline"/>
          <w:highlight w:val="green"/>
        </w:rPr>
        <w:t>a</w:t>
      </w:r>
      <w:r w:rsidR="00777787" w:rsidRPr="00DD2D90">
        <w:rPr>
          <w:rStyle w:val="StyleUnderline"/>
        </w:rPr>
        <w:t xml:space="preserve"> </w:t>
      </w:r>
      <w:r w:rsidRPr="00DD2D90">
        <w:rPr>
          <w:rStyle w:val="StyleUnderline"/>
          <w:highlight w:val="green"/>
        </w:rPr>
        <w:t>prescription</w:t>
      </w:r>
      <w:r w:rsidRPr="00DD2D90">
        <w:rPr>
          <w:rStyle w:val="StyleUnderline"/>
        </w:rPr>
        <w:t xml:space="preserve"> drug </w:t>
      </w:r>
      <w:r w:rsidRPr="00DD2D90">
        <w:rPr>
          <w:rStyle w:val="StyleUnderline"/>
          <w:highlight w:val="green"/>
        </w:rPr>
        <w:t>will</w:t>
      </w:r>
      <w:r w:rsidRPr="00DD2D90">
        <w:rPr>
          <w:rStyle w:val="StyleUnderline"/>
        </w:rPr>
        <w:t xml:space="preserve"> significantly </w:t>
      </w:r>
      <w:r w:rsidRPr="00DD2D90">
        <w:rPr>
          <w:rStyle w:val="StyleUnderline"/>
          <w:highlight w:val="green"/>
        </w:rPr>
        <w:t>improve</w:t>
      </w:r>
      <w:r w:rsidRPr="00DD2D90">
        <w:rPr>
          <w:rStyle w:val="StyleUnderline"/>
        </w:rPr>
        <w:t xml:space="preserve"> aspects of their </w:t>
      </w:r>
      <w:r w:rsidRPr="00DD2D90">
        <w:rPr>
          <w:rStyle w:val="StyleUnderline"/>
          <w:highlight w:val="green"/>
        </w:rPr>
        <w:t>lives</w:t>
      </w:r>
      <w:r w:rsidRPr="00DD2D90">
        <w:rPr>
          <w:rStyle w:val="StyleUnderline"/>
        </w:rPr>
        <w:t xml:space="preserve"> that are </w:t>
      </w:r>
      <w:r w:rsidRPr="00DD2D90">
        <w:rPr>
          <w:rStyle w:val="StyleUnderline"/>
          <w:highlight w:val="green"/>
        </w:rPr>
        <w:t>not medically provable</w:t>
      </w:r>
      <w:r w:rsidR="00777787" w:rsidRPr="00DD2D90">
        <w:rPr>
          <w:rStyle w:val="StyleUnderline"/>
          <w:highlight w:val="green"/>
        </w:rPr>
        <w:t xml:space="preserve"> </w:t>
      </w:r>
      <w:r w:rsidRPr="00DD2D90">
        <w:rPr>
          <w:rStyle w:val="StyleUnderline"/>
          <w:highlight w:val="green"/>
        </w:rPr>
        <w:t>by research</w:t>
      </w:r>
      <w:r w:rsidRPr="00223414">
        <w:rPr>
          <w:sz w:val="16"/>
        </w:rPr>
        <w:t xml:space="preserve">, yet, upon obtaining the product, it can be argued that </w:t>
      </w:r>
      <w:r w:rsidRPr="00DD2D90">
        <w:rPr>
          <w:rStyle w:val="StyleUnderline"/>
          <w:highlight w:val="green"/>
        </w:rPr>
        <w:t>little</w:t>
      </w:r>
      <w:r w:rsidRPr="00DD2D90">
        <w:rPr>
          <w:rStyle w:val="StyleUnderline"/>
        </w:rPr>
        <w:t xml:space="preserve"> regarding one’s lifestyle</w:t>
      </w:r>
      <w:r w:rsidR="00777787" w:rsidRPr="00223414">
        <w:rPr>
          <w:sz w:val="16"/>
        </w:rPr>
        <w:t xml:space="preserve"> </w:t>
      </w:r>
      <w:r w:rsidRPr="00223414">
        <w:rPr>
          <w:sz w:val="16"/>
        </w:rPr>
        <w:t>149</w:t>
      </w:r>
      <w:r w:rsidR="00777787" w:rsidRPr="00223414">
        <w:rPr>
          <w:sz w:val="16"/>
        </w:rPr>
        <w:t xml:space="preserve"> </w:t>
      </w:r>
      <w:r w:rsidRPr="00DD2D90">
        <w:rPr>
          <w:rStyle w:val="StyleUnderline"/>
        </w:rPr>
        <w:t xml:space="preserve">or </w:t>
      </w:r>
      <w:r w:rsidRPr="00DD2D90">
        <w:rPr>
          <w:rStyle w:val="StyleUnderline"/>
          <w:highlight w:val="green"/>
        </w:rPr>
        <w:t>happiness</w:t>
      </w:r>
      <w:r w:rsidRPr="00DD2D90">
        <w:rPr>
          <w:rStyle w:val="StyleUnderline"/>
        </w:rPr>
        <w:t xml:space="preserve"> actually </w:t>
      </w:r>
      <w:r w:rsidRPr="00DD2D90">
        <w:rPr>
          <w:rStyle w:val="StyleUnderline"/>
          <w:highlight w:val="green"/>
        </w:rPr>
        <w:t>changes</w:t>
      </w:r>
      <w:r w:rsidRPr="00DD2D90">
        <w:rPr>
          <w:rStyle w:val="StyleUnderline"/>
        </w:rPr>
        <w:t xml:space="preserve"> purely </w:t>
      </w:r>
      <w:r w:rsidRPr="00DD2D90">
        <w:rPr>
          <w:rStyle w:val="StyleUnderline"/>
          <w:highlight w:val="green"/>
        </w:rPr>
        <w:t>as a result of a medication</w:t>
      </w:r>
      <w:r w:rsidRPr="00223414">
        <w:rPr>
          <w:sz w:val="16"/>
        </w:rPr>
        <w:t xml:space="preserve">. Thus, </w:t>
      </w:r>
      <w:r w:rsidRPr="00DD2D90">
        <w:rPr>
          <w:rStyle w:val="StyleUnderline"/>
        </w:rPr>
        <w:t xml:space="preserve">a </w:t>
      </w:r>
      <w:r w:rsidRPr="00DD2D90">
        <w:rPr>
          <w:rStyle w:val="Emphasis"/>
          <w:highlight w:val="green"/>
        </w:rPr>
        <w:t>false sense of agency</w:t>
      </w:r>
      <w:r w:rsidRPr="00DD2D90">
        <w:rPr>
          <w:rStyle w:val="StyleUnderline"/>
        </w:rPr>
        <w:t xml:space="preserve"> is</w:t>
      </w:r>
      <w:r w:rsidR="00777787" w:rsidRPr="00DD2D90">
        <w:rPr>
          <w:rStyle w:val="StyleUnderline"/>
        </w:rPr>
        <w:t xml:space="preserve"> </w:t>
      </w:r>
      <w:r w:rsidRPr="00DD2D90">
        <w:rPr>
          <w:rStyle w:val="StyleUnderline"/>
        </w:rPr>
        <w:t>sold</w:t>
      </w:r>
      <w:r w:rsidRPr="00223414">
        <w:rPr>
          <w:sz w:val="16"/>
        </w:rPr>
        <w:t xml:space="preserve">, </w:t>
      </w:r>
      <w:r w:rsidRPr="00DD2D90">
        <w:rPr>
          <w:rStyle w:val="StyleUnderline"/>
        </w:rPr>
        <w:t>with the triumph of pharmaceutical advertising being its ability to urge consumers to</w:t>
      </w:r>
      <w:r w:rsidR="00777787" w:rsidRPr="00DD2D90">
        <w:rPr>
          <w:rStyle w:val="StyleUnderline"/>
        </w:rPr>
        <w:t xml:space="preserve"> </w:t>
      </w:r>
      <w:r w:rsidRPr="00DD2D90">
        <w:rPr>
          <w:rStyle w:val="StyleUnderline"/>
        </w:rPr>
        <w:t>compulsively imitate the images they are viewing, where a false “freedom” to choose from</w:t>
      </w:r>
      <w:r w:rsidR="00777787" w:rsidRPr="00DD2D90">
        <w:rPr>
          <w:rStyle w:val="StyleUnderline"/>
        </w:rPr>
        <w:t xml:space="preserve"> </w:t>
      </w:r>
      <w:r w:rsidRPr="00DD2D90">
        <w:rPr>
          <w:rStyle w:val="StyleUnderline"/>
        </w:rPr>
        <w:t>products becomes a freedom to remain the same as everyone else</w:t>
      </w:r>
      <w:r w:rsidRPr="00223414">
        <w:rPr>
          <w:sz w:val="16"/>
        </w:rPr>
        <w:t xml:space="preserve"> (Horkheimer &amp; Adorno, 2002).</w:t>
      </w:r>
      <w:r w:rsidR="00777787" w:rsidRPr="00223414">
        <w:rPr>
          <w:sz w:val="16"/>
        </w:rPr>
        <w:t xml:space="preserve"> </w:t>
      </w:r>
      <w:r w:rsidRPr="00223414">
        <w:rPr>
          <w:sz w:val="16"/>
        </w:rPr>
        <w:t>Namely, patients are becoming ever more deeply inured in the ideology of the market regarding</w:t>
      </w:r>
      <w:r w:rsidR="00777787" w:rsidRPr="00223414">
        <w:rPr>
          <w:sz w:val="16"/>
        </w:rPr>
        <w:t xml:space="preserve"> </w:t>
      </w:r>
      <w:r w:rsidRPr="00DD2D90">
        <w:rPr>
          <w:rStyle w:val="StyleUnderline"/>
        </w:rPr>
        <w:t>medical</w:t>
      </w:r>
      <w:r w:rsidRPr="00223414">
        <w:rPr>
          <w:sz w:val="16"/>
        </w:rPr>
        <w:t xml:space="preserve"> practices, as </w:t>
      </w:r>
      <w:r w:rsidRPr="00DD2D90">
        <w:rPr>
          <w:rStyle w:val="StyleUnderline"/>
        </w:rPr>
        <w:t>advertising shapes them for our society</w:t>
      </w:r>
      <w:r w:rsidRPr="00223414">
        <w:rPr>
          <w:sz w:val="16"/>
        </w:rPr>
        <w:t>.</w:t>
      </w:r>
      <w:r w:rsidR="00777787" w:rsidRPr="00223414">
        <w:rPr>
          <w:sz w:val="16"/>
        </w:rPr>
        <w:t xml:space="preserve"> </w:t>
      </w:r>
      <w:r w:rsidRPr="00223414">
        <w:rPr>
          <w:sz w:val="16"/>
        </w:rPr>
        <w:t>As discussed in chapter three, this dissertation shows how the culmination of</w:t>
      </w:r>
      <w:r w:rsidR="00777787" w:rsidRPr="00223414">
        <w:rPr>
          <w:sz w:val="16"/>
        </w:rPr>
        <w:t xml:space="preserve"> </w:t>
      </w:r>
      <w:r w:rsidRPr="00223414">
        <w:rPr>
          <w:sz w:val="16"/>
        </w:rPr>
        <w:t>medicalization, pharmaceuticalization, and commodity fetishism can be used to explicate how the</w:t>
      </w:r>
      <w:r w:rsidR="00777787" w:rsidRPr="00223414">
        <w:rPr>
          <w:sz w:val="16"/>
        </w:rPr>
        <w:t xml:space="preserve"> </w:t>
      </w:r>
      <w:r w:rsidRPr="00223414">
        <w:rPr>
          <w:sz w:val="16"/>
        </w:rPr>
        <w:t>process of “pharmaceutical fetishism” is present in advertising culture. As sociological research</w:t>
      </w:r>
      <w:r w:rsidR="00777787" w:rsidRPr="00223414">
        <w:rPr>
          <w:sz w:val="16"/>
        </w:rPr>
        <w:t xml:space="preserve"> </w:t>
      </w:r>
      <w:r w:rsidRPr="00223414">
        <w:rPr>
          <w:sz w:val="16"/>
        </w:rPr>
        <w:t>has already established the relationships between consumerism and increased instances of</w:t>
      </w:r>
      <w:r w:rsidR="00777787" w:rsidRPr="00223414">
        <w:rPr>
          <w:sz w:val="16"/>
        </w:rPr>
        <w:t xml:space="preserve"> </w:t>
      </w:r>
      <w:r w:rsidRPr="00223414">
        <w:rPr>
          <w:sz w:val="16"/>
        </w:rPr>
        <w:t>medicalization and pharmaceuticalization, this dissertation is devising the term pharmaceutical</w:t>
      </w:r>
      <w:r w:rsidR="00777787" w:rsidRPr="00223414">
        <w:rPr>
          <w:sz w:val="16"/>
        </w:rPr>
        <w:t xml:space="preserve"> </w:t>
      </w:r>
      <w:r w:rsidRPr="00223414">
        <w:rPr>
          <w:sz w:val="16"/>
        </w:rPr>
        <w:t>fetishism. Pharmaceutical fetishism is the process of the commodification of brand-name</w:t>
      </w:r>
      <w:r w:rsidR="00777787" w:rsidRPr="00223414">
        <w:rPr>
          <w:sz w:val="16"/>
        </w:rPr>
        <w:t xml:space="preserve"> </w:t>
      </w:r>
      <w:r w:rsidRPr="00223414">
        <w:rPr>
          <w:sz w:val="16"/>
        </w:rPr>
        <w:t>pharmaceutical drugs, which, via advertising and promotional culture, ignore large-scale</w:t>
      </w:r>
      <w:r w:rsidR="00777787" w:rsidRPr="00223414">
        <w:rPr>
          <w:sz w:val="16"/>
        </w:rPr>
        <w:t xml:space="preserve"> </w:t>
      </w:r>
      <w:r w:rsidRPr="00223414">
        <w:rPr>
          <w:sz w:val="16"/>
        </w:rPr>
        <w:t>production and for-profit motives of “big pharma” while simultaneously reiterating a brand</w:t>
      </w:r>
      <w:r w:rsidR="00777787" w:rsidRPr="00223414">
        <w:rPr>
          <w:sz w:val="16"/>
        </w:rPr>
        <w:t xml:space="preserve"> </w:t>
      </w:r>
      <w:r w:rsidRPr="00223414">
        <w:rPr>
          <w:sz w:val="16"/>
        </w:rPr>
        <w:t>discourse that offers individuals additionally constructed meanings and discourses which</w:t>
      </w:r>
      <w:r w:rsidR="00777787" w:rsidRPr="00223414">
        <w:rPr>
          <w:sz w:val="16"/>
        </w:rPr>
        <w:t xml:space="preserve"> </w:t>
      </w:r>
      <w:r w:rsidRPr="00223414">
        <w:rPr>
          <w:sz w:val="16"/>
        </w:rPr>
        <w:t>promote: medicine as a cultural authority in health care and prescription drugs as having the</w:t>
      </w:r>
      <w:r w:rsidR="00777787" w:rsidRPr="00223414">
        <w:rPr>
          <w:sz w:val="16"/>
        </w:rPr>
        <w:t xml:space="preserve"> </w:t>
      </w:r>
      <w:r w:rsidRPr="00223414">
        <w:rPr>
          <w:sz w:val="16"/>
        </w:rPr>
        <w:t>capability to solve individual problems beyond those for which a medicine is scientifically</w:t>
      </w:r>
      <w:r w:rsidR="00777787" w:rsidRPr="00223414">
        <w:rPr>
          <w:sz w:val="16"/>
        </w:rPr>
        <w:t xml:space="preserve"> </w:t>
      </w:r>
      <w:r w:rsidRPr="00223414">
        <w:rPr>
          <w:sz w:val="16"/>
        </w:rPr>
        <w:t>intended, thereby offering more benefits outside the realm of health purposes. The concept of</w:t>
      </w:r>
      <w:r w:rsidR="00777787" w:rsidRPr="00223414">
        <w:rPr>
          <w:sz w:val="16"/>
        </w:rPr>
        <w:t xml:space="preserve"> </w:t>
      </w:r>
      <w:r w:rsidRPr="00223414">
        <w:rPr>
          <w:sz w:val="16"/>
        </w:rPr>
        <w:t>pharmaceutical fetishism relies upon the forms of pseudo-autonomy and pseudo-individuality</w:t>
      </w:r>
      <w:r w:rsidR="00777787" w:rsidRPr="00223414">
        <w:rPr>
          <w:sz w:val="16"/>
        </w:rPr>
        <w:t xml:space="preserve"> </w:t>
      </w:r>
      <w:r w:rsidRPr="00223414">
        <w:rPr>
          <w:sz w:val="16"/>
        </w:rPr>
        <w:t>presented to consumers.</w:t>
      </w:r>
      <w:r w:rsidR="00777787" w:rsidRPr="00223414">
        <w:rPr>
          <w:sz w:val="16"/>
        </w:rPr>
        <w:t xml:space="preserve"> </w:t>
      </w:r>
      <w:r w:rsidRPr="00223414">
        <w:rPr>
          <w:sz w:val="16"/>
        </w:rPr>
        <w:t>Commercial culture, which includes advertising, has saturated aspects of identity</w:t>
      </w:r>
      <w:r w:rsidR="00777787" w:rsidRPr="00223414">
        <w:rPr>
          <w:sz w:val="16"/>
        </w:rPr>
        <w:t xml:space="preserve"> </w:t>
      </w:r>
      <w:r w:rsidRPr="00223414">
        <w:rPr>
          <w:sz w:val="16"/>
        </w:rPr>
        <w:t>formation, oftentimes seamlessly, since the 1920s, as culture “asks people to think of themselves</w:t>
      </w:r>
      <w:r w:rsidR="00777787" w:rsidRPr="00223414">
        <w:rPr>
          <w:sz w:val="16"/>
        </w:rPr>
        <w:t xml:space="preserve"> </w:t>
      </w:r>
      <w:r w:rsidRPr="00223414">
        <w:rPr>
          <w:sz w:val="16"/>
        </w:rPr>
        <w:t>as individuals in need who require commodities to become who they are, as private competitors</w:t>
      </w:r>
      <w:r w:rsidR="00777787" w:rsidRPr="00223414">
        <w:rPr>
          <w:sz w:val="16"/>
        </w:rPr>
        <w:t xml:space="preserve"> </w:t>
      </w:r>
      <w:r w:rsidRPr="00223414">
        <w:rPr>
          <w:sz w:val="16"/>
        </w:rPr>
        <w:t>for plentitude in interpersonal and economic markets” (Budd, Craig &amp; Steinman, 1999, p. 16).</w:t>
      </w:r>
      <w:r w:rsidR="00777787" w:rsidRPr="00223414">
        <w:rPr>
          <w:sz w:val="16"/>
        </w:rPr>
        <w:t xml:space="preserve"> </w:t>
      </w:r>
      <w:r w:rsidRPr="00223414">
        <w:rPr>
          <w:sz w:val="16"/>
        </w:rPr>
        <w:t xml:space="preserve">While advertising is not the sole social force that shapes identity, </w:t>
      </w:r>
      <w:r w:rsidRPr="00DD2D90">
        <w:rPr>
          <w:rStyle w:val="StyleUnderline"/>
        </w:rPr>
        <w:t>commercial culture continues to</w:t>
      </w:r>
      <w:r w:rsidR="00777787" w:rsidRPr="00DD2D90">
        <w:rPr>
          <w:rStyle w:val="StyleUnderline"/>
        </w:rPr>
        <w:t xml:space="preserve"> </w:t>
      </w:r>
      <w:r w:rsidRPr="00DD2D90">
        <w:rPr>
          <w:rStyle w:val="StyleUnderline"/>
        </w:rPr>
        <w:t>model individuality as supreme</w:t>
      </w:r>
      <w:r w:rsidRPr="00223414">
        <w:rPr>
          <w:sz w:val="16"/>
        </w:rPr>
        <w:t xml:space="preserve"> – Western ads are centered on making one person stand out</w:t>
      </w:r>
      <w:r w:rsidR="00777787" w:rsidRPr="00223414">
        <w:rPr>
          <w:sz w:val="16"/>
        </w:rPr>
        <w:t xml:space="preserve"> </w:t>
      </w:r>
      <w:r w:rsidRPr="00223414">
        <w:rPr>
          <w:sz w:val="16"/>
        </w:rPr>
        <w:t xml:space="preserve">amongst a group. </w:t>
      </w:r>
      <w:r w:rsidRPr="00DD2D90">
        <w:rPr>
          <w:rStyle w:val="StyleUnderline"/>
        </w:rPr>
        <w:t>Advertising</w:t>
      </w:r>
      <w:r w:rsidRPr="00223414">
        <w:rPr>
          <w:sz w:val="16"/>
        </w:rPr>
        <w:t xml:space="preserve"> is effective in its attempts to </w:t>
      </w:r>
      <w:r w:rsidRPr="00DD2D90">
        <w:rPr>
          <w:rStyle w:val="StyleUnderline"/>
        </w:rPr>
        <w:t>connect with the individuality of</w:t>
      </w:r>
      <w:r w:rsidR="00777787" w:rsidRPr="00DD2D90">
        <w:rPr>
          <w:rStyle w:val="StyleUnderline"/>
        </w:rPr>
        <w:t xml:space="preserve"> </w:t>
      </w:r>
      <w:r w:rsidRPr="00DD2D90">
        <w:rPr>
          <w:rStyle w:val="StyleUnderline"/>
        </w:rPr>
        <w:t xml:space="preserve">consumers because it </w:t>
      </w:r>
      <w:r w:rsidRPr="00DD2D90">
        <w:rPr>
          <w:rStyle w:val="StyleUnderline"/>
          <w:highlight w:val="green"/>
        </w:rPr>
        <w:t>recycles language, imagery, and symbols</w:t>
      </w:r>
      <w:r w:rsidRPr="00223414">
        <w:rPr>
          <w:sz w:val="16"/>
        </w:rPr>
        <w:t xml:space="preserve"> that are </w:t>
      </w:r>
      <w:r w:rsidRPr="00DD2D90">
        <w:rPr>
          <w:rStyle w:val="StyleUnderline"/>
          <w:highlight w:val="green"/>
        </w:rPr>
        <w:t>meaningful to those being</w:t>
      </w:r>
      <w:r w:rsidR="00777787" w:rsidRPr="00DD2D90">
        <w:rPr>
          <w:rStyle w:val="StyleUnderline"/>
          <w:highlight w:val="green"/>
        </w:rPr>
        <w:t xml:space="preserve"> </w:t>
      </w:r>
      <w:r w:rsidRPr="00DD2D90">
        <w:rPr>
          <w:rStyle w:val="StyleUnderline"/>
          <w:highlight w:val="green"/>
        </w:rPr>
        <w:t>targeted</w:t>
      </w:r>
      <w:r w:rsidRPr="00223414">
        <w:rPr>
          <w:sz w:val="16"/>
        </w:rPr>
        <w:t xml:space="preserve"> for sales (Spigel, 1992, p. 7). The hegemonic power of commercialism, then, rests in its</w:t>
      </w:r>
      <w:r w:rsidR="00777787" w:rsidRPr="00223414">
        <w:rPr>
          <w:sz w:val="16"/>
        </w:rPr>
        <w:t xml:space="preserve"> </w:t>
      </w:r>
      <w:r w:rsidRPr="00223414">
        <w:rPr>
          <w:sz w:val="16"/>
        </w:rPr>
        <w:t xml:space="preserve">ability to encourage pseudo-individuality, where </w:t>
      </w:r>
      <w:r w:rsidRPr="00DD2D90">
        <w:rPr>
          <w:rStyle w:val="StyleUnderline"/>
          <w:highlight w:val="green"/>
        </w:rPr>
        <w:t>an individual</w:t>
      </w:r>
      <w:r w:rsidRPr="00DD2D90">
        <w:rPr>
          <w:rStyle w:val="StyleUnderline"/>
        </w:rPr>
        <w:t xml:space="preserve"> </w:t>
      </w:r>
      <w:r w:rsidRPr="00DD2D90">
        <w:rPr>
          <w:rStyle w:val="StyleUnderline"/>
          <w:highlight w:val="green"/>
        </w:rPr>
        <w:t>feels</w:t>
      </w:r>
      <w:r w:rsidRPr="00DD2D90">
        <w:rPr>
          <w:rStyle w:val="StyleUnderline"/>
        </w:rPr>
        <w:t xml:space="preserve"> they are </w:t>
      </w:r>
      <w:r w:rsidRPr="00DD2D90">
        <w:rPr>
          <w:rStyle w:val="StyleUnderline"/>
          <w:highlight w:val="green"/>
        </w:rPr>
        <w:t>motivated by their</w:t>
      </w:r>
      <w:r w:rsidR="00777787" w:rsidRPr="00DD2D90">
        <w:rPr>
          <w:rStyle w:val="StyleUnderline"/>
        </w:rPr>
        <w:t xml:space="preserve"> </w:t>
      </w:r>
      <w:r w:rsidRPr="00DD2D90">
        <w:rPr>
          <w:rStyle w:val="StyleUnderline"/>
          <w:highlight w:val="green"/>
        </w:rPr>
        <w:t>own</w:t>
      </w:r>
      <w:r w:rsidRPr="00DD2D90">
        <w:rPr>
          <w:rStyle w:val="StyleUnderline"/>
        </w:rPr>
        <w:t xml:space="preserve"> personal </w:t>
      </w:r>
      <w:r w:rsidRPr="00DD2D90">
        <w:rPr>
          <w:rStyle w:val="StyleUnderline"/>
          <w:highlight w:val="green"/>
        </w:rPr>
        <w:t>desires, when</w:t>
      </w:r>
      <w:r w:rsidRPr="00DD2D90">
        <w:rPr>
          <w:rStyle w:val="StyleUnderline"/>
        </w:rPr>
        <w:t xml:space="preserve">, in fact, their </w:t>
      </w:r>
      <w:r w:rsidRPr="00DD2D90">
        <w:rPr>
          <w:rStyle w:val="StyleUnderline"/>
          <w:highlight w:val="green"/>
        </w:rPr>
        <w:t>motivation comes from</w:t>
      </w:r>
      <w:r w:rsidRPr="00DD2D90">
        <w:rPr>
          <w:rStyle w:val="StyleUnderline"/>
        </w:rPr>
        <w:t xml:space="preserve"> a system of intricately designed</w:t>
      </w:r>
      <w:r w:rsidR="00777787" w:rsidRPr="00DD2D90">
        <w:rPr>
          <w:rStyle w:val="StyleUnderline"/>
        </w:rPr>
        <w:t xml:space="preserve"> </w:t>
      </w:r>
      <w:r w:rsidRPr="00DD2D90">
        <w:rPr>
          <w:rStyle w:val="StyleUnderline"/>
          <w:highlight w:val="green"/>
        </w:rPr>
        <w:t>commercial culture that encourages</w:t>
      </w:r>
      <w:r w:rsidRPr="00223414">
        <w:rPr>
          <w:sz w:val="16"/>
        </w:rPr>
        <w:t xml:space="preserve"> spending, shopping, and </w:t>
      </w:r>
      <w:r w:rsidRPr="00DD2D90">
        <w:rPr>
          <w:rStyle w:val="StyleUnderline"/>
          <w:highlight w:val="green"/>
        </w:rPr>
        <w:t>capitalism</w:t>
      </w:r>
      <w:r w:rsidRPr="00223414">
        <w:rPr>
          <w:sz w:val="16"/>
        </w:rPr>
        <w:t>. (Spigel, 1992).</w:t>
      </w:r>
      <w:r w:rsidR="00777787" w:rsidRPr="00223414">
        <w:rPr>
          <w:sz w:val="16"/>
        </w:rPr>
        <w:t xml:space="preserve"> </w:t>
      </w:r>
      <w:r w:rsidRPr="00223414">
        <w:rPr>
          <w:sz w:val="16"/>
        </w:rPr>
        <w:t>Recall the earlier discussions of pseudo-individuality, commodity fetishism, and</w:t>
      </w:r>
      <w:r w:rsidR="00777787" w:rsidRPr="00223414">
        <w:rPr>
          <w:sz w:val="16"/>
        </w:rPr>
        <w:t xml:space="preserve"> </w:t>
      </w:r>
      <w:r w:rsidRPr="00223414">
        <w:rPr>
          <w:sz w:val="16"/>
        </w:rPr>
        <w:t>advertising as magic. These arguments can be applied to pharmaceutical fetishism present in</w:t>
      </w:r>
      <w:r w:rsidR="00777787" w:rsidRPr="00223414">
        <w:rPr>
          <w:sz w:val="16"/>
        </w:rPr>
        <w:t xml:space="preserve"> </w:t>
      </w:r>
      <w:r w:rsidRPr="00223414">
        <w:rPr>
          <w:sz w:val="16"/>
        </w:rPr>
        <w:t>DTCA, as these advertisements present consumers with romanticized portrayals regarding what</w:t>
      </w:r>
      <w:r w:rsidR="00777787" w:rsidRPr="00223414">
        <w:rPr>
          <w:sz w:val="16"/>
        </w:rPr>
        <w:t xml:space="preserve"> </w:t>
      </w:r>
      <w:r w:rsidRPr="00223414">
        <w:rPr>
          <w:sz w:val="16"/>
        </w:rPr>
        <w:t>benefits a prescription drug can offer and ignoring other treatment options. Rather than relying</w:t>
      </w:r>
      <w:r w:rsidR="00777787" w:rsidRPr="00223414">
        <w:rPr>
          <w:sz w:val="16"/>
        </w:rPr>
        <w:t xml:space="preserve"> </w:t>
      </w:r>
      <w:r w:rsidRPr="00223414">
        <w:rPr>
          <w:sz w:val="16"/>
        </w:rPr>
        <w:t>merely on the medical benefits associated with a drug designed to treat a target condition, the</w:t>
      </w:r>
      <w:r w:rsidR="00777787" w:rsidRPr="00223414">
        <w:rPr>
          <w:sz w:val="16"/>
        </w:rPr>
        <w:t xml:space="preserve"> </w:t>
      </w:r>
      <w:r w:rsidRPr="00223414">
        <w:rPr>
          <w:sz w:val="16"/>
        </w:rPr>
        <w:t>industry of DTCA has permitted these commercials to include “additional benefits,” usually by</w:t>
      </w:r>
      <w:r w:rsidR="00777787" w:rsidRPr="00223414">
        <w:rPr>
          <w:sz w:val="16"/>
        </w:rPr>
        <w:t xml:space="preserve"> </w:t>
      </w:r>
      <w:r w:rsidRPr="00223414">
        <w:rPr>
          <w:sz w:val="16"/>
        </w:rPr>
        <w:t>relying on the use of emotional appeals or presentations of scenarios of those in the ads who have</w:t>
      </w:r>
      <w:r w:rsidR="00777787" w:rsidRPr="00223414">
        <w:rPr>
          <w:sz w:val="16"/>
        </w:rPr>
        <w:t xml:space="preserve"> </w:t>
      </w:r>
      <w:r w:rsidRPr="00223414">
        <w:rPr>
          <w:sz w:val="16"/>
        </w:rPr>
        <w:t>used the drugs. This means that the culture of prescription drugs is being reproduced, potentially</w:t>
      </w:r>
      <w:r w:rsidR="00777787" w:rsidRPr="00223414">
        <w:rPr>
          <w:sz w:val="16"/>
        </w:rPr>
        <w:t xml:space="preserve"> </w:t>
      </w:r>
      <w:r w:rsidRPr="00223414">
        <w:rPr>
          <w:sz w:val="16"/>
        </w:rPr>
        <w:t>suggesting to consumers that they can obtain positive attributes beyond what can be corrected in</w:t>
      </w:r>
      <w:r w:rsidR="00777787" w:rsidRPr="00223414">
        <w:rPr>
          <w:sz w:val="16"/>
        </w:rPr>
        <w:t xml:space="preserve"> </w:t>
      </w:r>
      <w:r w:rsidRPr="00223414">
        <w:rPr>
          <w:sz w:val="16"/>
        </w:rPr>
        <w:t>the body – for example, advertisements for antidepressants often feature all relationships as</w:t>
      </w:r>
      <w:r w:rsidR="00777787" w:rsidRPr="00223414">
        <w:rPr>
          <w:sz w:val="16"/>
        </w:rPr>
        <w:t xml:space="preserve"> </w:t>
      </w:r>
      <w:r w:rsidRPr="00223414">
        <w:rPr>
          <w:sz w:val="16"/>
        </w:rPr>
        <w:t>significantly improving and seeming “perfect” as a result of consuming a medication, but this is a</w:t>
      </w:r>
      <w:r w:rsidR="00777787" w:rsidRPr="00223414">
        <w:rPr>
          <w:sz w:val="16"/>
        </w:rPr>
        <w:t xml:space="preserve"> </w:t>
      </w:r>
      <w:r w:rsidRPr="00223414">
        <w:rPr>
          <w:sz w:val="16"/>
        </w:rPr>
        <w:t>veiled representation of a serious mental health condition and the social challenges that come</w:t>
      </w:r>
      <w:r w:rsidR="00777787" w:rsidRPr="00223414">
        <w:rPr>
          <w:sz w:val="16"/>
        </w:rPr>
        <w:t xml:space="preserve"> </w:t>
      </w:r>
      <w:r w:rsidRPr="00223414">
        <w:rPr>
          <w:sz w:val="16"/>
        </w:rPr>
        <w:t xml:space="preserve">along with it. In order </w:t>
      </w:r>
      <w:r w:rsidRPr="00DD2D90">
        <w:rPr>
          <w:rStyle w:val="StyleUnderline"/>
        </w:rPr>
        <w:t>to benefit capitalistic endeavors</w:t>
      </w:r>
      <w:r w:rsidRPr="00223414">
        <w:rPr>
          <w:sz w:val="16"/>
        </w:rPr>
        <w:t xml:space="preserve">, the culture of </w:t>
      </w:r>
      <w:r w:rsidRPr="00DD2D90">
        <w:rPr>
          <w:rStyle w:val="StyleUnderline"/>
        </w:rPr>
        <w:t>pharmaceuticals</w:t>
      </w:r>
      <w:r w:rsidRPr="00223414">
        <w:rPr>
          <w:sz w:val="16"/>
        </w:rPr>
        <w:t xml:space="preserve"> has</w:t>
      </w:r>
      <w:r w:rsidR="00777787" w:rsidRPr="00223414">
        <w:rPr>
          <w:sz w:val="16"/>
        </w:rPr>
        <w:t xml:space="preserve"> </w:t>
      </w:r>
      <w:r w:rsidRPr="00223414">
        <w:rPr>
          <w:sz w:val="16"/>
        </w:rPr>
        <w:t xml:space="preserve">evolved into one that </w:t>
      </w:r>
      <w:r w:rsidRPr="00DD2D90">
        <w:rPr>
          <w:rStyle w:val="StyleUnderline"/>
        </w:rPr>
        <w:t>promises much more than it can realistically deliver</w:t>
      </w:r>
      <w:r w:rsidRPr="00223414">
        <w:rPr>
          <w:sz w:val="16"/>
        </w:rPr>
        <w:t xml:space="preserve"> for consumers. As</w:t>
      </w:r>
      <w:r w:rsidR="00777787" w:rsidRPr="00223414">
        <w:rPr>
          <w:sz w:val="16"/>
        </w:rPr>
        <w:t xml:space="preserve"> </w:t>
      </w:r>
      <w:r w:rsidRPr="00223414">
        <w:rPr>
          <w:sz w:val="16"/>
        </w:rPr>
        <w:t>Rose (2007) has suggested, DTCA may be an aspect of medicalization and pharmaceuticalization</w:t>
      </w:r>
      <w:r w:rsidR="00777787" w:rsidRPr="00223414">
        <w:rPr>
          <w:sz w:val="16"/>
        </w:rPr>
        <w:t xml:space="preserve"> </w:t>
      </w:r>
      <w:r w:rsidRPr="00223414">
        <w:rPr>
          <w:sz w:val="16"/>
        </w:rPr>
        <w:t xml:space="preserve">that creates false needs for consumers. Furthermore, </w:t>
      </w:r>
      <w:r w:rsidRPr="00DD2D90">
        <w:rPr>
          <w:rStyle w:val="StyleUnderline"/>
          <w:highlight w:val="green"/>
        </w:rPr>
        <w:t>false claims</w:t>
      </w:r>
      <w:r w:rsidRPr="00DD2D90">
        <w:rPr>
          <w:rStyle w:val="StyleUnderline"/>
        </w:rPr>
        <w:t xml:space="preserve"> are presented to consumers that</w:t>
      </w:r>
      <w:r w:rsidR="00777787" w:rsidRPr="00DD2D90">
        <w:rPr>
          <w:rStyle w:val="StyleUnderline"/>
        </w:rPr>
        <w:t xml:space="preserve"> </w:t>
      </w:r>
      <w:r w:rsidRPr="00DD2D90">
        <w:rPr>
          <w:rStyle w:val="StyleUnderline"/>
          <w:highlight w:val="green"/>
        </w:rPr>
        <w:t>lead them to believe</w:t>
      </w:r>
      <w:r w:rsidRPr="00DD2D90">
        <w:rPr>
          <w:rStyle w:val="StyleUnderline"/>
        </w:rPr>
        <w:t xml:space="preserve"> that </w:t>
      </w:r>
      <w:r w:rsidRPr="00DD2D90">
        <w:rPr>
          <w:rStyle w:val="StyleUnderline"/>
          <w:highlight w:val="green"/>
        </w:rPr>
        <w:t>pharmaceuticals can meet</w:t>
      </w:r>
      <w:r w:rsidRPr="00DD2D90">
        <w:rPr>
          <w:rStyle w:val="StyleUnderline"/>
        </w:rPr>
        <w:t xml:space="preserve"> </w:t>
      </w:r>
      <w:r w:rsidRPr="00DD2D90">
        <w:rPr>
          <w:rStyle w:val="StyleUnderline"/>
          <w:highlight w:val="green"/>
        </w:rPr>
        <w:t>individual</w:t>
      </w:r>
      <w:r w:rsidRPr="00DD2D90">
        <w:rPr>
          <w:rStyle w:val="StyleUnderline"/>
        </w:rPr>
        <w:t xml:space="preserve"> needs and </w:t>
      </w:r>
      <w:r w:rsidRPr="00DD2D90">
        <w:rPr>
          <w:rStyle w:val="StyleUnderline"/>
          <w:highlight w:val="green"/>
        </w:rPr>
        <w:t>desires</w:t>
      </w:r>
      <w:r w:rsidRPr="00223414">
        <w:rPr>
          <w:sz w:val="16"/>
        </w:rPr>
        <w:t xml:space="preserve">. </w:t>
      </w:r>
      <w:r w:rsidRPr="00DD2D90">
        <w:rPr>
          <w:rStyle w:val="StyleUnderline"/>
        </w:rPr>
        <w:t>This can be</w:t>
      </w:r>
      <w:r w:rsidR="00777787" w:rsidRPr="00DD2D90">
        <w:rPr>
          <w:rStyle w:val="StyleUnderline"/>
        </w:rPr>
        <w:t xml:space="preserve"> </w:t>
      </w:r>
      <w:r w:rsidRPr="00DD2D90">
        <w:rPr>
          <w:rStyle w:val="StyleUnderline"/>
        </w:rPr>
        <w:t xml:space="preserve">described as a form of </w:t>
      </w:r>
      <w:r w:rsidRPr="00DD2D90">
        <w:rPr>
          <w:rStyle w:val="Emphasis"/>
          <w:highlight w:val="green"/>
        </w:rPr>
        <w:t>ideological appropriation</w:t>
      </w:r>
      <w:r w:rsidRPr="00223414">
        <w:rPr>
          <w:sz w:val="16"/>
        </w:rPr>
        <w:t xml:space="preserve">, </w:t>
      </w:r>
      <w:r w:rsidRPr="00DD2D90">
        <w:rPr>
          <w:rStyle w:val="StyleUnderline"/>
        </w:rPr>
        <w:t xml:space="preserve">as the industry that exists to </w:t>
      </w:r>
      <w:r w:rsidRPr="00DD2D90">
        <w:rPr>
          <w:rStyle w:val="StyleUnderline"/>
          <w:highlight w:val="green"/>
        </w:rPr>
        <w:t>expand</w:t>
      </w:r>
      <w:r w:rsidRPr="00223414">
        <w:rPr>
          <w:sz w:val="16"/>
        </w:rPr>
        <w:t xml:space="preserve"> 151</w:t>
      </w:r>
      <w:r w:rsidR="00777787" w:rsidRPr="00223414">
        <w:rPr>
          <w:sz w:val="16"/>
        </w:rPr>
        <w:t xml:space="preserve"> </w:t>
      </w:r>
      <w:r w:rsidRPr="00DD2D90">
        <w:rPr>
          <w:rStyle w:val="StyleUnderline"/>
          <w:highlight w:val="green"/>
        </w:rPr>
        <w:t>understandings of health</w:t>
      </w:r>
      <w:r w:rsidRPr="00DD2D90">
        <w:rPr>
          <w:rStyle w:val="StyleUnderline"/>
        </w:rPr>
        <w:t xml:space="preserve"> is the very industry </w:t>
      </w:r>
      <w:r w:rsidRPr="00DD2D90">
        <w:rPr>
          <w:rStyle w:val="StyleUnderline"/>
          <w:highlight w:val="green"/>
        </w:rPr>
        <w:t>that creates false</w:t>
      </w:r>
      <w:r w:rsidRPr="00DD2D90">
        <w:rPr>
          <w:rStyle w:val="StyleUnderline"/>
        </w:rPr>
        <w:t xml:space="preserve"> </w:t>
      </w:r>
      <w:r w:rsidRPr="00DD2D90">
        <w:rPr>
          <w:rStyle w:val="StyleUnderline"/>
          <w:highlight w:val="green"/>
        </w:rPr>
        <w:t>needs in a consumer-driven market</w:t>
      </w:r>
      <w:r w:rsidR="00777787" w:rsidRPr="00223414">
        <w:rPr>
          <w:sz w:val="16"/>
        </w:rPr>
        <w:t xml:space="preserve"> </w:t>
      </w:r>
      <w:r w:rsidRPr="00223414">
        <w:rPr>
          <w:sz w:val="16"/>
        </w:rPr>
        <w:t>(Abraham, 2010).</w:t>
      </w:r>
      <w:r w:rsidR="00777787" w:rsidRPr="00223414">
        <w:rPr>
          <w:sz w:val="16"/>
        </w:rPr>
        <w:t xml:space="preserve"> </w:t>
      </w:r>
      <w:r w:rsidRPr="00223414">
        <w:rPr>
          <w:sz w:val="16"/>
        </w:rPr>
        <w:t>The following chapter will contextualize the main arguments of this dissertation, and the</w:t>
      </w:r>
      <w:r w:rsidR="00777787" w:rsidRPr="00223414">
        <w:rPr>
          <w:sz w:val="16"/>
        </w:rPr>
        <w:t xml:space="preserve"> </w:t>
      </w:r>
      <w:r w:rsidRPr="00223414">
        <w:rPr>
          <w:sz w:val="16"/>
        </w:rPr>
        <w:t>results of chapters four and five, by providing a case study of a particular drug featured in this</w:t>
      </w:r>
      <w:r w:rsidR="00777787" w:rsidRPr="00223414">
        <w:rPr>
          <w:sz w:val="16"/>
        </w:rPr>
        <w:t xml:space="preserve"> </w:t>
      </w:r>
      <w:r w:rsidRPr="00223414">
        <w:rPr>
          <w:sz w:val="16"/>
        </w:rPr>
        <w:t>dataset. By offering a more nuanced analysis of one drug’s commercial production and</w:t>
      </w:r>
      <w:r w:rsidR="00777787" w:rsidRPr="00223414">
        <w:rPr>
          <w:sz w:val="16"/>
        </w:rPr>
        <w:t xml:space="preserve"> </w:t>
      </w:r>
      <w:r w:rsidRPr="00223414">
        <w:rPr>
          <w:sz w:val="16"/>
        </w:rPr>
        <w:t>advertising campaign, the role that pharmaceutical fetishism plays in health care and subsequent</w:t>
      </w:r>
      <w:r w:rsidR="00777787" w:rsidRPr="00223414">
        <w:rPr>
          <w:sz w:val="16"/>
        </w:rPr>
        <w:t xml:space="preserve"> </w:t>
      </w:r>
      <w:r w:rsidRPr="00223414">
        <w:rPr>
          <w:sz w:val="16"/>
        </w:rPr>
        <w:t>impacts on patient representation and understanding can be seen more clearly Chapter 6</w:t>
      </w:r>
      <w:r w:rsidR="00777787" w:rsidRPr="00223414">
        <w:rPr>
          <w:sz w:val="16"/>
        </w:rPr>
        <w:t xml:space="preserve"> </w:t>
      </w:r>
      <w:r w:rsidRPr="00223414">
        <w:rPr>
          <w:sz w:val="16"/>
        </w:rPr>
        <w:t>The Commercial Elements of Constructing a Drug: A Case Study of YAZ</w:t>
      </w:r>
      <w:r w:rsidR="00A215F0" w:rsidRPr="00223414">
        <w:rPr>
          <w:sz w:val="16"/>
        </w:rPr>
        <w:t xml:space="preserve"> </w:t>
      </w:r>
      <w:r w:rsidRPr="00223414">
        <w:rPr>
          <w:sz w:val="16"/>
        </w:rPr>
        <w:t>The previous chapter analyzed a series of critical variables in a sample of DTC</w:t>
      </w:r>
      <w:r w:rsidR="00777787" w:rsidRPr="00223414">
        <w:rPr>
          <w:sz w:val="16"/>
        </w:rPr>
        <w:t xml:space="preserve"> </w:t>
      </w:r>
      <w:r w:rsidRPr="00223414">
        <w:rPr>
          <w:sz w:val="16"/>
        </w:rPr>
        <w:t>advertisements, mainly focusing on issues of representation and power associated with the</w:t>
      </w:r>
      <w:r w:rsidR="00777787" w:rsidRPr="00223414">
        <w:rPr>
          <w:sz w:val="16"/>
        </w:rPr>
        <w:t xml:space="preserve"> </w:t>
      </w:r>
      <w:r w:rsidRPr="00223414">
        <w:rPr>
          <w:sz w:val="16"/>
        </w:rPr>
        <w:t>construction of a person. In that chapter, advertisements for several DTC drugs were engaged,</w:t>
      </w:r>
      <w:r w:rsidR="00777787" w:rsidRPr="00223414">
        <w:rPr>
          <w:sz w:val="16"/>
        </w:rPr>
        <w:t xml:space="preserve"> </w:t>
      </w:r>
      <w:r w:rsidRPr="00223414">
        <w:rPr>
          <w:sz w:val="16"/>
        </w:rPr>
        <w:t>both from a quantitative and qualitative perspective. The later involved textual analysis, as</w:t>
      </w:r>
      <w:r w:rsidR="00777787" w:rsidRPr="00223414">
        <w:rPr>
          <w:sz w:val="16"/>
        </w:rPr>
        <w:t xml:space="preserve"> </w:t>
      </w:r>
      <w:r w:rsidRPr="00223414">
        <w:rPr>
          <w:sz w:val="16"/>
        </w:rPr>
        <w:t>previous research has done, to situate advertisements as artifacts of material culture which can be</w:t>
      </w:r>
      <w:r w:rsidR="00777787" w:rsidRPr="00223414">
        <w:rPr>
          <w:sz w:val="16"/>
        </w:rPr>
        <w:t xml:space="preserve"> </w:t>
      </w:r>
      <w:r w:rsidRPr="00223414">
        <w:rPr>
          <w:sz w:val="16"/>
        </w:rPr>
        <w:t>read as socially constructed texts in order to investigate the processes of meaning-making</w:t>
      </w:r>
      <w:r w:rsidR="00777787" w:rsidRPr="00223414">
        <w:rPr>
          <w:sz w:val="16"/>
        </w:rPr>
        <w:t xml:space="preserve"> </w:t>
      </w:r>
      <w:r w:rsidRPr="00223414">
        <w:rPr>
          <w:sz w:val="16"/>
        </w:rPr>
        <w:t>inherent in these forms of promotion (Williamson, 1978; Ewen, 1988; Hall, 1997; Lentricchia &amp;</w:t>
      </w:r>
      <w:r w:rsidR="00777787" w:rsidRPr="00223414">
        <w:rPr>
          <w:sz w:val="16"/>
        </w:rPr>
        <w:t xml:space="preserve"> </w:t>
      </w:r>
      <w:r w:rsidRPr="00223414">
        <w:rPr>
          <w:sz w:val="16"/>
        </w:rPr>
        <w:t>Dubois, 2003; Crockett, 2008). However, rather than grouping ads for different products together</w:t>
      </w:r>
      <w:r w:rsidR="00777787" w:rsidRPr="00223414">
        <w:rPr>
          <w:sz w:val="16"/>
        </w:rPr>
        <w:t xml:space="preserve"> </w:t>
      </w:r>
      <w:r w:rsidRPr="00223414">
        <w:rPr>
          <w:sz w:val="16"/>
        </w:rPr>
        <w:t>to illustrate trends in representation or semiotic characteristics of advertising, other work has</w:t>
      </w:r>
      <w:r w:rsidR="00777787" w:rsidRPr="00223414">
        <w:rPr>
          <w:sz w:val="16"/>
        </w:rPr>
        <w:t xml:space="preserve"> </w:t>
      </w:r>
      <w:r w:rsidRPr="00223414">
        <w:rPr>
          <w:sz w:val="16"/>
        </w:rPr>
        <w:t>focused on one case study to offer even more context for understanding a particular campaign</w:t>
      </w:r>
      <w:r w:rsidR="00777787" w:rsidRPr="00223414">
        <w:rPr>
          <w:sz w:val="16"/>
        </w:rPr>
        <w:t xml:space="preserve"> </w:t>
      </w:r>
      <w:r w:rsidRPr="00223414">
        <w:rPr>
          <w:sz w:val="16"/>
        </w:rPr>
        <w:t>(see for example Landeau, 2011; Stein, 2002).</w:t>
      </w:r>
      <w:r w:rsidR="00777787" w:rsidRPr="00223414">
        <w:rPr>
          <w:sz w:val="16"/>
        </w:rPr>
        <w:t xml:space="preserve"> </w:t>
      </w:r>
      <w:r w:rsidRPr="00223414">
        <w:rPr>
          <w:sz w:val="16"/>
        </w:rPr>
        <w:t>In a similar way, and to provide a more in-depth look at the ways in which a prescription</w:t>
      </w:r>
      <w:r w:rsidR="00777787" w:rsidRPr="00223414">
        <w:rPr>
          <w:sz w:val="16"/>
        </w:rPr>
        <w:t xml:space="preserve"> </w:t>
      </w:r>
      <w:r w:rsidRPr="00223414">
        <w:rPr>
          <w:sz w:val="16"/>
        </w:rPr>
        <w:t>drug is advertised and produced, this chapter will use a case study approach, utilizing multivariate</w:t>
      </w:r>
      <w:r w:rsidR="00777787" w:rsidRPr="00223414">
        <w:rPr>
          <w:sz w:val="16"/>
        </w:rPr>
        <w:t xml:space="preserve"> </w:t>
      </w:r>
      <w:r w:rsidRPr="00223414">
        <w:rPr>
          <w:sz w:val="16"/>
        </w:rPr>
        <w:t>data stemming from chapters four and five, a political economy approach (methodology</w:t>
      </w:r>
      <w:r w:rsidR="00777787" w:rsidRPr="00223414">
        <w:rPr>
          <w:sz w:val="16"/>
        </w:rPr>
        <w:t xml:space="preserve"> </w:t>
      </w:r>
      <w:r w:rsidRPr="00223414">
        <w:rPr>
          <w:sz w:val="16"/>
        </w:rPr>
        <w:t>discussed in chapter two), critical advertising studies (addressed in chapter three), and textual</w:t>
      </w:r>
      <w:r w:rsidR="00777787" w:rsidRPr="00223414">
        <w:rPr>
          <w:sz w:val="16"/>
        </w:rPr>
        <w:t xml:space="preserve"> </w:t>
      </w:r>
      <w:r w:rsidRPr="00223414">
        <w:rPr>
          <w:sz w:val="16"/>
        </w:rPr>
        <w:t>analysis (methodology defined in chapter five), to deconstruct one especially noteworthy</w:t>
      </w:r>
      <w:r w:rsidR="00777787" w:rsidRPr="00223414">
        <w:rPr>
          <w:sz w:val="16"/>
        </w:rPr>
        <w:t xml:space="preserve"> </w:t>
      </w:r>
      <w:r w:rsidRPr="00223414">
        <w:rPr>
          <w:sz w:val="16"/>
        </w:rPr>
        <w:t>campaign, the prescription-only contraceptive YAZ.</w:t>
      </w:r>
      <w:r w:rsidR="00777787" w:rsidRPr="00223414">
        <w:rPr>
          <w:sz w:val="16"/>
        </w:rPr>
        <w:t xml:space="preserve"> </w:t>
      </w:r>
      <w:r w:rsidRPr="00223414">
        <w:rPr>
          <w:sz w:val="16"/>
        </w:rPr>
        <w:t>The FDA first approved oral contraceptives in 1960, and women quickly accepted the</w:t>
      </w:r>
      <w:r w:rsidR="00777787" w:rsidRPr="00223414">
        <w:rPr>
          <w:sz w:val="16"/>
        </w:rPr>
        <w:t xml:space="preserve"> </w:t>
      </w:r>
      <w:r w:rsidRPr="00223414">
        <w:rPr>
          <w:sz w:val="16"/>
        </w:rPr>
        <w:t>shift in female-controlled contraceptive efforts. By the late 1960s, people referred to oral</w:t>
      </w:r>
      <w:r w:rsidR="00777787" w:rsidRPr="00223414">
        <w:rPr>
          <w:sz w:val="16"/>
        </w:rPr>
        <w:t xml:space="preserve"> </w:t>
      </w:r>
      <w:r w:rsidRPr="00223414">
        <w:rPr>
          <w:sz w:val="16"/>
        </w:rPr>
        <w:t>contraceptives simply as “The Pill,” which to this day holds the same meanings and connotations,</w:t>
      </w:r>
      <w:r w:rsidR="00777787" w:rsidRPr="00223414">
        <w:rPr>
          <w:sz w:val="16"/>
        </w:rPr>
        <w:t xml:space="preserve"> </w:t>
      </w:r>
      <w:r w:rsidRPr="00223414">
        <w:rPr>
          <w:sz w:val="16"/>
        </w:rPr>
        <w:t>showing the popularity, reach, and cultural awareness of this pharmaceutical sector (Tone, 2012).</w:t>
      </w:r>
      <w:r w:rsidR="00777787" w:rsidRPr="00223414">
        <w:rPr>
          <w:sz w:val="16"/>
        </w:rPr>
        <w:t xml:space="preserve"> </w:t>
      </w:r>
      <w:r w:rsidRPr="00223414">
        <w:rPr>
          <w:sz w:val="16"/>
        </w:rPr>
        <w:t>In the 1990s and 2000s, pharmaceutical marketing in the United States began to publicize birth</w:t>
      </w:r>
      <w:r w:rsidR="00777787" w:rsidRPr="00223414">
        <w:rPr>
          <w:sz w:val="16"/>
        </w:rPr>
        <w:t xml:space="preserve"> </w:t>
      </w:r>
      <w:r w:rsidRPr="00223414">
        <w:rPr>
          <w:sz w:val="16"/>
        </w:rPr>
        <w:t>control as more of an individual solution rather than a public health strategy (Watkins, 2012).</w:t>
      </w:r>
      <w:r w:rsidR="00777787" w:rsidRPr="00223414">
        <w:rPr>
          <w:sz w:val="16"/>
        </w:rPr>
        <w:t xml:space="preserve"> </w:t>
      </w:r>
      <w:r w:rsidRPr="00223414">
        <w:rPr>
          <w:sz w:val="16"/>
        </w:rPr>
        <w:t>Historically, the messages surrounding the purposes for birth control (to prevent pregnancy) have</w:t>
      </w:r>
      <w:r w:rsidR="00777787" w:rsidRPr="00223414">
        <w:rPr>
          <w:sz w:val="16"/>
        </w:rPr>
        <w:t xml:space="preserve"> </w:t>
      </w:r>
      <w:r w:rsidRPr="00223414">
        <w:rPr>
          <w:sz w:val="16"/>
        </w:rPr>
        <w:t>changed, particularly since the 1990s as a result of less research and development on birth control</w:t>
      </w:r>
      <w:r w:rsidR="00777787" w:rsidRPr="00223414">
        <w:rPr>
          <w:sz w:val="16"/>
        </w:rPr>
        <w:t xml:space="preserve"> </w:t>
      </w:r>
      <w:r w:rsidRPr="00223414">
        <w:rPr>
          <w:sz w:val="16"/>
        </w:rPr>
        <w:t>methods (see chapter two) and the growth of “lifestyle drugs” (Watkins, 2012). Lifestyle drugs</w:t>
      </w:r>
      <w:r w:rsidR="00777787" w:rsidRPr="00223414">
        <w:rPr>
          <w:sz w:val="16"/>
        </w:rPr>
        <w:t xml:space="preserve"> </w:t>
      </w:r>
      <w:r w:rsidRPr="00223414">
        <w:rPr>
          <w:sz w:val="16"/>
        </w:rPr>
        <w:t>are defined as those which are used for “non-health” problems that “lie at the margins of health</w:t>
      </w:r>
      <w:r w:rsidR="00777787" w:rsidRPr="00223414">
        <w:rPr>
          <w:sz w:val="16"/>
        </w:rPr>
        <w:t xml:space="preserve"> </w:t>
      </w:r>
      <w:r w:rsidRPr="00223414">
        <w:rPr>
          <w:sz w:val="16"/>
        </w:rPr>
        <w:t>and well-being…a wider definition would include drugs that are used for health problems that</w:t>
      </w:r>
      <w:r w:rsidR="00777787" w:rsidRPr="00223414">
        <w:rPr>
          <w:sz w:val="16"/>
        </w:rPr>
        <w:t xml:space="preserve"> </w:t>
      </w:r>
      <w:r w:rsidRPr="00223414">
        <w:rPr>
          <w:sz w:val="16"/>
        </w:rPr>
        <w:t>might better be treated by a change in lifestyle” (Gilbert, Walley &amp; New, 2000, p. 1341). It was</w:t>
      </w:r>
      <w:r w:rsidR="00777787" w:rsidRPr="00223414">
        <w:rPr>
          <w:sz w:val="16"/>
        </w:rPr>
        <w:t xml:space="preserve"> </w:t>
      </w:r>
      <w:r w:rsidRPr="00223414">
        <w:rPr>
          <w:sz w:val="16"/>
        </w:rPr>
        <w:t>in the 1990s that oral contraceptives began to be advertised for uses beyond their original intent</w:t>
      </w:r>
      <w:r w:rsidR="00777787" w:rsidRPr="00223414">
        <w:rPr>
          <w:sz w:val="16"/>
        </w:rPr>
        <w:t xml:space="preserve"> </w:t>
      </w:r>
      <w:r w:rsidRPr="00223414">
        <w:rPr>
          <w:sz w:val="16"/>
        </w:rPr>
        <w:t>(birth control), including marketing to women that they could have shorter, lighter menstrual</w:t>
      </w:r>
      <w:r w:rsidR="00777787" w:rsidRPr="00223414">
        <w:rPr>
          <w:sz w:val="16"/>
        </w:rPr>
        <w:t xml:space="preserve"> </w:t>
      </w:r>
      <w:r w:rsidRPr="00223414">
        <w:rPr>
          <w:sz w:val="16"/>
        </w:rPr>
        <w:t>cycles, thereby introducing the subject of menstruation into the discussion of “The Pill.” In this</w:t>
      </w:r>
      <w:r w:rsidR="00777787" w:rsidRPr="00223414">
        <w:rPr>
          <w:sz w:val="16"/>
        </w:rPr>
        <w:t xml:space="preserve"> </w:t>
      </w:r>
      <w:r w:rsidRPr="00223414">
        <w:rPr>
          <w:sz w:val="16"/>
        </w:rPr>
        <w:t>sense, it can be argued that menstruation became a part of the already-medicalized process of</w:t>
      </w:r>
      <w:r w:rsidR="00777787" w:rsidRPr="00223414">
        <w:rPr>
          <w:sz w:val="16"/>
        </w:rPr>
        <w:t xml:space="preserve"> </w:t>
      </w:r>
      <w:r w:rsidRPr="00223414">
        <w:rPr>
          <w:sz w:val="16"/>
        </w:rPr>
        <w:t>contraception.</w:t>
      </w:r>
      <w:r w:rsidR="00777787" w:rsidRPr="00223414">
        <w:rPr>
          <w:sz w:val="16"/>
        </w:rPr>
        <w:t xml:space="preserve"> </w:t>
      </w:r>
      <w:r w:rsidRPr="00223414">
        <w:rPr>
          <w:sz w:val="16"/>
        </w:rPr>
        <w:t>Part one of this chapter will provide a brief overview of the methods used. Part two will</w:t>
      </w:r>
      <w:r w:rsidR="00777787" w:rsidRPr="00223414">
        <w:rPr>
          <w:sz w:val="16"/>
        </w:rPr>
        <w:t xml:space="preserve"> </w:t>
      </w:r>
      <w:r w:rsidRPr="00223414">
        <w:rPr>
          <w:sz w:val="16"/>
        </w:rPr>
        <w:t>describe the history of YAZ and provide a discussion of the ways in which “disease mongering”</w:t>
      </w:r>
      <w:r w:rsidR="00777787" w:rsidRPr="00223414">
        <w:rPr>
          <w:sz w:val="16"/>
        </w:rPr>
        <w:t xml:space="preserve"> </w:t>
      </w:r>
      <w:r w:rsidRPr="00223414">
        <w:rPr>
          <w:sz w:val="16"/>
        </w:rPr>
        <w:t>or “disease branding” have become included in Western medicine. Next, part three will conduct</w:t>
      </w:r>
      <w:r w:rsidR="00777787" w:rsidRPr="00223414">
        <w:rPr>
          <w:sz w:val="16"/>
        </w:rPr>
        <w:t xml:space="preserve"> </w:t>
      </w:r>
      <w:r w:rsidRPr="00223414">
        <w:rPr>
          <w:sz w:val="16"/>
        </w:rPr>
        <w:t>a textual analysis of a YAZ advertisement that aired in 2010, whereas section four will describe</w:t>
      </w:r>
      <w:r w:rsidR="00777787" w:rsidRPr="00223414">
        <w:rPr>
          <w:sz w:val="16"/>
        </w:rPr>
        <w:t xml:space="preserve"> </w:t>
      </w:r>
      <w:r w:rsidRPr="00223414">
        <w:rPr>
          <w:sz w:val="16"/>
        </w:rPr>
        <w:t>the various health effects found to be associated with the drug after the advertisement analyzed</w:t>
      </w:r>
      <w:r w:rsidR="00777787" w:rsidRPr="00223414">
        <w:rPr>
          <w:sz w:val="16"/>
        </w:rPr>
        <w:t xml:space="preserve"> </w:t>
      </w:r>
      <w:r w:rsidRPr="00223414">
        <w:rPr>
          <w:sz w:val="16"/>
        </w:rPr>
        <w:t>aired. Finally, section five will address how YAZ serves as an example of pharmaceutical</w:t>
      </w:r>
      <w:r w:rsidR="00777787" w:rsidRPr="00223414">
        <w:rPr>
          <w:sz w:val="16"/>
        </w:rPr>
        <w:t xml:space="preserve"> </w:t>
      </w:r>
      <w:r w:rsidRPr="00223414">
        <w:rPr>
          <w:sz w:val="16"/>
        </w:rPr>
        <w:t>fetishism, seen mostly through its branding associated with feminist empowerment, which</w:t>
      </w:r>
      <w:r w:rsidR="00777787" w:rsidRPr="00223414">
        <w:rPr>
          <w:sz w:val="16"/>
        </w:rPr>
        <w:t xml:space="preserve"> </w:t>
      </w:r>
      <w:r w:rsidRPr="00223414">
        <w:rPr>
          <w:sz w:val="16"/>
        </w:rPr>
        <w:t>celebrates the pharmaceutical commodity above providing proper patient education.</w:t>
      </w:r>
      <w:r w:rsidR="00777787" w:rsidRPr="00223414">
        <w:rPr>
          <w:sz w:val="16"/>
        </w:rPr>
        <w:t xml:space="preserve"> </w:t>
      </w:r>
      <w:r w:rsidRPr="00223414">
        <w:rPr>
          <w:sz w:val="16"/>
        </w:rPr>
        <w:t>Method</w:t>
      </w:r>
      <w:r w:rsidR="00777787" w:rsidRPr="00223414">
        <w:rPr>
          <w:sz w:val="16"/>
        </w:rPr>
        <w:t xml:space="preserve"> </w:t>
      </w:r>
      <w:r w:rsidRPr="00223414">
        <w:rPr>
          <w:sz w:val="16"/>
        </w:rPr>
        <w:t>Case study as a research method focuses on an in-depth enquiry of a single case,</w:t>
      </w:r>
      <w:r w:rsidR="00777787" w:rsidRPr="00223414">
        <w:rPr>
          <w:sz w:val="16"/>
        </w:rPr>
        <w:t xml:space="preserve"> </w:t>
      </w:r>
      <w:r w:rsidRPr="00223414">
        <w:rPr>
          <w:sz w:val="16"/>
        </w:rPr>
        <w:t>situation, or event using multiple sources of evidence (Vallis &amp; Tierney, 2000; Hewitt-Taylor,</w:t>
      </w:r>
      <w:r w:rsidR="00777787" w:rsidRPr="00223414">
        <w:rPr>
          <w:sz w:val="16"/>
        </w:rPr>
        <w:t xml:space="preserve"> </w:t>
      </w:r>
      <w:r w:rsidRPr="00223414">
        <w:rPr>
          <w:sz w:val="16"/>
        </w:rPr>
        <w:t>2002). Case studies of particular people, events, groups, or texts help to provide a critical</w:t>
      </w:r>
      <w:r w:rsidR="00777787" w:rsidRPr="00223414">
        <w:rPr>
          <w:sz w:val="16"/>
        </w:rPr>
        <w:t xml:space="preserve"> </w:t>
      </w:r>
      <w:r w:rsidRPr="00223414">
        <w:rPr>
          <w:sz w:val="16"/>
        </w:rPr>
        <w:t>analysis of a practice (Corcoran, Walker &amp; Wals, 2004). One of the most influential writers on</w:t>
      </w:r>
      <w:r w:rsidR="00777787" w:rsidRPr="00223414">
        <w:rPr>
          <w:sz w:val="16"/>
        </w:rPr>
        <w:t xml:space="preserve"> </w:t>
      </w:r>
      <w:r w:rsidRPr="00223414">
        <w:rPr>
          <w:sz w:val="16"/>
        </w:rPr>
        <w:t>case study research, Yin (2003), defined the case study as an empirical enquiry that investigates a</w:t>
      </w:r>
      <w:r w:rsidR="00777787" w:rsidRPr="00223414">
        <w:rPr>
          <w:sz w:val="16"/>
        </w:rPr>
        <w:t xml:space="preserve"> </w:t>
      </w:r>
      <w:r w:rsidRPr="00223414">
        <w:rPr>
          <w:sz w:val="16"/>
        </w:rPr>
        <w:t>contemporary phenomenon in its real life context when the boundaries between phenomenon and</w:t>
      </w:r>
      <w:r w:rsidR="00777787" w:rsidRPr="00223414">
        <w:rPr>
          <w:sz w:val="16"/>
        </w:rPr>
        <w:t xml:space="preserve"> </w:t>
      </w:r>
      <w:r w:rsidRPr="00223414">
        <w:rPr>
          <w:sz w:val="16"/>
        </w:rPr>
        <w:t>context are not clearly evident and in which multiple sources of evidence are used. By using</w:t>
      </w:r>
      <w:r w:rsidR="00777787" w:rsidRPr="00223414">
        <w:rPr>
          <w:sz w:val="16"/>
        </w:rPr>
        <w:t xml:space="preserve"> </w:t>
      </w:r>
      <w:r w:rsidRPr="00223414">
        <w:rPr>
          <w:sz w:val="16"/>
        </w:rPr>
        <w:t>multiple points of evidence and various forms of data collection, a case study provides a richer</w:t>
      </w:r>
      <w:r w:rsidR="00777787" w:rsidRPr="00223414">
        <w:rPr>
          <w:sz w:val="16"/>
        </w:rPr>
        <w:t xml:space="preserve"> </w:t>
      </w:r>
      <w:r w:rsidRPr="00223414">
        <w:rPr>
          <w:sz w:val="16"/>
        </w:rPr>
        <w:t>picture of a theory or phenomena (Pegram, 2000). In this chapter, the case study is used as a way</w:t>
      </w:r>
      <w:r w:rsidR="00777787" w:rsidRPr="00223414">
        <w:rPr>
          <w:sz w:val="16"/>
        </w:rPr>
        <w:t xml:space="preserve"> </w:t>
      </w:r>
      <w:r w:rsidRPr="00223414">
        <w:rPr>
          <w:sz w:val="16"/>
        </w:rPr>
        <w:t>of bringing together approaches from political economy, critical advertising studies, and textual</w:t>
      </w:r>
      <w:r w:rsidR="00777787" w:rsidRPr="00223414">
        <w:rPr>
          <w:sz w:val="16"/>
        </w:rPr>
        <w:t xml:space="preserve"> </w:t>
      </w:r>
      <w:r w:rsidRPr="00223414">
        <w:rPr>
          <w:sz w:val="16"/>
        </w:rPr>
        <w:t>analysis to show how pharmaceutical fetishism exists within pharmaceutical advertising culture,</w:t>
      </w:r>
      <w:r w:rsidR="00777787" w:rsidRPr="00223414">
        <w:rPr>
          <w:sz w:val="16"/>
        </w:rPr>
        <w:t xml:space="preserve"> </w:t>
      </w:r>
      <w:r w:rsidRPr="00223414">
        <w:rPr>
          <w:sz w:val="16"/>
        </w:rPr>
        <w:t>as shown through one product’s construction and marketing.</w:t>
      </w:r>
      <w:r w:rsidR="00777787" w:rsidRPr="00223414">
        <w:rPr>
          <w:sz w:val="16"/>
        </w:rPr>
        <w:t xml:space="preserve"> </w:t>
      </w:r>
      <w:r w:rsidRPr="00223414">
        <w:rPr>
          <w:sz w:val="16"/>
        </w:rPr>
        <w:t>An Overview of YAZ and Disease Mongering</w:t>
      </w:r>
      <w:r w:rsidR="00777787" w:rsidRPr="00223414">
        <w:rPr>
          <w:sz w:val="16"/>
        </w:rPr>
        <w:t xml:space="preserve"> </w:t>
      </w:r>
      <w:r w:rsidRPr="00223414">
        <w:rPr>
          <w:sz w:val="16"/>
        </w:rPr>
        <w:t>YAZ is an oral contraceptive (birth control pill) that was approved by the FDA in March</w:t>
      </w:r>
      <w:r w:rsidR="00777787" w:rsidRPr="00223414">
        <w:rPr>
          <w:sz w:val="16"/>
        </w:rPr>
        <w:t xml:space="preserve"> </w:t>
      </w:r>
      <w:r w:rsidRPr="00223414">
        <w:rPr>
          <w:sz w:val="16"/>
        </w:rPr>
        <w:t>of 2006 for the prevention of pregnancy. In October of 2006, the FDA approved YAZ for also</w:t>
      </w:r>
      <w:r w:rsidR="00777787" w:rsidRPr="00223414">
        <w:rPr>
          <w:sz w:val="16"/>
        </w:rPr>
        <w:t xml:space="preserve"> </w:t>
      </w:r>
      <w:r w:rsidRPr="00223414">
        <w:rPr>
          <w:sz w:val="16"/>
        </w:rPr>
        <w:t>treating Premenstrual Dysphoric Disorder (PMDD, a condition that is described as a more severe</w:t>
      </w:r>
      <w:r w:rsidR="00777787" w:rsidRPr="00223414">
        <w:rPr>
          <w:sz w:val="16"/>
        </w:rPr>
        <w:t xml:space="preserve"> </w:t>
      </w:r>
      <w:r w:rsidRPr="00223414">
        <w:rPr>
          <w:sz w:val="16"/>
        </w:rPr>
        <w:t>version of premenstrual syndrome (PMS) and is discussed below), with an approval for YAZ</w:t>
      </w:r>
      <w:r w:rsidR="00777787" w:rsidRPr="00223414">
        <w:rPr>
          <w:sz w:val="16"/>
        </w:rPr>
        <w:t xml:space="preserve"> </w:t>
      </w:r>
      <w:r w:rsidRPr="00223414">
        <w:rPr>
          <w:sz w:val="16"/>
        </w:rPr>
        <w:t>being used to treat acne passing in January of 2007 (“YAZ approval history,” 2014). In 2009,</w:t>
      </w:r>
      <w:r w:rsidR="00777787" w:rsidRPr="00223414">
        <w:rPr>
          <w:sz w:val="16"/>
        </w:rPr>
        <w:t xml:space="preserve"> </w:t>
      </w:r>
      <w:r w:rsidRPr="00223414">
        <w:rPr>
          <w:sz w:val="16"/>
        </w:rPr>
        <w:t>YAZ was the best-selling oral contraceptive on the American market, and was the 21st best-</w:t>
      </w:r>
      <w:r w:rsidR="00777787" w:rsidRPr="00223414">
        <w:rPr>
          <w:sz w:val="16"/>
        </w:rPr>
        <w:t xml:space="preserve"> </w:t>
      </w:r>
      <w:r w:rsidRPr="00223414">
        <w:rPr>
          <w:sz w:val="16"/>
        </w:rPr>
        <w:t>selling prescription drug (10 million prescriptions filled) that year (“Top 200 Drugs,” 2010a;</w:t>
      </w:r>
      <w:r w:rsidR="00777787" w:rsidRPr="00223414">
        <w:rPr>
          <w:sz w:val="16"/>
        </w:rPr>
        <w:t xml:space="preserve"> </w:t>
      </w:r>
      <w:r w:rsidRPr="00223414">
        <w:rPr>
          <w:sz w:val="16"/>
        </w:rPr>
        <w:t>“Top 200 Drugs,” 2010b). Sales for YAZ in 2010 exceeded $360 million (Tone, 2012). In 2010,</w:t>
      </w:r>
      <w:r w:rsidR="00777787" w:rsidRPr="00223414">
        <w:rPr>
          <w:sz w:val="16"/>
        </w:rPr>
        <w:t xml:space="preserve"> </w:t>
      </w:r>
      <w:r w:rsidRPr="00223414">
        <w:rPr>
          <w:sz w:val="16"/>
        </w:rPr>
        <w:t>prescription contraceptive advertisement spending in the United States totaled $116 million</w:t>
      </w:r>
      <w:r w:rsidR="00777787" w:rsidRPr="00223414">
        <w:rPr>
          <w:sz w:val="16"/>
        </w:rPr>
        <w:t xml:space="preserve"> </w:t>
      </w:r>
      <w:r w:rsidRPr="00223414">
        <w:rPr>
          <w:sz w:val="16"/>
        </w:rPr>
        <w:t>(2.7%) out of the total $4.3 billion prescription drug ad spending (Kantar Media, 2011).</w:t>
      </w:r>
      <w:r w:rsidR="00777787" w:rsidRPr="00223414">
        <w:rPr>
          <w:sz w:val="16"/>
        </w:rPr>
        <w:t xml:space="preserve"> </w:t>
      </w:r>
      <w:r w:rsidRPr="00223414">
        <w:rPr>
          <w:sz w:val="16"/>
        </w:rPr>
        <w:t>YAZ is manufactured by Bayer, a German-based chemical and pharmaceutical company</w:t>
      </w:r>
      <w:r w:rsidR="00777787" w:rsidRPr="00223414">
        <w:rPr>
          <w:sz w:val="16"/>
        </w:rPr>
        <w:t xml:space="preserve"> </w:t>
      </w:r>
      <w:r w:rsidRPr="00223414">
        <w:rPr>
          <w:sz w:val="16"/>
        </w:rPr>
        <w:t>founded in 1863 (“Facts and figures,” 2014). Perhaps best known for its invention of aspirin,</w:t>
      </w:r>
      <w:r w:rsidR="00777787" w:rsidRPr="00223414">
        <w:rPr>
          <w:sz w:val="16"/>
        </w:rPr>
        <w:t xml:space="preserve"> </w:t>
      </w:r>
      <w:r w:rsidRPr="00223414">
        <w:rPr>
          <w:sz w:val="16"/>
        </w:rPr>
        <w:t>Bayer applied for trademark protection (“Bayer Aspirin”) in 1899 and was one of the first</w:t>
      </w:r>
      <w:r w:rsidR="00777787" w:rsidRPr="00223414">
        <w:rPr>
          <w:sz w:val="16"/>
        </w:rPr>
        <w:t xml:space="preserve"> </w:t>
      </w:r>
      <w:r w:rsidRPr="00223414">
        <w:rPr>
          <w:sz w:val="16"/>
        </w:rPr>
        <w:t>pharmaceutical companies to experiment with the commercialization of a drug (Jennewein,</w:t>
      </w:r>
      <w:r w:rsidR="00777787" w:rsidRPr="00223414">
        <w:rPr>
          <w:sz w:val="16"/>
        </w:rPr>
        <w:t xml:space="preserve"> </w:t>
      </w:r>
      <w:r w:rsidRPr="00223414">
        <w:rPr>
          <w:sz w:val="16"/>
        </w:rPr>
        <w:t>Durand &amp; Gerybadze, 2010). In 1914, Bayer launched an advertisement campaign promoting its</w:t>
      </w:r>
      <w:r w:rsidR="00777787" w:rsidRPr="00223414">
        <w:rPr>
          <w:sz w:val="16"/>
        </w:rPr>
        <w:t xml:space="preserve"> </w:t>
      </w:r>
      <w:r w:rsidRPr="00223414">
        <w:rPr>
          <w:sz w:val="16"/>
        </w:rPr>
        <w:t>aspirin as a radical change in the industry of medicine. Although Bayer has longevity on the</w:t>
      </w:r>
      <w:r w:rsidR="00777787" w:rsidRPr="00223414">
        <w:rPr>
          <w:sz w:val="16"/>
        </w:rPr>
        <w:t xml:space="preserve"> </w:t>
      </w:r>
      <w:r w:rsidRPr="00223414">
        <w:rPr>
          <w:sz w:val="16"/>
        </w:rPr>
        <w:t>market and a rich history, the corporation has not come without its set of challenges. In 2001,</w:t>
      </w:r>
      <w:r w:rsidR="00777787" w:rsidRPr="00223414">
        <w:rPr>
          <w:sz w:val="16"/>
        </w:rPr>
        <w:t xml:space="preserve"> </w:t>
      </w:r>
      <w:r w:rsidRPr="00223414">
        <w:rPr>
          <w:sz w:val="16"/>
        </w:rPr>
        <w:t>Bayer was forced to pull its prescription drug Lipobay off the market after undesirably strong side</w:t>
      </w:r>
      <w:r w:rsidR="00777787" w:rsidRPr="00223414">
        <w:rPr>
          <w:sz w:val="16"/>
        </w:rPr>
        <w:t xml:space="preserve"> </w:t>
      </w:r>
      <w:r w:rsidRPr="00223414">
        <w:rPr>
          <w:sz w:val="16"/>
        </w:rPr>
        <w:t>effects were found in patients, damaging Bayer’s reputation (Jennewein, Durand &amp; Gerybadze,</w:t>
      </w:r>
      <w:r w:rsidR="00777787" w:rsidRPr="00223414">
        <w:rPr>
          <w:sz w:val="16"/>
        </w:rPr>
        <w:t xml:space="preserve"> </w:t>
      </w:r>
      <w:r w:rsidRPr="00223414">
        <w:rPr>
          <w:sz w:val="16"/>
        </w:rPr>
        <w:t>2010). However, at about the same time, the anthrax crisis broke out, putting Bayer in the</w:t>
      </w:r>
      <w:r w:rsidR="00777787" w:rsidRPr="00223414">
        <w:rPr>
          <w:sz w:val="16"/>
        </w:rPr>
        <w:t xml:space="preserve"> </w:t>
      </w:r>
      <w:r w:rsidRPr="00223414">
        <w:rPr>
          <w:sz w:val="16"/>
        </w:rPr>
        <w:t>position to reclaim its notoriety. Bayer had the patent rights for Cipro, the only known antibiotic</w:t>
      </w:r>
      <w:r w:rsidR="00777787" w:rsidRPr="00223414">
        <w:rPr>
          <w:sz w:val="16"/>
        </w:rPr>
        <w:t xml:space="preserve"> </w:t>
      </w:r>
      <w:r w:rsidRPr="00223414">
        <w:rPr>
          <w:sz w:val="16"/>
        </w:rPr>
        <w:t>at the time able to fight the anthrax disease (Richter, 2002). Rather than attempting to make a</w:t>
      </w:r>
      <w:r w:rsidR="00777787" w:rsidRPr="00223414">
        <w:rPr>
          <w:sz w:val="16"/>
        </w:rPr>
        <w:t xml:space="preserve"> </w:t>
      </w:r>
      <w:r w:rsidRPr="00223414">
        <w:rPr>
          <w:sz w:val="16"/>
        </w:rPr>
        <w:t>generous gesture and providing the public with the drugs necessary during a national epidemic,</w:t>
      </w:r>
      <w:r w:rsidR="00777787" w:rsidRPr="00223414">
        <w:rPr>
          <w:sz w:val="16"/>
        </w:rPr>
        <w:t xml:space="preserve"> </w:t>
      </w:r>
      <w:r w:rsidRPr="00223414">
        <w:rPr>
          <w:sz w:val="16"/>
        </w:rPr>
        <w:t>Bayer offered Cipro to United States authorities at the price of $1.77 per pill (half the retail</w:t>
      </w:r>
      <w:r w:rsidR="00777787" w:rsidRPr="00223414">
        <w:rPr>
          <w:sz w:val="16"/>
        </w:rPr>
        <w:t xml:space="preserve"> </w:t>
      </w:r>
      <w:r w:rsidRPr="00223414">
        <w:rPr>
          <w:sz w:val="16"/>
        </w:rPr>
        <w:t>price), but still a high price for 12 million Americans to pay in the event of an anthrax outbreak.</w:t>
      </w:r>
      <w:r w:rsidR="00777787" w:rsidRPr="00223414">
        <w:rPr>
          <w:sz w:val="16"/>
        </w:rPr>
        <w:t xml:space="preserve"> </w:t>
      </w:r>
      <w:r w:rsidRPr="00223414">
        <w:rPr>
          <w:sz w:val="16"/>
        </w:rPr>
        <w:t>Upon further negotiations, Bayer agreed to drop the price to $0.95 a pill, yet still suffered from a</w:t>
      </w:r>
      <w:r w:rsidR="00777787" w:rsidRPr="00223414">
        <w:rPr>
          <w:sz w:val="16"/>
        </w:rPr>
        <w:t xml:space="preserve"> </w:t>
      </w:r>
      <w:r w:rsidRPr="00223414">
        <w:rPr>
          <w:sz w:val="16"/>
        </w:rPr>
        <w:t>damaged reputation as a result of giving Americans the impression that greed was more important</w:t>
      </w:r>
      <w:r w:rsidR="00777787" w:rsidRPr="00223414">
        <w:rPr>
          <w:sz w:val="16"/>
        </w:rPr>
        <w:t xml:space="preserve"> </w:t>
      </w:r>
      <w:r w:rsidRPr="00223414">
        <w:rPr>
          <w:sz w:val="16"/>
        </w:rPr>
        <w:t>than public health (Richter, 2002). This was not the last string of bad publicity Bayer faced,</w:t>
      </w:r>
      <w:r w:rsidR="00777787" w:rsidRPr="00223414">
        <w:rPr>
          <w:sz w:val="16"/>
        </w:rPr>
        <w:t xml:space="preserve"> </w:t>
      </w:r>
      <w:r w:rsidRPr="00223414">
        <w:rPr>
          <w:sz w:val="16"/>
        </w:rPr>
        <w:t>however, with the 2000s including public scrutiny over the pharmaceutical corporation’s</w:t>
      </w:r>
      <w:r w:rsidR="00777787" w:rsidRPr="00223414">
        <w:rPr>
          <w:sz w:val="16"/>
        </w:rPr>
        <w:t xml:space="preserve"> </w:t>
      </w:r>
      <w:r w:rsidRPr="00223414">
        <w:rPr>
          <w:sz w:val="16"/>
        </w:rPr>
        <w:t>practices, ranging from their use of social media to promote high-profile prescription drugs to the</w:t>
      </w:r>
      <w:r w:rsidR="00777787" w:rsidRPr="00223414">
        <w:rPr>
          <w:sz w:val="16"/>
        </w:rPr>
        <w:t xml:space="preserve"> </w:t>
      </w:r>
      <w:r w:rsidRPr="00223414">
        <w:rPr>
          <w:sz w:val="16"/>
        </w:rPr>
        <w:t>public to its funding of a study in the New England Journal of Medicine whose lead author was a</w:t>
      </w:r>
      <w:r w:rsidR="00777787" w:rsidRPr="00223414">
        <w:rPr>
          <w:sz w:val="16"/>
        </w:rPr>
        <w:t xml:space="preserve"> </w:t>
      </w:r>
      <w:r w:rsidRPr="00223414">
        <w:rPr>
          <w:sz w:val="16"/>
        </w:rPr>
        <w:t>paid consultant for Bayer and also co-invented the patent behind the drug being described and</w:t>
      </w:r>
      <w:r w:rsidR="00777787" w:rsidRPr="00223414">
        <w:rPr>
          <w:sz w:val="16"/>
        </w:rPr>
        <w:t xml:space="preserve"> </w:t>
      </w:r>
      <w:r w:rsidRPr="00223414">
        <w:rPr>
          <w:sz w:val="16"/>
        </w:rPr>
        <w:t>applauded for leukemia treatment (Bernstein, 2008; Jack, 2011). Still, Bayer is one of the</w:t>
      </w:r>
      <w:r w:rsidR="00777787" w:rsidRPr="00223414">
        <w:rPr>
          <w:sz w:val="16"/>
        </w:rPr>
        <w:t xml:space="preserve"> </w:t>
      </w:r>
      <w:r w:rsidRPr="00223414">
        <w:rPr>
          <w:sz w:val="16"/>
        </w:rPr>
        <w:t>highest-profiting pharmaceutical companies in the world, with its overall sales ranking eighth in</w:t>
      </w:r>
      <w:r w:rsidR="00777787" w:rsidRPr="00223414">
        <w:rPr>
          <w:sz w:val="16"/>
        </w:rPr>
        <w:t xml:space="preserve"> </w:t>
      </w:r>
      <w:r w:rsidRPr="00223414">
        <w:rPr>
          <w:sz w:val="16"/>
        </w:rPr>
        <w:t>the world for 2013 in regards to sales and overall revenue (Palmer &amp; Helfand, 2014). In terms of</w:t>
      </w:r>
      <w:r w:rsidR="00777787" w:rsidRPr="00223414">
        <w:rPr>
          <w:sz w:val="16"/>
        </w:rPr>
        <w:t xml:space="preserve"> </w:t>
      </w:r>
      <w:r w:rsidRPr="00223414">
        <w:rPr>
          <w:sz w:val="16"/>
        </w:rPr>
        <w:t>DTCA, Bayer is one of the biggest in the business, spending $71.8 million on its media</w:t>
      </w:r>
      <w:r w:rsidR="00777787" w:rsidRPr="00223414">
        <w:rPr>
          <w:sz w:val="16"/>
        </w:rPr>
        <w:t xml:space="preserve"> </w:t>
      </w:r>
      <w:r w:rsidRPr="00223414">
        <w:rPr>
          <w:sz w:val="16"/>
        </w:rPr>
        <w:t>campaigns occurring in 2010 in the United States alone (Kantar Media, 2011).</w:t>
      </w:r>
      <w:r w:rsidR="00777787" w:rsidRPr="00223414">
        <w:rPr>
          <w:sz w:val="16"/>
        </w:rPr>
        <w:t xml:space="preserve"> </w:t>
      </w:r>
      <w:r w:rsidRPr="00223414">
        <w:rPr>
          <w:sz w:val="16"/>
        </w:rPr>
        <w:t>Bayer, the manufacturer of YAZ, spent a total $71.8 million on pharmaceutical</w:t>
      </w:r>
      <w:r w:rsidR="00777787" w:rsidRPr="00223414">
        <w:rPr>
          <w:sz w:val="16"/>
        </w:rPr>
        <w:t xml:space="preserve"> </w:t>
      </w:r>
      <w:r w:rsidRPr="00223414">
        <w:rPr>
          <w:sz w:val="16"/>
        </w:rPr>
        <w:t>advertisement spending in 2010, with $41.5 million of this amount spent solely on promoting</w:t>
      </w:r>
      <w:r w:rsidR="00777787" w:rsidRPr="00223414">
        <w:rPr>
          <w:sz w:val="16"/>
        </w:rPr>
        <w:t xml:space="preserve"> </w:t>
      </w:r>
      <w:r w:rsidRPr="00223414">
        <w:rPr>
          <w:sz w:val="16"/>
        </w:rPr>
        <w:t>YAZ for the broadcast marketplace. As will be discussed, however, YAZ -- especially after the</w:t>
      </w:r>
      <w:r w:rsidR="00777787" w:rsidRPr="00223414">
        <w:rPr>
          <w:sz w:val="16"/>
        </w:rPr>
        <w:t xml:space="preserve"> </w:t>
      </w:r>
      <w:r w:rsidRPr="00223414">
        <w:rPr>
          <w:sz w:val="16"/>
        </w:rPr>
        <w:t>2010 time period from which this dissertation’s sample was derived -- has been a controversial</w:t>
      </w:r>
      <w:r w:rsidR="00777787" w:rsidRPr="00223414">
        <w:rPr>
          <w:sz w:val="16"/>
        </w:rPr>
        <w:t xml:space="preserve"> </w:t>
      </w:r>
      <w:r w:rsidRPr="00223414">
        <w:rPr>
          <w:sz w:val="16"/>
        </w:rPr>
        <w:t>drug with connections to serious side effects and the subject of numerous lawsuits against Bayer.</w:t>
      </w:r>
      <w:r w:rsidR="00777787" w:rsidRPr="00223414">
        <w:rPr>
          <w:sz w:val="16"/>
        </w:rPr>
        <w:t xml:space="preserve"> </w:t>
      </w:r>
      <w:r w:rsidRPr="00223414">
        <w:rPr>
          <w:sz w:val="16"/>
        </w:rPr>
        <w:t>YAZ has been popular not just in the pharmaceutical marketplace since its introduction to</w:t>
      </w:r>
      <w:r w:rsidR="00777787" w:rsidRPr="00223414">
        <w:rPr>
          <w:sz w:val="16"/>
        </w:rPr>
        <w:t xml:space="preserve"> </w:t>
      </w:r>
      <w:r w:rsidRPr="00223414">
        <w:rPr>
          <w:sz w:val="16"/>
        </w:rPr>
        <w:t>consumers, but in research and the news as well. As mentioned above, YAZ became FDA</w:t>
      </w:r>
      <w:r w:rsidR="00777787" w:rsidRPr="00223414">
        <w:rPr>
          <w:sz w:val="16"/>
        </w:rPr>
        <w:t xml:space="preserve"> </w:t>
      </w:r>
      <w:r w:rsidRPr="00223414">
        <w:rPr>
          <w:sz w:val="16"/>
        </w:rPr>
        <w:t xml:space="preserve">approved to treat PMDD in 2006. </w:t>
      </w:r>
      <w:r w:rsidRPr="00DD2D90">
        <w:rPr>
          <w:rStyle w:val="StyleUnderline"/>
        </w:rPr>
        <w:t>PMDD has been cited</w:t>
      </w:r>
      <w:r w:rsidRPr="00223414">
        <w:rPr>
          <w:sz w:val="16"/>
        </w:rPr>
        <w:t xml:space="preserve"> in research </w:t>
      </w:r>
      <w:r w:rsidRPr="00DD2D90">
        <w:rPr>
          <w:rStyle w:val="StyleUnderline"/>
        </w:rPr>
        <w:t>as</w:t>
      </w:r>
      <w:r w:rsidRPr="00223414">
        <w:rPr>
          <w:sz w:val="16"/>
        </w:rPr>
        <w:t xml:space="preserve"> a form of “disease</w:t>
      </w:r>
      <w:r w:rsidR="00777787" w:rsidRPr="00223414">
        <w:rPr>
          <w:sz w:val="16"/>
        </w:rPr>
        <w:t xml:space="preserve"> </w:t>
      </w:r>
      <w:r w:rsidRPr="00223414">
        <w:rPr>
          <w:sz w:val="16"/>
        </w:rPr>
        <w:t>branding” or “</w:t>
      </w:r>
      <w:r w:rsidRPr="00DD2D90">
        <w:rPr>
          <w:rStyle w:val="Emphasis"/>
          <w:highlight w:val="green"/>
        </w:rPr>
        <w:t>disease mongering</w:t>
      </w:r>
      <w:r w:rsidRPr="00223414">
        <w:rPr>
          <w:sz w:val="16"/>
        </w:rPr>
        <w:t xml:space="preserve">,” </w:t>
      </w:r>
      <w:r w:rsidRPr="00DD2D90">
        <w:rPr>
          <w:rStyle w:val="StyleUnderline"/>
        </w:rPr>
        <w:t>with</w:t>
      </w:r>
      <w:r w:rsidRPr="00223414">
        <w:rPr>
          <w:sz w:val="16"/>
        </w:rPr>
        <w:t xml:space="preserve"> both </w:t>
      </w:r>
      <w:r w:rsidRPr="00DD2D90">
        <w:rPr>
          <w:rStyle w:val="StyleUnderline"/>
        </w:rPr>
        <w:t xml:space="preserve">terms referring to the </w:t>
      </w:r>
      <w:r w:rsidRPr="00DD2D90">
        <w:rPr>
          <w:rStyle w:val="Emphasis"/>
          <w:highlight w:val="green"/>
        </w:rPr>
        <w:t>sell</w:t>
      </w:r>
      <w:r w:rsidRPr="00DD2D90">
        <w:rPr>
          <w:rStyle w:val="Emphasis"/>
        </w:rPr>
        <w:t>ing of</w:t>
      </w:r>
      <w:r w:rsidRPr="00DD2D90">
        <w:rPr>
          <w:rStyle w:val="StyleUnderline"/>
        </w:rPr>
        <w:t xml:space="preserve"> </w:t>
      </w:r>
      <w:r w:rsidRPr="00DD2D90">
        <w:rPr>
          <w:rStyle w:val="Emphasis"/>
          <w:highlight w:val="green"/>
        </w:rPr>
        <w:t>sickness</w:t>
      </w:r>
      <w:r w:rsidRPr="00DD2D90">
        <w:rPr>
          <w:rStyle w:val="StyleUnderline"/>
        </w:rPr>
        <w:t>, or shaping</w:t>
      </w:r>
      <w:r w:rsidR="00777787" w:rsidRPr="00DD2D90">
        <w:rPr>
          <w:rStyle w:val="StyleUnderline"/>
        </w:rPr>
        <w:t xml:space="preserve"> </w:t>
      </w:r>
      <w:r w:rsidRPr="00DD2D90">
        <w:rPr>
          <w:rStyle w:val="StyleUnderline"/>
        </w:rPr>
        <w:t xml:space="preserve">of public perception, in order </w:t>
      </w:r>
      <w:r w:rsidRPr="00DD2D90">
        <w:rPr>
          <w:rStyle w:val="StyleUnderline"/>
          <w:highlight w:val="green"/>
        </w:rPr>
        <w:t>to widen the boundaries of illness and grow the</w:t>
      </w:r>
      <w:r w:rsidRPr="00DD2D90">
        <w:rPr>
          <w:rStyle w:val="StyleUnderline"/>
        </w:rPr>
        <w:t xml:space="preserve"> </w:t>
      </w:r>
      <w:r w:rsidRPr="00DD2D90">
        <w:rPr>
          <w:rStyle w:val="StyleUnderline"/>
          <w:highlight w:val="green"/>
        </w:rPr>
        <w:t>market</w:t>
      </w:r>
      <w:r w:rsidRPr="00DD2D90">
        <w:rPr>
          <w:rStyle w:val="StyleUnderline"/>
        </w:rPr>
        <w:t xml:space="preserve"> for those</w:t>
      </w:r>
      <w:r w:rsidR="00777787" w:rsidRPr="00DD2D90">
        <w:rPr>
          <w:rStyle w:val="StyleUnderline"/>
        </w:rPr>
        <w:t xml:space="preserve"> </w:t>
      </w:r>
      <w:r w:rsidRPr="00DD2D90">
        <w:rPr>
          <w:rStyle w:val="StyleUnderline"/>
        </w:rPr>
        <w:t>who sell and deliver treatments</w:t>
      </w:r>
      <w:r w:rsidRPr="00223414">
        <w:rPr>
          <w:sz w:val="16"/>
        </w:rPr>
        <w:t xml:space="preserve"> (Payer, 1992; Arnst, 2006; Moynihan &amp; Henry, 2006; Parsons,</w:t>
      </w:r>
      <w:r w:rsidR="00777787" w:rsidRPr="00223414">
        <w:rPr>
          <w:sz w:val="16"/>
        </w:rPr>
        <w:t xml:space="preserve"> </w:t>
      </w:r>
      <w:r w:rsidRPr="00223414">
        <w:rPr>
          <w:sz w:val="16"/>
        </w:rPr>
        <w:t xml:space="preserve">2007; Elliott, 2010a; Elliott, 2010b). Arnst (2006) has written that another way of </w:t>
      </w:r>
      <w:r w:rsidRPr="00DD2D90">
        <w:rPr>
          <w:rStyle w:val="StyleUnderline"/>
        </w:rPr>
        <w:t>think</w:t>
      </w:r>
      <w:r w:rsidRPr="00223414">
        <w:rPr>
          <w:sz w:val="16"/>
        </w:rPr>
        <w:t xml:space="preserve">ing </w:t>
      </w:r>
      <w:r w:rsidRPr="00DD2D90">
        <w:rPr>
          <w:rStyle w:val="StyleUnderline"/>
        </w:rPr>
        <w:t>of</w:t>
      </w:r>
      <w:r w:rsidR="00777787" w:rsidRPr="00DD2D90">
        <w:rPr>
          <w:rStyle w:val="StyleUnderline"/>
        </w:rPr>
        <w:t xml:space="preserve"> </w:t>
      </w:r>
      <w:r w:rsidRPr="00DD2D90">
        <w:rPr>
          <w:rStyle w:val="StyleUnderline"/>
        </w:rPr>
        <w:t xml:space="preserve">disease mongering is framing it as “the corporate-sponsored creation or </w:t>
      </w:r>
      <w:r w:rsidRPr="00DD2D90">
        <w:rPr>
          <w:rStyle w:val="Emphasis"/>
        </w:rPr>
        <w:t>exaggeration</w:t>
      </w:r>
      <w:r w:rsidRPr="00DD2D90">
        <w:rPr>
          <w:rStyle w:val="StyleUnderline"/>
        </w:rPr>
        <w:t xml:space="preserve"> of maladies</w:t>
      </w:r>
      <w:r w:rsidR="00777787" w:rsidRPr="00DD2D90">
        <w:rPr>
          <w:rStyle w:val="StyleUnderline"/>
        </w:rPr>
        <w:t xml:space="preserve"> </w:t>
      </w:r>
      <w:r w:rsidRPr="00DD2D90">
        <w:rPr>
          <w:rStyle w:val="StyleUnderline"/>
        </w:rPr>
        <w:t>for the purpose of selling more drugs</w:t>
      </w:r>
      <w:r w:rsidRPr="00223414">
        <w:rPr>
          <w:sz w:val="16"/>
        </w:rPr>
        <w:t xml:space="preserve">.” </w:t>
      </w:r>
      <w:r w:rsidRPr="00DD2D90">
        <w:rPr>
          <w:rStyle w:val="StyleUnderline"/>
        </w:rPr>
        <w:t>Examples</w:t>
      </w:r>
      <w:r w:rsidRPr="00223414">
        <w:rPr>
          <w:sz w:val="16"/>
        </w:rPr>
        <w:t xml:space="preserve"> of disease branding in Western medicine </w:t>
      </w:r>
      <w:r w:rsidRPr="00DD2D90">
        <w:rPr>
          <w:rStyle w:val="StyleUnderline"/>
        </w:rPr>
        <w:t>are</w:t>
      </w:r>
      <w:r w:rsidR="00777787" w:rsidRPr="00223414">
        <w:rPr>
          <w:sz w:val="16"/>
        </w:rPr>
        <w:t xml:space="preserve"> </w:t>
      </w:r>
      <w:r w:rsidRPr="00223414">
        <w:rPr>
          <w:sz w:val="16"/>
        </w:rPr>
        <w:t xml:space="preserve">far-reaching, with medical diagnoses such as </w:t>
      </w:r>
      <w:r w:rsidRPr="00DD2D90">
        <w:rPr>
          <w:rStyle w:val="StyleUnderline"/>
        </w:rPr>
        <w:t>overactive bladder</w:t>
      </w:r>
      <w:r w:rsidRPr="00223414">
        <w:rPr>
          <w:sz w:val="16"/>
        </w:rPr>
        <w:t xml:space="preserve"> (previously referred to as</w:t>
      </w:r>
      <w:r w:rsidR="00777787" w:rsidRPr="00223414">
        <w:rPr>
          <w:sz w:val="16"/>
        </w:rPr>
        <w:t xml:space="preserve"> </w:t>
      </w:r>
      <w:r w:rsidRPr="00223414">
        <w:rPr>
          <w:sz w:val="16"/>
        </w:rPr>
        <w:t xml:space="preserve">incontinence), </w:t>
      </w:r>
      <w:r w:rsidRPr="00DD2D90">
        <w:rPr>
          <w:rStyle w:val="StyleUnderline"/>
        </w:rPr>
        <w:t>social anxiety disorder</w:t>
      </w:r>
      <w:r w:rsidRPr="00223414">
        <w:rPr>
          <w:sz w:val="16"/>
        </w:rPr>
        <w:t xml:space="preserve"> (known ten years ago as shyness) and </w:t>
      </w:r>
      <w:r w:rsidRPr="00DD2D90">
        <w:rPr>
          <w:rStyle w:val="StyleUnderline"/>
        </w:rPr>
        <w:t>erectile dysfunction</w:t>
      </w:r>
      <w:r w:rsidR="00777787" w:rsidRPr="00223414">
        <w:rPr>
          <w:sz w:val="16"/>
        </w:rPr>
        <w:t xml:space="preserve"> </w:t>
      </w:r>
      <w:r w:rsidRPr="00223414">
        <w:rPr>
          <w:sz w:val="16"/>
        </w:rPr>
        <w:t xml:space="preserve">(impotency) </w:t>
      </w:r>
      <w:r w:rsidRPr="00DD2D90">
        <w:rPr>
          <w:rStyle w:val="StyleUnderline"/>
        </w:rPr>
        <w:t>all transformed through marketing efforts to obtain a form of cultural legitimacy</w:t>
      </w:r>
      <w:r w:rsidR="00777787" w:rsidRPr="00DD2D90">
        <w:rPr>
          <w:rStyle w:val="StyleUnderline"/>
        </w:rPr>
        <w:t xml:space="preserve"> </w:t>
      </w:r>
      <w:r w:rsidRPr="00DD2D90">
        <w:rPr>
          <w:rStyle w:val="StyleUnderline"/>
        </w:rPr>
        <w:t>decreasing the necessity for convincing consumers that a drug is needed to fix any of these</w:t>
      </w:r>
      <w:r w:rsidR="00777787" w:rsidRPr="00DD2D90">
        <w:rPr>
          <w:rStyle w:val="StyleUnderline"/>
        </w:rPr>
        <w:t xml:space="preserve"> </w:t>
      </w:r>
      <w:r w:rsidRPr="00DD2D90">
        <w:rPr>
          <w:rStyle w:val="StyleUnderline"/>
        </w:rPr>
        <w:t>“conditions</w:t>
      </w:r>
      <w:r w:rsidRPr="00223414">
        <w:rPr>
          <w:sz w:val="16"/>
        </w:rPr>
        <w:t>” (Elliott, 2010b). One of the most successful examples of disease mongering</w:t>
      </w:r>
      <w:r w:rsidR="00777787" w:rsidRPr="00223414">
        <w:rPr>
          <w:sz w:val="16"/>
        </w:rPr>
        <w:t xml:space="preserve"> </w:t>
      </w:r>
      <w:r w:rsidRPr="00223414">
        <w:rPr>
          <w:sz w:val="16"/>
        </w:rPr>
        <w:t>involves GlaxoSmithKline’s marketing of Paxil beginning in 1999</w:t>
      </w:r>
      <w:r w:rsidRPr="00DD2D90">
        <w:rPr>
          <w:rStyle w:val="StyleUnderline"/>
        </w:rPr>
        <w:t>. In an effort to target shy</w:t>
      </w:r>
      <w:r w:rsidR="00777787" w:rsidRPr="00DD2D90">
        <w:rPr>
          <w:rStyle w:val="StyleUnderline"/>
        </w:rPr>
        <w:t xml:space="preserve"> </w:t>
      </w:r>
      <w:r w:rsidRPr="00DD2D90">
        <w:rPr>
          <w:rStyle w:val="StyleUnderline"/>
        </w:rPr>
        <w:t>people</w:t>
      </w:r>
      <w:r w:rsidRPr="00223414">
        <w:rPr>
          <w:sz w:val="16"/>
        </w:rPr>
        <w:t xml:space="preserve"> and convince them they had a condition called social anxiety disorder, </w:t>
      </w:r>
      <w:r w:rsidRPr="00DD2D90">
        <w:rPr>
          <w:rStyle w:val="StyleUnderline"/>
          <w:highlight w:val="green"/>
        </w:rPr>
        <w:t>GlaxoSmithKline</w:t>
      </w:r>
      <w:r w:rsidR="00777787" w:rsidRPr="00DD2D90">
        <w:rPr>
          <w:rStyle w:val="StyleUnderline"/>
        </w:rPr>
        <w:t xml:space="preserve"> </w:t>
      </w:r>
      <w:r w:rsidRPr="00DD2D90">
        <w:rPr>
          <w:rStyle w:val="StyleUnderline"/>
        </w:rPr>
        <w:t xml:space="preserve">hired </w:t>
      </w:r>
      <w:r w:rsidRPr="00DD2D90">
        <w:rPr>
          <w:rStyle w:val="StyleUnderline"/>
          <w:highlight w:val="green"/>
        </w:rPr>
        <w:t>p</w:t>
      </w:r>
      <w:r w:rsidRPr="00DD2D90">
        <w:rPr>
          <w:rStyle w:val="StyleUnderline"/>
        </w:rPr>
        <w:t xml:space="preserve">ublic </w:t>
      </w:r>
      <w:r w:rsidRPr="00DD2D90">
        <w:rPr>
          <w:rStyle w:val="StyleUnderline"/>
          <w:highlight w:val="green"/>
        </w:rPr>
        <w:t>r</w:t>
      </w:r>
      <w:r w:rsidRPr="00DD2D90">
        <w:rPr>
          <w:rStyle w:val="StyleUnderline"/>
        </w:rPr>
        <w:t xml:space="preserve">elations </w:t>
      </w:r>
      <w:r w:rsidRPr="00DD2D90">
        <w:rPr>
          <w:rStyle w:val="StyleUnderline"/>
          <w:highlight w:val="green"/>
        </w:rPr>
        <w:t>firm</w:t>
      </w:r>
      <w:r w:rsidRPr="00223414">
        <w:rPr>
          <w:sz w:val="16"/>
        </w:rPr>
        <w:t xml:space="preserve"> Cohn and Wolfe </w:t>
      </w:r>
      <w:r w:rsidRPr="00DD2D90">
        <w:rPr>
          <w:rStyle w:val="StyleUnderline"/>
        </w:rPr>
        <w:t>to put together a “public awareness campaign</w:t>
      </w:r>
      <w:r w:rsidRPr="00223414">
        <w:rPr>
          <w:sz w:val="16"/>
        </w:rPr>
        <w:t>” called</w:t>
      </w:r>
      <w:r w:rsidR="00777787" w:rsidRPr="00223414">
        <w:rPr>
          <w:sz w:val="16"/>
        </w:rPr>
        <w:t xml:space="preserve"> </w:t>
      </w:r>
      <w:r w:rsidRPr="00223414">
        <w:rPr>
          <w:sz w:val="16"/>
        </w:rPr>
        <w:t>“imagine being allergic to people,” which also recruited NFL stars and celebrities in its message</w:t>
      </w:r>
      <w:r w:rsidR="00777787" w:rsidRPr="00223414">
        <w:rPr>
          <w:sz w:val="16"/>
        </w:rPr>
        <w:t xml:space="preserve"> </w:t>
      </w:r>
      <w:r w:rsidRPr="00223414">
        <w:rPr>
          <w:sz w:val="16"/>
        </w:rPr>
        <w:t xml:space="preserve">dissemination (Elliott, 2010b). </w:t>
      </w:r>
      <w:r w:rsidRPr="00DD2D90">
        <w:rPr>
          <w:rStyle w:val="StyleUnderline"/>
        </w:rPr>
        <w:t>GlaxoSmithKline</w:t>
      </w:r>
      <w:r w:rsidRPr="00223414">
        <w:rPr>
          <w:sz w:val="16"/>
        </w:rPr>
        <w:t xml:space="preserve"> even </w:t>
      </w:r>
      <w:r w:rsidRPr="00DD2D90">
        <w:rPr>
          <w:rStyle w:val="StyleUnderline"/>
        </w:rPr>
        <w:t xml:space="preserve">hired </w:t>
      </w:r>
      <w:r w:rsidRPr="00DD2D90">
        <w:rPr>
          <w:rStyle w:val="StyleUnderline"/>
          <w:highlight w:val="green"/>
        </w:rPr>
        <w:t>academic psychiatrists</w:t>
      </w:r>
      <w:r w:rsidRPr="00DD2D90">
        <w:rPr>
          <w:rStyle w:val="StyleUnderline"/>
        </w:rPr>
        <w:t xml:space="preserve"> and sent</w:t>
      </w:r>
      <w:r w:rsidR="00777787" w:rsidRPr="00DD2D90">
        <w:rPr>
          <w:rStyle w:val="StyleUnderline"/>
        </w:rPr>
        <w:t xml:space="preserve"> </w:t>
      </w:r>
      <w:r w:rsidRPr="00DD2D90">
        <w:rPr>
          <w:rStyle w:val="StyleUnderline"/>
        </w:rPr>
        <w:t>them to lecture on social anxiety disorder as a diagnosable condition</w:t>
      </w:r>
      <w:r w:rsidRPr="00223414">
        <w:rPr>
          <w:sz w:val="16"/>
        </w:rPr>
        <w:t xml:space="preserve"> </w:t>
      </w:r>
      <w:r w:rsidRPr="00DD2D90">
        <w:rPr>
          <w:rStyle w:val="StyleUnderline"/>
        </w:rPr>
        <w:t>in</w:t>
      </w:r>
      <w:r w:rsidRPr="00223414">
        <w:rPr>
          <w:sz w:val="16"/>
        </w:rPr>
        <w:t xml:space="preserve"> the top 25 </w:t>
      </w:r>
      <w:r w:rsidRPr="00DD2D90">
        <w:rPr>
          <w:rStyle w:val="StyleUnderline"/>
        </w:rPr>
        <w:t>media markets</w:t>
      </w:r>
      <w:r w:rsidRPr="00223414">
        <w:rPr>
          <w:sz w:val="16"/>
        </w:rPr>
        <w:t>.</w:t>
      </w:r>
      <w:r w:rsidR="00777787" w:rsidRPr="00223414">
        <w:rPr>
          <w:sz w:val="16"/>
        </w:rPr>
        <w:t xml:space="preserve"> </w:t>
      </w:r>
      <w:r w:rsidRPr="00223414">
        <w:rPr>
          <w:sz w:val="16"/>
        </w:rPr>
        <w:t>In the two years prior to Paxil being approved by the FDA for treating social anxiety disorder,</w:t>
      </w:r>
      <w:r w:rsidR="00777787" w:rsidRPr="00223414">
        <w:rPr>
          <w:sz w:val="16"/>
        </w:rPr>
        <w:t xml:space="preserve"> </w:t>
      </w:r>
      <w:r w:rsidRPr="00223414">
        <w:rPr>
          <w:sz w:val="16"/>
        </w:rPr>
        <w:t>there were only approximately 50 references to the condition in the press. However, at the end of</w:t>
      </w:r>
      <w:r w:rsidR="00777787" w:rsidRPr="00223414">
        <w:rPr>
          <w:sz w:val="16"/>
        </w:rPr>
        <w:t xml:space="preserve"> </w:t>
      </w:r>
      <w:r w:rsidRPr="00223414">
        <w:rPr>
          <w:sz w:val="16"/>
        </w:rPr>
        <w:t>1999, following the public relations campaign, there were over one billion references (Elliott,</w:t>
      </w:r>
      <w:r w:rsidR="00777787" w:rsidRPr="00223414">
        <w:rPr>
          <w:sz w:val="16"/>
        </w:rPr>
        <w:t xml:space="preserve"> </w:t>
      </w:r>
      <w:r w:rsidRPr="00223414">
        <w:rPr>
          <w:sz w:val="16"/>
        </w:rPr>
        <w:t xml:space="preserve">2010b). Today, </w:t>
      </w:r>
      <w:r w:rsidRPr="00DD2D90">
        <w:rPr>
          <w:rStyle w:val="StyleUnderline"/>
        </w:rPr>
        <w:t>social anxiety disorder is the third most common mental illness worldwide</w:t>
      </w:r>
      <w:r w:rsidRPr="00223414">
        <w:rPr>
          <w:sz w:val="16"/>
        </w:rPr>
        <w:t>.</w:t>
      </w:r>
      <w:r w:rsidR="00777787" w:rsidRPr="00223414">
        <w:rPr>
          <w:sz w:val="16"/>
        </w:rPr>
        <w:t xml:space="preserve"> </w:t>
      </w:r>
      <w:r w:rsidRPr="00223414">
        <w:rPr>
          <w:sz w:val="16"/>
        </w:rPr>
        <w:t>Disease branding/mongering -- as a concept that explains the expansion of drugs to numerous</w:t>
      </w:r>
      <w:r w:rsidR="00777787" w:rsidRPr="00223414">
        <w:rPr>
          <w:sz w:val="16"/>
        </w:rPr>
        <w:t xml:space="preserve"> </w:t>
      </w:r>
      <w:r w:rsidRPr="00223414">
        <w:rPr>
          <w:sz w:val="16"/>
        </w:rPr>
        <w:t>physical and psychological conditions -- is clearly related to pharmaceutical fetishism -- the</w:t>
      </w:r>
      <w:r w:rsidR="00777787" w:rsidRPr="00223414">
        <w:rPr>
          <w:sz w:val="16"/>
        </w:rPr>
        <w:t xml:space="preserve"> </w:t>
      </w:r>
      <w:r w:rsidRPr="00223414">
        <w:rPr>
          <w:sz w:val="16"/>
        </w:rPr>
        <w:t>application of drugs as a solution to numerous personal and social problems; the persuasive and</w:t>
      </w:r>
      <w:r w:rsidR="00777787" w:rsidRPr="00223414">
        <w:rPr>
          <w:sz w:val="16"/>
        </w:rPr>
        <w:t xml:space="preserve"> </w:t>
      </w:r>
      <w:r w:rsidRPr="00223414">
        <w:rPr>
          <w:sz w:val="16"/>
        </w:rPr>
        <w:t>communicative techniques in DTC advertisements may in fact link the two theoretical concepts in</w:t>
      </w:r>
      <w:r w:rsidR="00777787" w:rsidRPr="00223414">
        <w:rPr>
          <w:sz w:val="16"/>
        </w:rPr>
        <w:t xml:space="preserve"> </w:t>
      </w:r>
      <w:r w:rsidRPr="00223414">
        <w:rPr>
          <w:sz w:val="16"/>
        </w:rPr>
        <w:t>semiotic practice.</w:t>
      </w:r>
      <w:r w:rsidR="00777787" w:rsidRPr="00223414">
        <w:rPr>
          <w:sz w:val="16"/>
        </w:rPr>
        <w:t xml:space="preserve"> </w:t>
      </w:r>
      <w:r w:rsidRPr="00223414">
        <w:rPr>
          <w:sz w:val="16"/>
        </w:rPr>
        <w:t xml:space="preserve">In the case of </w:t>
      </w:r>
      <w:r w:rsidRPr="00DD2D90">
        <w:rPr>
          <w:rStyle w:val="StyleUnderline"/>
        </w:rPr>
        <w:t>oral contraceptives being marketed to not only prevent pregnancy, but</w:t>
      </w:r>
      <w:r w:rsidR="00777787" w:rsidRPr="00DD2D90">
        <w:rPr>
          <w:rStyle w:val="StyleUnderline"/>
        </w:rPr>
        <w:t xml:space="preserve"> </w:t>
      </w:r>
      <w:r w:rsidRPr="00DD2D90">
        <w:rPr>
          <w:rStyle w:val="StyleUnderline"/>
        </w:rPr>
        <w:t>having the ability to treat PMDD, an example of corporate-sponsored exaggeration</w:t>
      </w:r>
      <w:r w:rsidRPr="00223414">
        <w:rPr>
          <w:sz w:val="16"/>
        </w:rPr>
        <w:t xml:space="preserve"> of the</w:t>
      </w:r>
      <w:r w:rsidR="00777787" w:rsidRPr="00223414">
        <w:rPr>
          <w:sz w:val="16"/>
        </w:rPr>
        <w:t xml:space="preserve"> </w:t>
      </w:r>
      <w:r w:rsidRPr="00223414">
        <w:rPr>
          <w:sz w:val="16"/>
        </w:rPr>
        <w:t xml:space="preserve">maladies associated with premenstrual syndrome </w:t>
      </w:r>
      <w:r w:rsidRPr="00DD2D90">
        <w:rPr>
          <w:rStyle w:val="StyleUnderline"/>
        </w:rPr>
        <w:t>can be seen</w:t>
      </w:r>
      <w:r w:rsidRPr="00223414">
        <w:rPr>
          <w:sz w:val="16"/>
        </w:rPr>
        <w:t>; however, YAZ was not the first</w:t>
      </w:r>
      <w:r w:rsidR="00777787" w:rsidRPr="00223414">
        <w:rPr>
          <w:sz w:val="16"/>
        </w:rPr>
        <w:t xml:space="preserve"> </w:t>
      </w:r>
      <w:r w:rsidRPr="00223414">
        <w:rPr>
          <w:sz w:val="16"/>
        </w:rPr>
        <w:t>oral contraceptive to address PMDD as a treatable and diagnosable condition. In late 2000,</w:t>
      </w:r>
      <w:r w:rsidR="00777787" w:rsidRPr="00223414">
        <w:rPr>
          <w:sz w:val="16"/>
        </w:rPr>
        <w:t xml:space="preserve"> </w:t>
      </w:r>
      <w:r w:rsidRPr="00223414">
        <w:rPr>
          <w:sz w:val="16"/>
        </w:rPr>
        <w:t>pharmaceutical corporation Eli Lilly was faced with the prospect of losing competition to generic</w:t>
      </w:r>
      <w:r w:rsidR="00777787" w:rsidRPr="00223414">
        <w:rPr>
          <w:sz w:val="16"/>
        </w:rPr>
        <w:t xml:space="preserve"> </w:t>
      </w:r>
      <w:r w:rsidRPr="00223414">
        <w:rPr>
          <w:sz w:val="16"/>
        </w:rPr>
        <w:t>alternatives as its patent for Prozac was set to run out. At this time, Eli Lilly launched Sarafem, a</w:t>
      </w:r>
      <w:r w:rsidR="00777787" w:rsidRPr="00223414">
        <w:rPr>
          <w:sz w:val="16"/>
        </w:rPr>
        <w:t xml:space="preserve"> </w:t>
      </w:r>
      <w:r w:rsidRPr="00223414">
        <w:rPr>
          <w:sz w:val="16"/>
        </w:rPr>
        <w:t>prescription drug treatment for PMDD (Ebeling, 2011). However, Sarafem and Prozac were</w:t>
      </w:r>
      <w:r w:rsidR="00777787" w:rsidRPr="00223414">
        <w:rPr>
          <w:sz w:val="16"/>
        </w:rPr>
        <w:t xml:space="preserve"> </w:t>
      </w:r>
      <w:r w:rsidRPr="00223414">
        <w:rPr>
          <w:sz w:val="16"/>
        </w:rPr>
        <w:t>chemically identical. Eli Lilly created a DTC marketing campaign for Sarafem in the United</w:t>
      </w:r>
      <w:r w:rsidR="00777787" w:rsidRPr="00223414">
        <w:rPr>
          <w:sz w:val="16"/>
        </w:rPr>
        <w:t xml:space="preserve"> </w:t>
      </w:r>
      <w:r w:rsidRPr="00223414">
        <w:rPr>
          <w:sz w:val="16"/>
        </w:rPr>
        <w:t>States that simultaneously “warned” women of the newly accepted condition known as PMDD</w:t>
      </w:r>
      <w:r w:rsidR="00777787" w:rsidRPr="00223414">
        <w:rPr>
          <w:sz w:val="16"/>
        </w:rPr>
        <w:t xml:space="preserve"> </w:t>
      </w:r>
      <w:r w:rsidRPr="00223414">
        <w:rPr>
          <w:sz w:val="16"/>
        </w:rPr>
        <w:t>while offering a remedy through their prescription drug. Interestingly, Eli Lilly helped to get</w:t>
      </w:r>
      <w:r w:rsidR="00777787" w:rsidRPr="00223414">
        <w:rPr>
          <w:sz w:val="16"/>
        </w:rPr>
        <w:t xml:space="preserve"> </w:t>
      </w:r>
      <w:r w:rsidRPr="00223414">
        <w:rPr>
          <w:sz w:val="16"/>
        </w:rPr>
        <w:t>PMDD recognized as a distinct disease, different from PMS, by the FDA in 1999 (Ebeling,</w:t>
      </w:r>
      <w:r w:rsidR="00777787" w:rsidRPr="00223414">
        <w:rPr>
          <w:sz w:val="16"/>
        </w:rPr>
        <w:t xml:space="preserve"> </w:t>
      </w:r>
      <w:r w:rsidRPr="00223414">
        <w:rPr>
          <w:sz w:val="16"/>
        </w:rPr>
        <w:t>2011). PMDD has been referenced as one of the most prominent examples of disease mongering</w:t>
      </w:r>
      <w:r w:rsidR="00777787" w:rsidRPr="00223414">
        <w:rPr>
          <w:sz w:val="16"/>
        </w:rPr>
        <w:t xml:space="preserve"> </w:t>
      </w:r>
      <w:r w:rsidRPr="00223414">
        <w:rPr>
          <w:sz w:val="16"/>
        </w:rPr>
        <w:t>in pharmaceutical advertising because of the condition’s similarity to PMS, meaning that the</w:t>
      </w:r>
      <w:r w:rsidR="00777787" w:rsidRPr="00223414">
        <w:rPr>
          <w:sz w:val="16"/>
        </w:rPr>
        <w:t xml:space="preserve"> </w:t>
      </w:r>
      <w:r w:rsidRPr="00223414">
        <w:rPr>
          <w:sz w:val="16"/>
        </w:rPr>
        <w:t>industry took a natural bodily condition and its subsequent characteristics and exaggerated them</w:t>
      </w:r>
      <w:r w:rsidR="00777787" w:rsidRPr="00223414">
        <w:rPr>
          <w:sz w:val="16"/>
        </w:rPr>
        <w:t xml:space="preserve"> </w:t>
      </w:r>
      <w:r w:rsidRPr="00223414">
        <w:rPr>
          <w:sz w:val="16"/>
        </w:rPr>
        <w:t>to benefit the corporate bottom line of selling more prescription drugs (see Table 6.1 for</w:t>
      </w:r>
      <w:r w:rsidR="00777787" w:rsidRPr="00223414">
        <w:rPr>
          <w:sz w:val="16"/>
        </w:rPr>
        <w:t xml:space="preserve"> </w:t>
      </w:r>
      <w:r w:rsidRPr="00223414">
        <w:rPr>
          <w:sz w:val="16"/>
        </w:rPr>
        <w:t>symptoms of PMDD versus PMS). The corporation hired a clinical psychiatrist who had previously conducted clinical trials using antidepressants as a treatment for PMDD with Pfizer to</w:t>
      </w:r>
      <w:r w:rsidR="00777787" w:rsidRPr="00223414">
        <w:rPr>
          <w:sz w:val="16"/>
        </w:rPr>
        <w:t xml:space="preserve"> </w:t>
      </w:r>
      <w:r w:rsidRPr="00223414">
        <w:rPr>
          <w:sz w:val="16"/>
        </w:rPr>
        <w:t>provide expert testimony to the FDA’s Psychopharmacological Drugs Advisory Committee</w:t>
      </w:r>
      <w:r w:rsidR="00777787" w:rsidRPr="00223414">
        <w:rPr>
          <w:sz w:val="16"/>
        </w:rPr>
        <w:t xml:space="preserve"> </w:t>
      </w:r>
      <w:r w:rsidRPr="00223414">
        <w:rPr>
          <w:sz w:val="16"/>
        </w:rPr>
        <w:t>(PDAC), testifying that PMDD was a disease entity and that fluoxetine (the main ingredient in</w:t>
      </w:r>
      <w:r w:rsidR="00777787" w:rsidRPr="00223414">
        <w:rPr>
          <w:sz w:val="16"/>
        </w:rPr>
        <w:t xml:space="preserve"> </w:t>
      </w:r>
      <w:r w:rsidRPr="00223414">
        <w:rPr>
          <w:sz w:val="16"/>
        </w:rPr>
        <w:t>Prozac) was an effective treatment for the condition (Ebeling, 2011). What is arguably most</w:t>
      </w:r>
      <w:r w:rsidR="00777787" w:rsidRPr="00223414">
        <w:rPr>
          <w:sz w:val="16"/>
        </w:rPr>
        <w:t xml:space="preserve"> </w:t>
      </w:r>
      <w:r w:rsidRPr="00223414">
        <w:rPr>
          <w:sz w:val="16"/>
        </w:rPr>
        <w:t>concerning about the creation of PMDD as a diagnostic mental health category is the</w:t>
      </w:r>
      <w:r w:rsidR="00777787" w:rsidRPr="00223414">
        <w:rPr>
          <w:sz w:val="16"/>
        </w:rPr>
        <w:t xml:space="preserve"> </w:t>
      </w:r>
      <w:r w:rsidRPr="00223414">
        <w:rPr>
          <w:sz w:val="16"/>
        </w:rPr>
        <w:t>pharmaceutical industry’s role in capitalizing on premenstrual experiences surrounding the</w:t>
      </w:r>
      <w:r w:rsidR="00777787" w:rsidRPr="00223414">
        <w:rPr>
          <w:sz w:val="16"/>
        </w:rPr>
        <w:t xml:space="preserve"> </w:t>
      </w:r>
      <w:r w:rsidRPr="00223414">
        <w:rPr>
          <w:sz w:val="16"/>
        </w:rPr>
        <w:t>marketed reinvention of PMS (Greenslit, 2006). By promoting and marketing PMDD as a</w:t>
      </w:r>
      <w:r w:rsidR="00777787" w:rsidRPr="00223414">
        <w:rPr>
          <w:sz w:val="16"/>
        </w:rPr>
        <w:t xml:space="preserve"> </w:t>
      </w:r>
      <w:r w:rsidRPr="00223414">
        <w:rPr>
          <w:sz w:val="16"/>
        </w:rPr>
        <w:t>diagnosable condition requiring intervention, the pharmaceutical industry proved successful in</w:t>
      </w:r>
      <w:r w:rsidR="00777787" w:rsidRPr="00223414">
        <w:rPr>
          <w:sz w:val="16"/>
        </w:rPr>
        <w:t xml:space="preserve"> </w:t>
      </w:r>
      <w:r w:rsidRPr="00223414">
        <w:rPr>
          <w:sz w:val="16"/>
        </w:rPr>
        <w:t>defining and culturally shaping a new diagnosis, setting a precedent for this to happen again in</w:t>
      </w:r>
      <w:r w:rsidR="00777787" w:rsidRPr="00223414">
        <w:rPr>
          <w:sz w:val="16"/>
        </w:rPr>
        <w:t xml:space="preserve"> </w:t>
      </w:r>
      <w:r w:rsidRPr="00223414">
        <w:rPr>
          <w:sz w:val="16"/>
        </w:rPr>
        <w:t>the future.</w:t>
      </w:r>
      <w:r w:rsidR="00777787" w:rsidRPr="00223414">
        <w:rPr>
          <w:sz w:val="16"/>
        </w:rPr>
        <w:t xml:space="preserve"> </w:t>
      </w:r>
      <w:r w:rsidRPr="00223414">
        <w:rPr>
          <w:sz w:val="16"/>
        </w:rPr>
        <w:t xml:space="preserve">Prior to officially releasing YAZ on the market, </w:t>
      </w:r>
      <w:r w:rsidRPr="00DD2D90">
        <w:rPr>
          <w:rStyle w:val="StyleUnderline"/>
        </w:rPr>
        <w:t xml:space="preserve">Bayer hired </w:t>
      </w:r>
      <w:r w:rsidRPr="00DD2D90">
        <w:rPr>
          <w:rStyle w:val="StyleUnderline"/>
          <w:highlight w:val="green"/>
        </w:rPr>
        <w:t>global communications firm</w:t>
      </w:r>
      <w:r w:rsidR="00777787" w:rsidRPr="00223414">
        <w:rPr>
          <w:sz w:val="16"/>
        </w:rPr>
        <w:t xml:space="preserve"> </w:t>
      </w:r>
      <w:r w:rsidRPr="00223414">
        <w:rPr>
          <w:sz w:val="16"/>
        </w:rPr>
        <w:t>MediaEdge: Cia (</w:t>
      </w:r>
      <w:r w:rsidRPr="00DD2D90">
        <w:rPr>
          <w:rStyle w:val="StyleUnderline"/>
        </w:rPr>
        <w:t>MEC</w:t>
      </w:r>
      <w:r w:rsidRPr="00223414">
        <w:rPr>
          <w:sz w:val="16"/>
        </w:rPr>
        <w:t xml:space="preserve">) </w:t>
      </w:r>
      <w:r w:rsidRPr="00DD2D90">
        <w:rPr>
          <w:rStyle w:val="StyleUnderline"/>
          <w:highlight w:val="green"/>
        </w:rPr>
        <w:t>to prime consumers</w:t>
      </w:r>
      <w:r w:rsidRPr="00DD2D90">
        <w:rPr>
          <w:rStyle w:val="StyleUnderline"/>
        </w:rPr>
        <w:t xml:space="preserve"> about PMDD</w:t>
      </w:r>
      <w:r w:rsidRPr="00223414">
        <w:rPr>
          <w:sz w:val="16"/>
        </w:rPr>
        <w:t xml:space="preserve"> (Woods, 2013). Upon consulting with</w:t>
      </w:r>
      <w:r w:rsidR="00777787" w:rsidRPr="00223414">
        <w:rPr>
          <w:sz w:val="16"/>
        </w:rPr>
        <w:t xml:space="preserve"> </w:t>
      </w:r>
      <w:r w:rsidRPr="00223414">
        <w:rPr>
          <w:sz w:val="16"/>
        </w:rPr>
        <w:t>Bayer, MEC announced that its marketing campaign had the goal of “activating girl power,”</w:t>
      </w:r>
      <w:r w:rsidR="00777787" w:rsidRPr="00223414">
        <w:rPr>
          <w:sz w:val="16"/>
        </w:rPr>
        <w:t xml:space="preserve"> </w:t>
      </w:r>
      <w:r w:rsidRPr="00223414">
        <w:rPr>
          <w:sz w:val="16"/>
        </w:rPr>
        <w:t>creating a multimedia campaign set to “engage with young women about confidential health</w:t>
      </w:r>
      <w:r w:rsidR="00777787" w:rsidRPr="00223414">
        <w:rPr>
          <w:sz w:val="16"/>
        </w:rPr>
        <w:t xml:space="preserve"> </w:t>
      </w:r>
      <w:r w:rsidRPr="00223414">
        <w:rPr>
          <w:sz w:val="16"/>
        </w:rPr>
        <w:t>choices through music and online content” (Hains, 2009, p. 98). MEC created a three-pronged,</w:t>
      </w:r>
      <w:r w:rsidR="00777787" w:rsidRPr="00223414">
        <w:rPr>
          <w:sz w:val="16"/>
        </w:rPr>
        <w:t xml:space="preserve"> </w:t>
      </w:r>
      <w:r w:rsidRPr="00223414">
        <w:rPr>
          <w:sz w:val="16"/>
        </w:rPr>
        <w:t>non-branded education campaign, which first consisted of hiring Australian band The Veronicas</w:t>
      </w:r>
      <w:r w:rsidR="00777787" w:rsidRPr="00223414">
        <w:rPr>
          <w:sz w:val="16"/>
        </w:rPr>
        <w:t xml:space="preserve"> </w:t>
      </w:r>
      <w:r w:rsidRPr="00223414">
        <w:rPr>
          <w:sz w:val="16"/>
        </w:rPr>
        <w:t>to record Twisted Sister’s 1984 song “We’re Not Gonna Take It,” addressing the symptoms</w:t>
      </w:r>
      <w:r w:rsidR="00777787" w:rsidRPr="00223414">
        <w:rPr>
          <w:sz w:val="16"/>
        </w:rPr>
        <w:t xml:space="preserve"> </w:t>
      </w:r>
      <w:r w:rsidRPr="00223414">
        <w:rPr>
          <w:sz w:val="16"/>
        </w:rPr>
        <w:t>associated with menstruation. In this way, the campaign made menstrual symptoms a choice that</w:t>
      </w:r>
      <w:r w:rsidR="00777787" w:rsidRPr="00223414">
        <w:rPr>
          <w:sz w:val="16"/>
        </w:rPr>
        <w:t xml:space="preserve"> </w:t>
      </w:r>
      <w:r w:rsidRPr="00223414">
        <w:rPr>
          <w:sz w:val="16"/>
        </w:rPr>
        <w:t>the consumer could opt out of if they chose YAZ (Woods, 2013). The second portion of the</w:t>
      </w:r>
      <w:r w:rsidR="00777787" w:rsidRPr="00223414">
        <w:rPr>
          <w:sz w:val="16"/>
        </w:rPr>
        <w:t xml:space="preserve"> </w:t>
      </w:r>
      <w:r w:rsidRPr="00223414">
        <w:rPr>
          <w:sz w:val="16"/>
        </w:rPr>
        <w:t>campaign involved a website, wngti.com, which was “outlined in bright pink and decorated with</w:t>
      </w:r>
      <w:r w:rsidR="00777787" w:rsidRPr="00223414">
        <w:rPr>
          <w:sz w:val="16"/>
        </w:rPr>
        <w:t xml:space="preserve"> </w:t>
      </w:r>
      <w:r w:rsidRPr="00223414">
        <w:rPr>
          <w:sz w:val="16"/>
        </w:rPr>
        <w:t>hearts...[and] allowed consumers to get a behind-the-scenes peek at The Veronicas and make a</w:t>
      </w:r>
      <w:r w:rsidR="00777787" w:rsidRPr="00223414">
        <w:rPr>
          <w:sz w:val="16"/>
        </w:rPr>
        <w:t xml:space="preserve"> </w:t>
      </w:r>
      <w:r w:rsidRPr="00223414">
        <w:rPr>
          <w:sz w:val="16"/>
        </w:rPr>
        <w:t>connection between the lyrics and their feelings about menstruation” (Woods, 2013, p. 272).</w:t>
      </w:r>
      <w:r w:rsidR="00777787" w:rsidRPr="00223414">
        <w:rPr>
          <w:sz w:val="16"/>
        </w:rPr>
        <w:t xml:space="preserve"> </w:t>
      </w:r>
      <w:r w:rsidRPr="00223414">
        <w:rPr>
          <w:sz w:val="16"/>
        </w:rPr>
        <w:t>Upon visiting the site, users were given a code (understandpmdd) for a free download of The</w:t>
      </w:r>
      <w:r w:rsidR="00777787" w:rsidRPr="00223414">
        <w:rPr>
          <w:sz w:val="16"/>
        </w:rPr>
        <w:t xml:space="preserve"> </w:t>
      </w:r>
      <w:r w:rsidRPr="00223414">
        <w:rPr>
          <w:sz w:val="16"/>
        </w:rPr>
        <w:t>Veronicas song, and after downloading the song, were prompted to visit the third prong of MEC’s</w:t>
      </w:r>
      <w:r w:rsidR="00777787" w:rsidRPr="00223414">
        <w:rPr>
          <w:sz w:val="16"/>
        </w:rPr>
        <w:t xml:space="preserve"> </w:t>
      </w:r>
      <w:r w:rsidRPr="00223414">
        <w:rPr>
          <w:sz w:val="16"/>
        </w:rPr>
        <w:t>campaign, which was the companion website www.understandpmdd.com. This website linked to</w:t>
      </w:r>
      <w:r w:rsidR="00777787" w:rsidRPr="00223414">
        <w:rPr>
          <w:sz w:val="16"/>
        </w:rPr>
        <w:t xml:space="preserve"> </w:t>
      </w:r>
      <w:r w:rsidRPr="00223414">
        <w:rPr>
          <w:sz w:val="16"/>
        </w:rPr>
        <w:t>a “body diary” (described in more details below) where women could self-diagnose PMDD and</w:t>
      </w:r>
      <w:r w:rsidR="00777787" w:rsidRPr="00223414">
        <w:rPr>
          <w:sz w:val="16"/>
        </w:rPr>
        <w:t xml:space="preserve"> </w:t>
      </w:r>
      <w:r w:rsidRPr="00223414">
        <w:rPr>
          <w:sz w:val="16"/>
        </w:rPr>
        <w:t>obtain a print-out of their symptoms to share with their physician. Rather than presenting</w:t>
      </w:r>
      <w:r w:rsidR="00777787" w:rsidRPr="00223414">
        <w:rPr>
          <w:sz w:val="16"/>
        </w:rPr>
        <w:t xml:space="preserve"> </w:t>
      </w:r>
      <w:r w:rsidRPr="00223414">
        <w:rPr>
          <w:sz w:val="16"/>
        </w:rPr>
        <w:t>contraception and menstruation as natural processes associated with the female body, Bayer</w:t>
      </w:r>
      <w:r w:rsidR="00777787" w:rsidRPr="00223414">
        <w:rPr>
          <w:sz w:val="16"/>
        </w:rPr>
        <w:t xml:space="preserve"> </w:t>
      </w:r>
      <w:r w:rsidRPr="00223414">
        <w:rPr>
          <w:sz w:val="16"/>
        </w:rPr>
        <w:t>incorporated postfeminist depictions in its campaigns for PMDD and for its subsequent marketing</w:t>
      </w:r>
      <w:r w:rsidR="00777787" w:rsidRPr="00223414">
        <w:rPr>
          <w:sz w:val="16"/>
        </w:rPr>
        <w:t xml:space="preserve"> </w:t>
      </w:r>
      <w:r w:rsidRPr="00223414">
        <w:rPr>
          <w:sz w:val="16"/>
        </w:rPr>
        <w:t>of YAZ, “encouraging women to (literally) fight back against PMDD,” making the obtainment of</w:t>
      </w:r>
      <w:r w:rsidR="00777787" w:rsidRPr="00223414">
        <w:rPr>
          <w:sz w:val="16"/>
        </w:rPr>
        <w:t xml:space="preserve"> </w:t>
      </w:r>
      <w:r w:rsidRPr="00223414">
        <w:rPr>
          <w:sz w:val="16"/>
        </w:rPr>
        <w:t>the prescription drug a means of empowerment (Woods, 2013, p. 274). Rather than viewing</w:t>
      </w:r>
      <w:r w:rsidR="00777787" w:rsidRPr="00223414">
        <w:rPr>
          <w:sz w:val="16"/>
        </w:rPr>
        <w:t xml:space="preserve"> </w:t>
      </w:r>
      <w:r w:rsidRPr="00223414">
        <w:rPr>
          <w:sz w:val="16"/>
        </w:rPr>
        <w:t>menstruation and contraception efforts as issues that affect public health as a whole, Bayer</w:t>
      </w:r>
      <w:r w:rsidR="00777787" w:rsidRPr="00223414">
        <w:rPr>
          <w:sz w:val="16"/>
        </w:rPr>
        <w:t xml:space="preserve"> </w:t>
      </w:r>
      <w:r w:rsidRPr="00223414">
        <w:rPr>
          <w:sz w:val="16"/>
        </w:rPr>
        <w:t>encouraged women to “see menstrual suppression as a right that they can and should freely</w:t>
      </w:r>
      <w:r w:rsidR="00777787" w:rsidRPr="00223414">
        <w:rPr>
          <w:sz w:val="16"/>
        </w:rPr>
        <w:t xml:space="preserve"> </w:t>
      </w:r>
      <w:r w:rsidRPr="00223414">
        <w:rPr>
          <w:sz w:val="16"/>
        </w:rPr>
        <w:t>choose to exercise to gain control over their lives” (Woods, 2013, p. 274). In addition to this</w:t>
      </w:r>
      <w:r w:rsidR="00777787" w:rsidRPr="00223414">
        <w:rPr>
          <w:sz w:val="16"/>
        </w:rPr>
        <w:t xml:space="preserve"> </w:t>
      </w:r>
      <w:r w:rsidRPr="00223414">
        <w:rPr>
          <w:sz w:val="16"/>
        </w:rPr>
        <w:t>campaign, Bayer also relied heavily on advertising YAZ upon its release via the medium of</w:t>
      </w:r>
      <w:r w:rsidR="00777787" w:rsidRPr="00223414">
        <w:rPr>
          <w:sz w:val="16"/>
        </w:rPr>
        <w:t xml:space="preserve"> </w:t>
      </w:r>
      <w:r w:rsidRPr="00223414">
        <w:rPr>
          <w:sz w:val="16"/>
        </w:rPr>
        <w:t>television broadcasting.</w:t>
      </w:r>
      <w:r w:rsidR="00777787" w:rsidRPr="00223414">
        <w:rPr>
          <w:sz w:val="16"/>
        </w:rPr>
        <w:t xml:space="preserve"> </w:t>
      </w:r>
      <w:r w:rsidRPr="00223414">
        <w:rPr>
          <w:sz w:val="16"/>
        </w:rPr>
        <w:t>Textual Analysis of a Televised YAZ Advertisement</w:t>
      </w:r>
      <w:r w:rsidR="00777787" w:rsidRPr="00223414">
        <w:rPr>
          <w:sz w:val="16"/>
        </w:rPr>
        <w:t xml:space="preserve"> </w:t>
      </w:r>
      <w:r w:rsidRPr="00223414">
        <w:rPr>
          <w:sz w:val="16"/>
        </w:rPr>
        <w:t>The YAZ advertisement referenced in this chapter was included in the dataset used in</w:t>
      </w:r>
      <w:r w:rsidR="00777787" w:rsidRPr="00223414">
        <w:rPr>
          <w:sz w:val="16"/>
        </w:rPr>
        <w:t xml:space="preserve"> </w:t>
      </w:r>
      <w:r w:rsidRPr="00223414">
        <w:rPr>
          <w:sz w:val="16"/>
        </w:rPr>
        <w:t>chapters four and five. It is important to note that prior to the airing of this advertisement in</w:t>
      </w:r>
      <w:r w:rsidR="00777787" w:rsidRPr="00223414">
        <w:rPr>
          <w:sz w:val="16"/>
        </w:rPr>
        <w:t xml:space="preserve"> </w:t>
      </w:r>
      <w:r w:rsidRPr="00223414">
        <w:rPr>
          <w:sz w:val="16"/>
        </w:rPr>
        <w:t>2010, Bayer had already been sent three warning letters by the FDA claiming that three separate</w:t>
      </w:r>
      <w:r w:rsidR="00777787" w:rsidRPr="00223414">
        <w:rPr>
          <w:sz w:val="16"/>
        </w:rPr>
        <w:t xml:space="preserve"> </w:t>
      </w:r>
      <w:r w:rsidRPr="00223414">
        <w:rPr>
          <w:sz w:val="16"/>
        </w:rPr>
        <w:t>advertisements (from 2003, 2008, and 2009) featured false and misleading advertising claims.</w:t>
      </w:r>
      <w:r w:rsidR="00777787" w:rsidRPr="00223414">
        <w:rPr>
          <w:sz w:val="16"/>
        </w:rPr>
        <w:t xml:space="preserve"> </w:t>
      </w:r>
      <w:r w:rsidRPr="00223414">
        <w:rPr>
          <w:sz w:val="16"/>
        </w:rPr>
        <w:t xml:space="preserve">The letters cited that </w:t>
      </w:r>
      <w:r w:rsidRPr="00DD2D90">
        <w:rPr>
          <w:rStyle w:val="StyleUnderline"/>
          <w:highlight w:val="green"/>
        </w:rPr>
        <w:t>Bayer’s</w:t>
      </w:r>
      <w:r w:rsidRPr="00DD2D90">
        <w:rPr>
          <w:rStyle w:val="StyleUnderline"/>
        </w:rPr>
        <w:t xml:space="preserve"> “misleading” advertising </w:t>
      </w:r>
      <w:r w:rsidRPr="00DD2D90">
        <w:rPr>
          <w:rStyle w:val="StyleUnderline"/>
          <w:highlight w:val="green"/>
        </w:rPr>
        <w:t>claims</w:t>
      </w:r>
      <w:r w:rsidRPr="00223414">
        <w:rPr>
          <w:sz w:val="16"/>
        </w:rPr>
        <w:t xml:space="preserve"> were “particularly troubling”</w:t>
      </w:r>
      <w:r w:rsidR="00777787" w:rsidRPr="00223414">
        <w:rPr>
          <w:sz w:val="16"/>
        </w:rPr>
        <w:t xml:space="preserve"> </w:t>
      </w:r>
      <w:r w:rsidRPr="00223414">
        <w:rPr>
          <w:sz w:val="16"/>
        </w:rPr>
        <w:t>because they served to “</w:t>
      </w:r>
      <w:r w:rsidRPr="00DD2D90">
        <w:rPr>
          <w:rStyle w:val="Emphasis"/>
          <w:highlight w:val="green"/>
        </w:rPr>
        <w:t>undermine</w:t>
      </w:r>
      <w:r w:rsidRPr="00DD2D90">
        <w:rPr>
          <w:rStyle w:val="StyleUnderline"/>
        </w:rPr>
        <w:t xml:space="preserve"> the communication of important </w:t>
      </w:r>
      <w:r w:rsidRPr="00DD2D90">
        <w:rPr>
          <w:rStyle w:val="StyleUnderline"/>
          <w:highlight w:val="green"/>
        </w:rPr>
        <w:t>risk information</w:t>
      </w:r>
      <w:r w:rsidRPr="00DD2D90">
        <w:rPr>
          <w:rStyle w:val="StyleUnderline"/>
        </w:rPr>
        <w:t>, minimizing</w:t>
      </w:r>
      <w:r w:rsidR="00777787" w:rsidRPr="00DD2D90">
        <w:rPr>
          <w:rStyle w:val="StyleUnderline"/>
        </w:rPr>
        <w:t xml:space="preserve"> </w:t>
      </w:r>
      <w:r w:rsidRPr="00DD2D90">
        <w:rPr>
          <w:rStyle w:val="StyleUnderline"/>
        </w:rPr>
        <w:t>these risks and misleadingly suggesting that YAZ is safer</w:t>
      </w:r>
      <w:r w:rsidRPr="00223414">
        <w:rPr>
          <w:sz w:val="16"/>
        </w:rPr>
        <w:t xml:space="preserve"> than has been demonstrated by</w:t>
      </w:r>
      <w:r w:rsidR="00777787" w:rsidRPr="00223414">
        <w:rPr>
          <w:sz w:val="16"/>
        </w:rPr>
        <w:t xml:space="preserve"> </w:t>
      </w:r>
      <w:r w:rsidRPr="00223414">
        <w:rPr>
          <w:sz w:val="16"/>
        </w:rPr>
        <w:t>substantial evidence or substantial clinical experience” (U.S. Food and Drug Administration 2a,</w:t>
      </w:r>
      <w:r w:rsidR="00777787" w:rsidRPr="00223414">
        <w:rPr>
          <w:sz w:val="16"/>
        </w:rPr>
        <w:t xml:space="preserve"> </w:t>
      </w:r>
      <w:r w:rsidRPr="00223414">
        <w:rPr>
          <w:sz w:val="16"/>
        </w:rPr>
        <w:t>2008; U.S. Food and Drug Administration 2b, 2009). Table 6.2 presents the coded data for the</w:t>
      </w:r>
      <w:r w:rsidR="00777787" w:rsidRPr="00223414">
        <w:rPr>
          <w:sz w:val="16"/>
        </w:rPr>
        <w:t xml:space="preserve"> </w:t>
      </w:r>
      <w:r w:rsidRPr="00223414">
        <w:rPr>
          <w:sz w:val="16"/>
        </w:rPr>
        <w:t>individual YAZ advertisement in accordance with the informative/educational variables discussed</w:t>
      </w:r>
      <w:r w:rsidR="00777787" w:rsidRPr="00223414">
        <w:rPr>
          <w:sz w:val="16"/>
        </w:rPr>
        <w:t xml:space="preserve"> </w:t>
      </w:r>
      <w:r w:rsidRPr="00223414">
        <w:rPr>
          <w:sz w:val="16"/>
        </w:rPr>
        <w:t>in chapter four and the critical categories emphasizing representation from chapter five. For the</w:t>
      </w:r>
      <w:r w:rsidR="00777787" w:rsidRPr="00223414">
        <w:rPr>
          <w:sz w:val="16"/>
        </w:rPr>
        <w:t xml:space="preserve"> </w:t>
      </w:r>
      <w:r w:rsidRPr="00223414">
        <w:rPr>
          <w:sz w:val="16"/>
        </w:rPr>
        <w:t>purposes of this chapter only, both conditions most heavily advertised by Bayer for YAZ use</w:t>
      </w:r>
      <w:r w:rsidR="00777787" w:rsidRPr="00223414">
        <w:rPr>
          <w:sz w:val="16"/>
        </w:rPr>
        <w:t xml:space="preserve"> </w:t>
      </w:r>
      <w:r w:rsidRPr="00223414">
        <w:rPr>
          <w:sz w:val="16"/>
        </w:rPr>
        <w:t>(contraception and PMDD) were coded separately for informational/educational categories in</w:t>
      </w:r>
      <w:r w:rsidR="00777787" w:rsidRPr="00223414">
        <w:rPr>
          <w:sz w:val="16"/>
        </w:rPr>
        <w:t xml:space="preserve"> </w:t>
      </w:r>
      <w:r w:rsidRPr="00223414">
        <w:rPr>
          <w:sz w:val="16"/>
        </w:rPr>
        <w:t>order to differentiate which condition(s) is/are being targeted most frequently throughout the</w:t>
      </w:r>
      <w:r w:rsidR="00777787" w:rsidRPr="00223414">
        <w:rPr>
          <w:sz w:val="16"/>
        </w:rPr>
        <w:t xml:space="preserve"> </w:t>
      </w:r>
      <w:r w:rsidRPr="00223414">
        <w:rPr>
          <w:sz w:val="16"/>
        </w:rPr>
        <w:t>advertisement. The advertisement aired 23 times total on ABC and NBC during the time period of</w:t>
      </w:r>
      <w:r w:rsidR="00777787" w:rsidRPr="00223414">
        <w:rPr>
          <w:sz w:val="16"/>
        </w:rPr>
        <w:t xml:space="preserve"> </w:t>
      </w:r>
      <w:r w:rsidRPr="00223414">
        <w:rPr>
          <w:sz w:val="16"/>
        </w:rPr>
        <w:t>the sample. Thirty seconds of the advertisement’s total run time of 1:10 are attributed to side-</w:t>
      </w:r>
      <w:r w:rsidR="00777787" w:rsidRPr="00223414">
        <w:rPr>
          <w:sz w:val="16"/>
        </w:rPr>
        <w:t xml:space="preserve"> </w:t>
      </w:r>
      <w:r w:rsidRPr="00223414">
        <w:rPr>
          <w:sz w:val="16"/>
        </w:rPr>
        <w:t>effect information.</w:t>
      </w:r>
      <w:r w:rsidR="00777787" w:rsidRPr="00223414">
        <w:rPr>
          <w:sz w:val="16"/>
        </w:rPr>
        <w:t xml:space="preserve"> </w:t>
      </w:r>
      <w:r w:rsidRPr="00223414">
        <w:rPr>
          <w:sz w:val="16"/>
        </w:rPr>
        <w:t>As can be seen by Table 6.2, many of the advertisement’s explicit characteristics were</w:t>
      </w:r>
      <w:r w:rsidR="00777787" w:rsidRPr="00223414">
        <w:rPr>
          <w:sz w:val="16"/>
        </w:rPr>
        <w:t xml:space="preserve"> </w:t>
      </w:r>
      <w:r w:rsidRPr="00223414">
        <w:rPr>
          <w:sz w:val="16"/>
        </w:rPr>
        <w:t>concordant with the main results found in the previous chapter: the use of emotional appeals,</w:t>
      </w:r>
      <w:r w:rsidR="00777787" w:rsidRPr="00223414">
        <w:rPr>
          <w:sz w:val="16"/>
        </w:rPr>
        <w:t xml:space="preserve"> </w:t>
      </w:r>
      <w:r w:rsidRPr="00223414">
        <w:rPr>
          <w:sz w:val="16"/>
        </w:rPr>
        <w:t>positive attributes of lifestyle for those portrayed as using the drug, social approval for using the</w:t>
      </w:r>
      <w:r w:rsidR="00777787" w:rsidRPr="00223414">
        <w:rPr>
          <w:sz w:val="16"/>
        </w:rPr>
        <w:t xml:space="preserve"> </w:t>
      </w:r>
      <w:r w:rsidRPr="00223414">
        <w:rPr>
          <w:sz w:val="16"/>
        </w:rPr>
        <w:t>drug, an emphasis on youth, and the absence of non-pharmaceutical methods for dealing with</w:t>
      </w:r>
      <w:r w:rsidR="00777787" w:rsidRPr="00223414">
        <w:rPr>
          <w:sz w:val="16"/>
        </w:rPr>
        <w:t xml:space="preserve"> </w:t>
      </w:r>
      <w:r w:rsidRPr="00223414">
        <w:rPr>
          <w:sz w:val="16"/>
        </w:rPr>
        <w:t>conditions. This is true for both the contraceptive and PMDD-controlling attributes of the drug.</w:t>
      </w:r>
      <w:r w:rsidR="00777787" w:rsidRPr="00223414">
        <w:rPr>
          <w:sz w:val="16"/>
        </w:rPr>
        <w:t xml:space="preserve"> </w:t>
      </w:r>
      <w:r w:rsidRPr="00223414">
        <w:rPr>
          <w:sz w:val="16"/>
        </w:rPr>
        <w:t>But how do these factors manifest in the semiotic dynamics of the advertisement itself?</w:t>
      </w:r>
      <w:r w:rsidR="00777787" w:rsidRPr="00223414">
        <w:rPr>
          <w:sz w:val="16"/>
        </w:rPr>
        <w:t xml:space="preserve"> </w:t>
      </w:r>
    </w:p>
    <w:p w14:paraId="2122BDC1" w14:textId="77777777" w:rsidR="008727CC" w:rsidRPr="00223414" w:rsidRDefault="008727CC">
      <w:pPr>
        <w:rPr>
          <w:rFonts w:eastAsiaTheme="majorEastAsia" w:cstheme="majorBidi"/>
          <w:b/>
          <w:iCs/>
          <w:sz w:val="16"/>
        </w:rPr>
      </w:pPr>
      <w:r w:rsidRPr="00223414">
        <w:rPr>
          <w:sz w:val="16"/>
        </w:rPr>
        <w:br w:type="page"/>
      </w:r>
    </w:p>
    <w:p w14:paraId="46DBEB74" w14:textId="2DB202D0" w:rsidR="00F41AA7" w:rsidRPr="00223414" w:rsidRDefault="00777787" w:rsidP="00F41AA7">
      <w:pPr>
        <w:pStyle w:val="Heading4"/>
        <w:rPr>
          <w:szCs w:val="26"/>
        </w:rPr>
      </w:pPr>
      <w:r w:rsidRPr="00223414">
        <w:rPr>
          <w:szCs w:val="26"/>
        </w:rPr>
        <w:t xml:space="preserve">Commodified drugs allow mass consumption– advertisers exploit information asymmetry to construct </w:t>
      </w:r>
      <w:r w:rsidR="0006609B" w:rsidRPr="00223414">
        <w:rPr>
          <w:szCs w:val="26"/>
        </w:rPr>
        <w:t xml:space="preserve">preposterous </w:t>
      </w:r>
      <w:r w:rsidRPr="00223414">
        <w:rPr>
          <w:szCs w:val="26"/>
        </w:rPr>
        <w:t xml:space="preserve">cultural messaging about </w:t>
      </w:r>
      <w:r w:rsidR="0006609B" w:rsidRPr="00223414">
        <w:rPr>
          <w:szCs w:val="26"/>
        </w:rPr>
        <w:t>drugs that feels “real” through mass culture</w:t>
      </w:r>
    </w:p>
    <w:p w14:paraId="7DE49E20" w14:textId="26D9C1B3" w:rsidR="00F41AA7" w:rsidRPr="00DD2D90" w:rsidRDefault="00F41AA7" w:rsidP="00F41AA7">
      <w:r w:rsidRPr="00223414">
        <w:rPr>
          <w:b/>
          <w:bCs/>
          <w:sz w:val="26"/>
          <w:szCs w:val="26"/>
        </w:rPr>
        <w:t>Lentacker 19</w:t>
      </w:r>
      <w:r w:rsidRPr="00DD2D90">
        <w:t xml:space="preserve"> [Antoine Lentacker, researcher at UC Riverside, 2019, “The Drug Fetish: Capitalism, the Mass Press, and the Body of the Worker in Austrian Socialism, 1888–1920,” Journal of Modern History, https://escholarship.org/content/qt0kr5n4st/qt0kr5n4st_noSplash_3ef24d281c85d00f54f38420f9f3d7ab.pdf]/Kankee </w:t>
      </w:r>
    </w:p>
    <w:p w14:paraId="46931B6C" w14:textId="77777777" w:rsidR="00F41AA7" w:rsidRPr="009C4A5A" w:rsidRDefault="00F41AA7" w:rsidP="00F41AA7">
      <w:pPr>
        <w:rPr>
          <w:sz w:val="16"/>
        </w:rPr>
      </w:pPr>
      <w:r w:rsidRPr="009C4A5A">
        <w:rPr>
          <w:sz w:val="16"/>
        </w:rPr>
        <w:t xml:space="preserve">Today’s pharmaceutical industry is in many respects emblematic of neoliberal capitalism. Its rapid growth in the last thirty years or so has relied on a far-reaching privatization of public goods, including the privatization and commercialization of medical science itself through a vastly expanded intellectual property regime. Although publicly committed to the principles of free trade, it enjoys unusually high profit margins owing in large part to government-protected monopolies, while taking systematic advantage of increasing global inequalities in its search for labor, markets, and test subjects. The industry’s growing investment in so-called lifestyle drugs—that is, in technologies that meet a desire for the limitless refashioning of the self, as opposed to providing cures for life-threatening illnesses—has also been read as symptomatic of a culture associating productivism and self-fulfillment. In con- sequence, the recent scholarship on pharmaceuticals has yielded some of the richest insights into the nature and transformations of the economy of goods, knowledge, and subjectivity in the contemporary era. Yet, as this study of late Habsburg Austria demonstrates, ours is not the first era in which </w:t>
      </w:r>
      <w:r w:rsidRPr="00DD2D90">
        <w:rPr>
          <w:rStyle w:val="StyleUnderline"/>
        </w:rPr>
        <w:t>drugs</w:t>
      </w:r>
      <w:r w:rsidRPr="009C4A5A">
        <w:rPr>
          <w:sz w:val="16"/>
        </w:rPr>
        <w:t xml:space="preserve"> have </w:t>
      </w:r>
      <w:r w:rsidRPr="00DD2D90">
        <w:rPr>
          <w:rStyle w:val="StyleUnderline"/>
        </w:rPr>
        <w:t>provided</w:t>
      </w:r>
      <w:r w:rsidRPr="009C4A5A">
        <w:rPr>
          <w:sz w:val="16"/>
        </w:rPr>
        <w:t xml:space="preserve"> a magnifying lens revealing </w:t>
      </w:r>
      <w:r w:rsidRPr="00DD2D90">
        <w:rPr>
          <w:rStyle w:val="StyleUnderline"/>
        </w:rPr>
        <w:t>the transforma- tions of capitalism</w:t>
      </w:r>
      <w:r w:rsidRPr="009C4A5A">
        <w:rPr>
          <w:sz w:val="16"/>
        </w:rPr>
        <w:t xml:space="preserve">. In most countries of Europe, the proprietary drug industry emerged in the last third of the nineteenth century, its rise coinciding with that of mass-circulated newspapers in which ready-made drugs sold under brand names were advertised more widely than any other commodity. For the present study on Austria, 1888 represents a convenient starting point. That year saw the creation of compulsory sickness insurance (Krankenversicherung) for workers and, a few months later, the creation of the Social Democratic Party in the west- ern half of the Dual Monarchy. Between then and the war, Social Democrats became deeply involved in the administration of workers’ insurance, and hence in the search for arrangements other than the free market to guarantee access to medical goods and services. In charge of the welfare of workers and subjected to the imperatives of cost control, Austrian socialists were spurred to elucidate the mysteries of the pharmaceutical economy, making Habsburg Austria the unlikely site of a wide-ranging critique of pharmacy that prefigured many of the themes since rediscovered by analysts of modern medicine. </w:t>
      </w:r>
      <w:r w:rsidRPr="00DD2D90">
        <w:rPr>
          <w:rStyle w:val="StyleUnderline"/>
        </w:rPr>
        <w:t>Drugs struck Austrian socialists as commodities at once unusual and exemplary. They were unusual for the sheer scale of their marketing</w:t>
      </w:r>
      <w:r w:rsidRPr="009C4A5A">
        <w:rPr>
          <w:sz w:val="16"/>
        </w:rPr>
        <w:t xml:space="preserve">. The inescapable </w:t>
      </w:r>
      <w:r w:rsidRPr="00DD2D90">
        <w:rPr>
          <w:rStyle w:val="StyleUnderline"/>
          <w:highlight w:val="green"/>
        </w:rPr>
        <w:t xml:space="preserve">un- certainty </w:t>
      </w:r>
      <w:r w:rsidRPr="00DD2D90">
        <w:rPr>
          <w:rStyle w:val="StyleUnderline"/>
        </w:rPr>
        <w:t xml:space="preserve">that </w:t>
      </w:r>
      <w:r w:rsidRPr="00DD2D90">
        <w:rPr>
          <w:rStyle w:val="StyleUnderline"/>
          <w:highlight w:val="green"/>
        </w:rPr>
        <w:t>surrounded</w:t>
      </w:r>
      <w:r w:rsidRPr="00DD2D90">
        <w:rPr>
          <w:rStyle w:val="StyleUnderline"/>
        </w:rPr>
        <w:t xml:space="preserve"> drugs’</w:t>
      </w:r>
      <w:r w:rsidRPr="009C4A5A">
        <w:rPr>
          <w:sz w:val="16"/>
        </w:rPr>
        <w:t xml:space="preserve"> actual effects on the body—or </w:t>
      </w:r>
      <w:r w:rsidRPr="00DD2D90">
        <w:rPr>
          <w:rStyle w:val="StyleUnderline"/>
          <w:highlight w:val="green"/>
        </w:rPr>
        <w:t>use value</w:t>
      </w:r>
      <w:r w:rsidRPr="009C4A5A">
        <w:rPr>
          <w:sz w:val="16"/>
        </w:rPr>
        <w:t>—</w:t>
      </w:r>
      <w:r w:rsidRPr="00DD2D90">
        <w:rPr>
          <w:rStyle w:val="StyleUnderline"/>
          <w:highlight w:val="green"/>
        </w:rPr>
        <w:t>al- lowed</w:t>
      </w:r>
      <w:r w:rsidRPr="00DD2D90">
        <w:rPr>
          <w:rStyle w:val="StyleUnderline"/>
        </w:rPr>
        <w:t xml:space="preserve"> contradictory claims</w:t>
      </w:r>
      <w:r w:rsidRPr="009C4A5A">
        <w:rPr>
          <w:sz w:val="16"/>
        </w:rPr>
        <w:t xml:space="preserve"> to proliferate about them in the public as well as sci- entific spheres. Drug </w:t>
      </w:r>
      <w:r w:rsidRPr="00DD2D90">
        <w:rPr>
          <w:rStyle w:val="StyleUnderline"/>
        </w:rPr>
        <w:t xml:space="preserve">manufacturers never manufactured just drugs but always sprawling </w:t>
      </w:r>
      <w:r w:rsidRPr="00DD2D90">
        <w:rPr>
          <w:rStyle w:val="StyleUnderline"/>
          <w:highlight w:val="green"/>
        </w:rPr>
        <w:t>discourses about drugs</w:t>
      </w:r>
      <w:r w:rsidRPr="00DD2D90">
        <w:rPr>
          <w:rStyle w:val="StyleUnderline"/>
        </w:rPr>
        <w:t xml:space="preserve"> as well</w:t>
      </w:r>
      <w:r w:rsidRPr="009C4A5A">
        <w:rPr>
          <w:sz w:val="16"/>
        </w:rPr>
        <w:t xml:space="preserve">. As a result, </w:t>
      </w:r>
      <w:r w:rsidRPr="00DD2D90">
        <w:rPr>
          <w:rStyle w:val="StyleUnderline"/>
        </w:rPr>
        <w:t xml:space="preserve">the </w:t>
      </w:r>
      <w:r w:rsidRPr="009C4A5A">
        <w:rPr>
          <w:sz w:val="16"/>
        </w:rPr>
        <w:t>prices—or</w:t>
      </w:r>
      <w:r w:rsidRPr="00DD2D90">
        <w:rPr>
          <w:rStyle w:val="StyleUnderline"/>
        </w:rPr>
        <w:t xml:space="preserve"> </w:t>
      </w:r>
      <w:r w:rsidRPr="00DD2D90">
        <w:rPr>
          <w:rStyle w:val="StyleUnderline"/>
          <w:highlight w:val="green"/>
        </w:rPr>
        <w:t>exchange value</w:t>
      </w:r>
      <w:r w:rsidRPr="00DD2D90">
        <w:rPr>
          <w:rStyle w:val="StyleUnderline"/>
        </w:rPr>
        <w:t xml:space="preserve">—of drugs </w:t>
      </w:r>
      <w:r w:rsidRPr="00DD2D90">
        <w:rPr>
          <w:rStyle w:val="StyleUnderline"/>
          <w:highlight w:val="green"/>
        </w:rPr>
        <w:t>bore only the most tenuous relation to the actual costs of their material production</w:t>
      </w:r>
      <w:r w:rsidRPr="009C4A5A">
        <w:rPr>
          <w:sz w:val="16"/>
        </w:rPr>
        <w:t xml:space="preserve">. </w:t>
      </w:r>
      <w:r w:rsidRPr="00DD2D90">
        <w:rPr>
          <w:rStyle w:val="StyleUnderline"/>
          <w:highlight w:val="green"/>
        </w:rPr>
        <w:t>Drug prices</w:t>
      </w:r>
      <w:r w:rsidRPr="009C4A5A">
        <w:rPr>
          <w:sz w:val="16"/>
        </w:rPr>
        <w:t xml:space="preserve">, it seemed, </w:t>
      </w:r>
      <w:r w:rsidRPr="00DD2D90">
        <w:rPr>
          <w:rStyle w:val="StyleUnderline"/>
          <w:highlight w:val="green"/>
        </w:rPr>
        <w:t>mirrored</w:t>
      </w:r>
      <w:r w:rsidRPr="009C4A5A">
        <w:rPr>
          <w:sz w:val="16"/>
          <w:highlight w:val="green"/>
        </w:rPr>
        <w:t xml:space="preserve"> </w:t>
      </w:r>
      <w:r w:rsidRPr="00DD2D90">
        <w:rPr>
          <w:rStyle w:val="Emphasis"/>
          <w:highlight w:val="green"/>
        </w:rPr>
        <w:t>irrational</w:t>
      </w:r>
      <w:r w:rsidRPr="009C4A5A">
        <w:rPr>
          <w:sz w:val="16"/>
          <w:highlight w:val="green"/>
        </w:rPr>
        <w:t xml:space="preserve"> </w:t>
      </w:r>
      <w:r w:rsidRPr="00DD2D90">
        <w:rPr>
          <w:rStyle w:val="StyleUnderline"/>
          <w:highlight w:val="green"/>
        </w:rPr>
        <w:t>beliefs in the power of substances rather than any objective property</w:t>
      </w:r>
      <w:r w:rsidRPr="009C4A5A">
        <w:rPr>
          <w:sz w:val="16"/>
        </w:rPr>
        <w:t xml:space="preserve"> of their chemistry or economy. At the same time, these features singled out </w:t>
      </w:r>
      <w:r w:rsidRPr="00DD2D90">
        <w:rPr>
          <w:rStyle w:val="StyleUnderline"/>
        </w:rPr>
        <w:t>drugs</w:t>
      </w:r>
      <w:r w:rsidRPr="009C4A5A">
        <w:rPr>
          <w:sz w:val="16"/>
        </w:rPr>
        <w:t xml:space="preserve"> as </w:t>
      </w:r>
      <w:r w:rsidRPr="00DD2D90">
        <w:rPr>
          <w:rStyle w:val="StyleUnderline"/>
        </w:rPr>
        <w:t>commodities</w:t>
      </w:r>
      <w:r w:rsidRPr="009C4A5A">
        <w:rPr>
          <w:sz w:val="16"/>
        </w:rPr>
        <w:t xml:space="preserve"> that </w:t>
      </w:r>
      <w:r w:rsidRPr="00DD2D90">
        <w:rPr>
          <w:rStyle w:val="StyleUnderline"/>
        </w:rPr>
        <w:t>exhibited</w:t>
      </w:r>
      <w:r w:rsidRPr="009C4A5A">
        <w:rPr>
          <w:sz w:val="16"/>
        </w:rPr>
        <w:t xml:space="preserve"> in uniquely transparent ways the </w:t>
      </w:r>
      <w:r w:rsidRPr="00DD2D90">
        <w:rPr>
          <w:rStyle w:val="StyleUnderline"/>
        </w:rPr>
        <w:t xml:space="preserve">shifting logics of the commodity form in an econ- omy increasingly dominated by </w:t>
      </w:r>
      <w:r w:rsidRPr="009C4A5A">
        <w:rPr>
          <w:sz w:val="16"/>
        </w:rPr>
        <w:t>media of</w:t>
      </w:r>
      <w:r w:rsidRPr="00DD2D90">
        <w:rPr>
          <w:rStyle w:val="StyleUnderline"/>
        </w:rPr>
        <w:t xml:space="preserve"> mass communication</w:t>
      </w:r>
      <w:r w:rsidRPr="009C4A5A">
        <w:rPr>
          <w:sz w:val="16"/>
        </w:rPr>
        <w:t xml:space="preserve">. In their attempts to gain control over the fickle demand for drugs, to sort manufactured desires from legitimate needs, and to restore some semblance of proportion between drugs’ use and exchange values, the socialist administrators of workers’ insurance in Austria were among the very first to reflect upon the shift toward a new form of capitalism: one governed by the logic of mass consumption, shaped by what the Frankfurt School called culture industries, and managed by an expanding welfare state. In exploring how drugs were handled and covered within early sickness insurance, therefore, I seek to investigate how this shift was apprehended in its earliest stages, years before this new regime of capital accumulation in which so-called super- structures seemed to have acquired a life of their own became the central preoc- cupation of Marxist thought, beginning with Austro-Marxism in the aftermath of World War I. The involvement of Social Democrats in government during the Republican period, first at the national and then at the municipal level, shaped the historiog- raphy on Austrian Marxism. Vienna in particular has offered historians a rare case study of a large metropolis ruled throughout the 1920s by dedicated and creative Marxists outside the Soviet Union. As a result, an extensive body of re- search exists on the collective social institutions Austrian socialists designed and built in the interwar period.2 My goal in turning instead to the history of a mass-consumed commodity in the late Habsburg era is to highlight how Aus- trian socialists analyzed the kind of economy against which their collectivist projects were conceived and carried out. This also requires a shift in method, for the authors of the critique explored here were not the famed Austro-Marxists who led the party in the aftermath of the war. Some were workers, others lawyers or physicians; all labored in relative anonymity. By and large their ideas about drugs were not expressed in the form of a fully fledged theory but remained folded into in the day-to-day struggle of keeping insurance funds afloat. As a result, they have to be recovered as much through a social history of workers’ insurance as through the classical methods of intellectual history. In charting some of the practical ground in which Austro-Marxism and its noted refusal to reduce the state to an instrument for the exploitation of the proletariat took root, I hope to suggest ways to grasp the concrete connections between the history of things and the history of ideas. To this end, the following study proceeds in five steps. The first section dem- onstrates how the </w:t>
      </w:r>
      <w:r w:rsidRPr="00DD2D90">
        <w:rPr>
          <w:rStyle w:val="StyleUnderline"/>
          <w:highlight w:val="green"/>
        </w:rPr>
        <w:t xml:space="preserve">mass press transformed </w:t>
      </w:r>
      <w:r w:rsidRPr="00DD2D90">
        <w:rPr>
          <w:rStyle w:val="StyleUnderline"/>
        </w:rPr>
        <w:t xml:space="preserve">proprietary </w:t>
      </w:r>
      <w:r w:rsidRPr="00DD2D90">
        <w:rPr>
          <w:rStyle w:val="StyleUnderline"/>
          <w:highlight w:val="green"/>
        </w:rPr>
        <w:t>drugs into</w:t>
      </w:r>
      <w:r w:rsidRPr="00DD2D90">
        <w:rPr>
          <w:rStyle w:val="StyleUnderline"/>
        </w:rPr>
        <w:t xml:space="preserve"> one of </w:t>
      </w:r>
      <w:r w:rsidRPr="00DD2D90">
        <w:rPr>
          <w:rStyle w:val="StyleUnderline"/>
          <w:highlight w:val="green"/>
        </w:rPr>
        <w:t xml:space="preserve">the first </w:t>
      </w:r>
      <w:r w:rsidRPr="00DD2D90">
        <w:rPr>
          <w:rStyle w:val="StyleUnderline"/>
        </w:rPr>
        <w:t xml:space="preserve">genuine </w:t>
      </w:r>
      <w:r w:rsidRPr="00DD2D90">
        <w:rPr>
          <w:rStyle w:val="StyleUnderline"/>
          <w:highlight w:val="green"/>
        </w:rPr>
        <w:t>commodities</w:t>
      </w:r>
      <w:r w:rsidRPr="00DD2D90">
        <w:rPr>
          <w:rStyle w:val="StyleUnderline"/>
        </w:rPr>
        <w:t xml:space="preserve"> </w:t>
      </w:r>
      <w:r w:rsidRPr="00DD2D90">
        <w:rPr>
          <w:rStyle w:val="StyleUnderline"/>
          <w:highlight w:val="green"/>
        </w:rPr>
        <w:t xml:space="preserve">of </w:t>
      </w:r>
      <w:r w:rsidRPr="00DD2D90">
        <w:rPr>
          <w:rStyle w:val="Emphasis"/>
          <w:highlight w:val="green"/>
        </w:rPr>
        <w:t>mass consumption</w:t>
      </w:r>
      <w:r w:rsidRPr="009C4A5A">
        <w:rPr>
          <w:sz w:val="16"/>
        </w:rPr>
        <w:t xml:space="preserve"> in Europe and links the critical re- ception of drug advertising in Austria to certain peculiarities of the Viennese press at the turn of the twentieth century. The second section describes the po- litical context in which sickness insurance became compulsory for Austrian work- ers and the paradoxical position of Social Democrats within the new system of social insurance. The third and fourth sections are devoted to what the socialist administrators of insurance funds called “pharmaceutical superstition,” the pe- culiar form that commodity fetishism assumed in the case of drugs, and the strat- egies they pursued to dispel misguided beliefs in the magic powers of drugs. Fi- nally, I discuss the special place of pharmacy within socialists’ nationalization projects during the Austrian Revolution of 1919 and 1920. Drugs and Mass Media in Fin de Sie`cle Europe</w:t>
      </w:r>
    </w:p>
    <w:p w14:paraId="79ED5ED4" w14:textId="77777777" w:rsidR="00F63522" w:rsidRPr="009C4A5A" w:rsidRDefault="00F63522" w:rsidP="00F63522">
      <w:pPr>
        <w:rPr>
          <w:sz w:val="16"/>
        </w:rPr>
      </w:pPr>
    </w:p>
    <w:bookmarkEnd w:id="17"/>
    <w:p w14:paraId="5837C626" w14:textId="77777777" w:rsidR="008727CC" w:rsidRPr="009C4A5A" w:rsidRDefault="008727CC">
      <w:pPr>
        <w:rPr>
          <w:rFonts w:eastAsiaTheme="majorEastAsia" w:cstheme="majorBidi"/>
          <w:b/>
          <w:iCs/>
          <w:sz w:val="16"/>
        </w:rPr>
      </w:pPr>
      <w:r w:rsidRPr="009C4A5A">
        <w:rPr>
          <w:sz w:val="16"/>
        </w:rPr>
        <w:br w:type="page"/>
      </w:r>
    </w:p>
    <w:p w14:paraId="6EA82514" w14:textId="4CD666EF" w:rsidR="0089643B" w:rsidRPr="00223414" w:rsidRDefault="0089643B" w:rsidP="0089643B">
      <w:pPr>
        <w:pStyle w:val="Heading4"/>
        <w:rPr>
          <w:szCs w:val="26"/>
        </w:rPr>
      </w:pPr>
      <w:r w:rsidRPr="00223414">
        <w:rPr>
          <w:szCs w:val="26"/>
        </w:rPr>
        <w:t xml:space="preserve">Commodity fetishism is boosted via medicalization, which </w:t>
      </w:r>
      <w:r w:rsidR="002408B6" w:rsidRPr="00223414">
        <w:rPr>
          <w:szCs w:val="26"/>
        </w:rPr>
        <w:t xml:space="preserve">problematizes an individual problem </w:t>
      </w:r>
      <w:proofErr w:type="gramStart"/>
      <w:r w:rsidR="002408B6" w:rsidRPr="00223414">
        <w:rPr>
          <w:szCs w:val="26"/>
        </w:rPr>
        <w:t>in order to</w:t>
      </w:r>
      <w:proofErr w:type="gramEnd"/>
      <w:r w:rsidR="002408B6" w:rsidRPr="00223414">
        <w:rPr>
          <w:szCs w:val="26"/>
        </w:rPr>
        <w:t xml:space="preserve"> sell medical solutions </w:t>
      </w:r>
    </w:p>
    <w:p w14:paraId="43A371BE" w14:textId="77777777" w:rsidR="0089643B" w:rsidRPr="00DD2D90" w:rsidRDefault="0089643B" w:rsidP="0089643B">
      <w:r w:rsidRPr="00223414">
        <w:rPr>
          <w:b/>
          <w:bCs/>
          <w:sz w:val="26"/>
          <w:szCs w:val="26"/>
        </w:rPr>
        <w:t>Barbee et al. 18</w:t>
      </w:r>
      <w:r w:rsidRPr="00DD2D90">
        <w:t xml:space="preserve"> [Harry Barbee, researcher at Florida State University, Mairead Eastin Moloney, researcher at University of Kentucky, and Thomas R. Konrad, researcher at University of North Carolina at Chapel Hill, 2018, “Selling slumber: American neoliberalism and the medicalization of sleeplessness,” Sociology Compass, https://annas-archive.gl/scidb/10.1111/soc4.12622/]/Kankee</w:t>
      </w:r>
    </w:p>
    <w:p w14:paraId="704F5B10" w14:textId="6D34561A" w:rsidR="0089643B" w:rsidRPr="00DD2D90" w:rsidRDefault="0089643B" w:rsidP="0089643B">
      <w:r w:rsidRPr="00D05211">
        <w:rPr>
          <w:sz w:val="16"/>
          <w:szCs w:val="16"/>
        </w:rPr>
        <w:t xml:space="preserve">2 | MEDICALIZATION Medicalization—the process whereby formerly nonmedical issues come to be described, accepted, or treated as med- ical problems with medical solutions—has been a key area of study within medical sociology for 50 years (Bell, 1987; Conrad &amp; Schneider, 1992; Williams, 2008; Zola, 1972). While some contend that the medicalization process is value‐ neutral (Conrad, 2013; Williams, 2011), few can deny that its outcomes are value‐laden and directly impact the conceptualization and treatment of various illnesses (Bowden, 2014), as well as </w:t>
      </w:r>
      <w:proofErr w:type="gramStart"/>
      <w:r w:rsidRPr="00D05211">
        <w:rPr>
          <w:sz w:val="16"/>
          <w:szCs w:val="16"/>
        </w:rPr>
        <w:t>individuals'</w:t>
      </w:r>
      <w:proofErr w:type="gramEnd"/>
      <w:r w:rsidRPr="00D05211">
        <w:rPr>
          <w:sz w:val="16"/>
          <w:szCs w:val="16"/>
        </w:rPr>
        <w:t xml:space="preserve"> lived experiences of illness (e.g., Barker, 2008; Charmaz, 1991). Like all social processes, medicalization's pathways and impacts vary by race/ethnicity, class, sex assigned at birth, gender identity, age, and sexuality (Barker, 1998; Eckert, 2016; Hoberman, 2012; Lindemann, 2012; Szymczak &amp; Conrad, 2006). For instance, white, cisgender, male‐assigned, and heterosexual bodies have served as the normative paradigm for human physiology and health (Lindemann, 2012). Female‐assigned bodies depart from the male standard; their anatomy and physiology are more likely to be medicalized (Barker, 1998; Bell, 1987). Black bodies, however, are considered inherently pathological and problematic (Hoffman, Trawalter, Axt, &amp; Normal Oliver, 2016) but are less likely to receive a variety of medical interventions (Hoberman, 2012). Uptake of “Western” medical practices may also vary by class, access to insurance and medical care, and level of acculturation. For example, complementary and alternative medicines (e.g., herbal products and acupuncture) are more likely to be employed by American Indian/Alaskan Natives, women, and adults of higher socioeconomic status (Barnes, Bloom, &amp; Nahin, 2008). Some scholars have questioned whether medicalization adequately captures recent transformations within health and medicine (e.g., Bell &amp; Figert, 2012). In response, new frameworks—such as biomedicalization (Clarke, Shim, Mamo, Fosket, &amp; Fishman, 2003), healthicization (Hislop &amp; Arber, 2003), and pharmaceuticalization (Williams, Martin, &amp; Gabe, 2011)—have emerged to account for institutional, cultural, and techno‐scientific changes. Particularly, innovations in biomedicine have transformed health culture </w:t>
      </w:r>
      <w:proofErr w:type="gramStart"/>
      <w:r w:rsidRPr="00D05211">
        <w:rPr>
          <w:sz w:val="16"/>
          <w:szCs w:val="16"/>
        </w:rPr>
        <w:t>to</w:t>
      </w:r>
      <w:proofErr w:type="gramEnd"/>
      <w:r w:rsidRPr="00D05211">
        <w:rPr>
          <w:sz w:val="16"/>
          <w:szCs w:val="16"/>
        </w:rPr>
        <w:t xml:space="preserve"> one that is critically concerned with prevention of illness and risk assessment (Clarke et al., 2003). Waggoner (2017, p. 66) explains, “</w:t>
      </w:r>
      <w:r w:rsidRPr="00DD2D90">
        <w:rPr>
          <w:rStyle w:val="StyleUnderline"/>
        </w:rPr>
        <w:t>Modern medicine and public health can be understood as grand attempts to tame the future, to contain risk, to exert control where control is not fully possible</w:t>
      </w:r>
      <w:r w:rsidRPr="00D05211">
        <w:rPr>
          <w:sz w:val="16"/>
          <w:szCs w:val="16"/>
        </w:rPr>
        <w:t>.” As such, people are increasingly seeking out new ways to maximize their personal health (e.g., Potter et al., 2016), and despite some patient resistance (see Williams, Gabe, &amp; Martin, 2012) or physician reluctance (see Moloney, 2017),</w:t>
      </w:r>
      <w:r w:rsidRPr="00DD2D90">
        <w:t xml:space="preserve"> </w:t>
      </w:r>
      <w:r w:rsidRPr="00DD2D90">
        <w:rPr>
          <w:rStyle w:val="StyleUnderline"/>
          <w:highlight w:val="green"/>
        </w:rPr>
        <w:t>they</w:t>
      </w:r>
      <w:r w:rsidRPr="00DD2D90">
        <w:t xml:space="preserve"> </w:t>
      </w:r>
      <w:r w:rsidRPr="00D05211">
        <w:rPr>
          <w:sz w:val="16"/>
          <w:szCs w:val="16"/>
        </w:rPr>
        <w:t xml:space="preserve">overwhelmingly </w:t>
      </w:r>
      <w:r w:rsidRPr="00DD2D90">
        <w:rPr>
          <w:rStyle w:val="StyleUnderline"/>
          <w:highlight w:val="green"/>
        </w:rPr>
        <w:t>accept</w:t>
      </w:r>
      <w:r w:rsidRPr="00DD2D90">
        <w:t xml:space="preserve"> </w:t>
      </w:r>
      <w:r w:rsidRPr="00D05211">
        <w:rPr>
          <w:sz w:val="16"/>
          <w:szCs w:val="16"/>
        </w:rPr>
        <w:t xml:space="preserve">and rationalize </w:t>
      </w:r>
      <w:r w:rsidRPr="00DD2D90">
        <w:rPr>
          <w:rStyle w:val="StyleUnderline"/>
        </w:rPr>
        <w:t xml:space="preserve">pharmaceutical </w:t>
      </w:r>
      <w:r w:rsidRPr="00DD2D90">
        <w:rPr>
          <w:rStyle w:val="StyleUnderline"/>
          <w:highlight w:val="green"/>
        </w:rPr>
        <w:t>drugs as a</w:t>
      </w:r>
      <w:r w:rsidRPr="00DD2D90">
        <w:rPr>
          <w:rStyle w:val="StyleUnderline"/>
        </w:rPr>
        <w:t xml:space="preserve"> viable </w:t>
      </w:r>
      <w:r w:rsidRPr="00DD2D90">
        <w:rPr>
          <w:rStyle w:val="StyleUnderline"/>
          <w:highlight w:val="green"/>
        </w:rPr>
        <w:t xml:space="preserve">solution to medicalized </w:t>
      </w:r>
      <w:r w:rsidRPr="00D05211">
        <w:rPr>
          <w:rStyle w:val="StyleUnderline"/>
          <w:sz w:val="16"/>
          <w:szCs w:val="16"/>
          <w:highlight w:val="green"/>
        </w:rPr>
        <w:t>conditions</w:t>
      </w:r>
      <w:r w:rsidRPr="00D05211">
        <w:rPr>
          <w:sz w:val="16"/>
          <w:szCs w:val="16"/>
        </w:rPr>
        <w:t xml:space="preserve"> (e.g., Gabe, Coveney, &amp; Williams, 2016; Moloney, Konrad, &amp; Zimmer, 2011). Indeed, </w:t>
      </w:r>
      <w:r w:rsidRPr="00DD2D90">
        <w:rPr>
          <w:rStyle w:val="StyleUnderline"/>
        </w:rPr>
        <w:t xml:space="preserve">pharmaceutical </w:t>
      </w:r>
      <w:r w:rsidRPr="00DD2D90">
        <w:rPr>
          <w:rStyle w:val="StyleUnderline"/>
          <w:highlight w:val="green"/>
        </w:rPr>
        <w:t>companies capitalize on</w:t>
      </w:r>
      <w:r w:rsidRPr="00DD2D90">
        <w:rPr>
          <w:rStyle w:val="StyleUnderline"/>
        </w:rPr>
        <w:t xml:space="preserve"> this “</w:t>
      </w:r>
      <w:r w:rsidRPr="00DD2D90">
        <w:rPr>
          <w:rStyle w:val="StyleUnderline"/>
          <w:highlight w:val="green"/>
        </w:rPr>
        <w:t>healthicization</w:t>
      </w:r>
      <w:r w:rsidRPr="00DD2D90">
        <w:rPr>
          <w:rStyle w:val="StyleUnderline"/>
        </w:rPr>
        <w:t xml:space="preserve">” </w:t>
      </w:r>
      <w:r w:rsidRPr="00DD2D90">
        <w:rPr>
          <w:rStyle w:val="StyleUnderline"/>
          <w:highlight w:val="green"/>
        </w:rPr>
        <w:t>of society by marketing self‐diagnosis</w:t>
      </w:r>
      <w:r w:rsidRPr="00DD2D90">
        <w:rPr>
          <w:rStyle w:val="StyleUnderline"/>
        </w:rPr>
        <w:t xml:space="preserve"> to patient‐consumers</w:t>
      </w:r>
      <w:r w:rsidRPr="00DD2D90">
        <w:t xml:space="preserve"> </w:t>
      </w:r>
      <w:r w:rsidRPr="00D05211">
        <w:rPr>
          <w:sz w:val="16"/>
          <w:szCs w:val="16"/>
        </w:rPr>
        <w:t>(Ebeling, 2011). Taken together, these perspectives offer important insights; however, we primarily use Conrad's (2013) medicalization framework as it effectively “draws attention to the social causes underpinning the extension of medicine's domain and to its impact” (Busfield, 2017, p. 770). Importantly, we acknowledge that pharmaceuticalization, as conceptualized by Williams (2008), is helpful in understanding some of the pharmaceutical outgrowths of the SIC and revisit it as a relevant concept later in this article. 2.1 | The engines of medicalization Medicalization studies originally developed to account for the expansion of medical jurisdiction into people's everyday lives (Zola, 1972). Scholars situated the process within the context of deviant behavior, highlighting psychiatry as an agent of social control (Conrad, 2013). In the 20th century, the range of fueling factors grew to include increased medical specialization and the heightened pace of medical and scientific discoveries (Conrad &amp; Leiter, 2004). According to this framework, the primary fueling factors—or “engines” of medicalization—are consumerism, managed care, biotechnology, and physicians (Conrad, 2005, 2013; Rose 2007) (see Figure 1 for a visual representation of the engines and their relationships to one another). Consumerism is premised on the commodification of medical care and the notion that patients are armed with medical knowledge and bargaining power to challenge physician authority and “consume” medical goods and services (Timmermans &amp; Oh, 2010). As consumers of health service commodities, patients may seek “physician compliance”— wherein the physician accepts the patient‐consumer's expertise and complies with their treatment request(s) (Barker, 2008).</w:t>
      </w:r>
      <w:r w:rsidRPr="00DD2D90">
        <w:t xml:space="preserve"> </w:t>
      </w:r>
      <w:r w:rsidRPr="00DD2D90">
        <w:rPr>
          <w:rStyle w:val="StyleUnderline"/>
        </w:rPr>
        <w:t xml:space="preserve">The consumerist model thrives in wealthy, industrial nations like the United States where medical knowledge is widely disseminated through vast </w:t>
      </w:r>
      <w:r w:rsidRPr="00DD2D90">
        <w:rPr>
          <w:rStyle w:val="Emphasis"/>
        </w:rPr>
        <w:t>media</w:t>
      </w:r>
      <w:r w:rsidRPr="00DD2D90">
        <w:rPr>
          <w:rStyle w:val="StyleUnderline"/>
        </w:rPr>
        <w:t xml:space="preserve"> </w:t>
      </w:r>
      <w:r w:rsidRPr="00D05211">
        <w:rPr>
          <w:rStyle w:val="StyleUnderline"/>
          <w:sz w:val="16"/>
          <w:szCs w:val="16"/>
        </w:rPr>
        <w:t>outlets</w:t>
      </w:r>
      <w:r w:rsidRPr="00D05211">
        <w:rPr>
          <w:sz w:val="16"/>
          <w:szCs w:val="16"/>
        </w:rPr>
        <w:t xml:space="preserve"> (Figert, 2011). Yet, despite physicians' diminished individual clinical autonomy over the last few decades (McKinlay &amp; Marceau, 2002), they retain considerable cultural authority in clinical encounters because so many pharmaceuticals require physician prescriptions. In other words, the role of the physicians as gatekeepers remains an essential if not ultimately indispensable element in the medicaliza- tion process (hence, </w:t>
      </w:r>
      <w:r w:rsidRPr="00DD2D90">
        <w:rPr>
          <w:rStyle w:val="StyleUnderline"/>
        </w:rPr>
        <w:t>advertisements</w:t>
      </w:r>
      <w:r w:rsidRPr="00DD2D90">
        <w:t xml:space="preserve"> </w:t>
      </w:r>
      <w:r w:rsidRPr="00D05211">
        <w:rPr>
          <w:sz w:val="16"/>
          <w:szCs w:val="16"/>
        </w:rPr>
        <w:t xml:space="preserve">typically contain a formulaic script recommending that viewers “ask your doctor if this medicine is right for you”). This process tends to </w:t>
      </w:r>
      <w:r w:rsidRPr="00DD2D90">
        <w:rPr>
          <w:rStyle w:val="StyleUnderline"/>
        </w:rPr>
        <w:t>legitimize patients' self‐image as “empowered” consumers while channeling physicians' attention toward the (Pharma) preferred option of prescribing a drug rather than potentially more effective but time‐consuming alternative therapies</w:t>
      </w:r>
      <w:r w:rsidRPr="00DD2D90">
        <w:t xml:space="preserve">. </w:t>
      </w:r>
      <w:r w:rsidRPr="00D05211">
        <w:rPr>
          <w:sz w:val="16"/>
          <w:szCs w:val="16"/>
        </w:rPr>
        <w:t xml:space="preserve">Managed care is a system of health care delivery that is intended to improve the quality of health care while reducing costs (Budrys, 2001). A diverse and ever‐changing set of third‐party payers includes private insurance companies who—sometimes acting on behalf of individual beneficiaries, employers of those beneficiaries, or agents of publicly sponsored health insurance programs like Medicare and Medicaid—have powerful incentives to contain health care costs and to shift financial risk on to medical professionals, hospitals, and patients through negotiating with providers and increasing copays and premiums. Such managed care entities can limit care and require preapproval for many medical services (Oberlander, 2002). Managed care may have paradoxical effects on the medicalization process (Conrad, 2005); it may offer therapeutic constraint (e.g., limiting the annual number of psychiatric visits) or foster increased medical management of everyday problems (e.g., the prescription of antide- pressants to grieving patients) (Horwitz &amp; Wakefield, 2007). In markets where patients have identified a medical need but insurance companies do not cover it, private markets are likely to emerge (Conrad &amp; Leiter, 2004). Biotechnology is typically conceptualized as the influence of the pharmaceutical industry and genetics (Conrad, 2005). In the United States, </w:t>
      </w:r>
      <w:r w:rsidRPr="00DD2D90">
        <w:rPr>
          <w:rStyle w:val="StyleUnderline"/>
          <w:highlight w:val="green"/>
        </w:rPr>
        <w:t>pharma</w:t>
      </w:r>
      <w:r w:rsidRPr="00DD2D90">
        <w:rPr>
          <w:rStyle w:val="StyleUnderline"/>
        </w:rPr>
        <w:t xml:space="preserve">ceutical companies </w:t>
      </w:r>
      <w:r w:rsidRPr="00DD2D90">
        <w:rPr>
          <w:rStyle w:val="StyleUnderline"/>
          <w:highlight w:val="green"/>
        </w:rPr>
        <w:t>spend</w:t>
      </w:r>
      <w:r w:rsidRPr="00DD2D90">
        <w:rPr>
          <w:rStyle w:val="StyleUnderline"/>
        </w:rPr>
        <w:t xml:space="preserve"> large sums of money </w:t>
      </w:r>
      <w:r w:rsidRPr="00DD2D90">
        <w:rPr>
          <w:rStyle w:val="StyleUnderline"/>
          <w:highlight w:val="green"/>
        </w:rPr>
        <w:t>on</w:t>
      </w:r>
      <w:r w:rsidRPr="00DD2D90">
        <w:rPr>
          <w:rStyle w:val="StyleUnderline"/>
        </w:rPr>
        <w:t xml:space="preserve"> direct‐to‐consumer </w:t>
      </w:r>
      <w:r w:rsidRPr="00DD2D90">
        <w:rPr>
          <w:rStyle w:val="StyleUnderline"/>
          <w:highlight w:val="green"/>
        </w:rPr>
        <w:t>advertising</w:t>
      </w:r>
      <w:r w:rsidRPr="00DD2D90">
        <w:t xml:space="preserve"> </w:t>
      </w:r>
      <w:r w:rsidRPr="00D05211">
        <w:rPr>
          <w:sz w:val="16"/>
          <w:szCs w:val="16"/>
        </w:rPr>
        <w:t xml:space="preserve">(DTCA), claiming it educates the public on undertreated diseases (Dumit, 2012). </w:t>
      </w:r>
      <w:r w:rsidRPr="00DD2D90">
        <w:rPr>
          <w:rStyle w:val="StyleUnderline"/>
        </w:rPr>
        <w:t xml:space="preserve">Between 1996 and 2017, DTCA spending increased from $985 million to nearly </w:t>
      </w:r>
      <w:r w:rsidRPr="00DD2D90">
        <w:rPr>
          <w:rStyle w:val="Emphasis"/>
          <w:highlight w:val="green"/>
        </w:rPr>
        <w:t>$6.4 billion</w:t>
      </w:r>
      <w:r w:rsidRPr="00DD2D90">
        <w:t xml:space="preserve"> </w:t>
      </w:r>
      <w:r w:rsidRPr="00D05211">
        <w:rPr>
          <w:sz w:val="16"/>
          <w:szCs w:val="16"/>
        </w:rPr>
        <w:t xml:space="preserve">(Donohue, Cevasco, &amp; Rosenthal, 2007; Horovitz &amp; Appleby, 2017). Most advertisements include “expert and patient voices, providing professional viability to the diagnoses and creating the perception that it could happen to anyone” (Conrad, 2005, p. 6). </w:t>
      </w:r>
      <w:r w:rsidRPr="00DD2D90">
        <w:rPr>
          <w:rStyle w:val="StyleUnderline"/>
          <w:highlight w:val="green"/>
        </w:rPr>
        <w:t>This</w:t>
      </w:r>
      <w:r w:rsidRPr="00DD2D90">
        <w:t xml:space="preserve"> </w:t>
      </w:r>
      <w:r w:rsidRPr="00D05211">
        <w:rPr>
          <w:sz w:val="16"/>
          <w:szCs w:val="16"/>
        </w:rPr>
        <w:t xml:space="preserve">practice </w:t>
      </w:r>
      <w:r w:rsidRPr="00DD2D90">
        <w:rPr>
          <w:rStyle w:val="StyleUnderline"/>
          <w:highlight w:val="green"/>
        </w:rPr>
        <w:t xml:space="preserve">perpetuates </w:t>
      </w:r>
      <w:r w:rsidRPr="00DD2D90">
        <w:rPr>
          <w:rStyle w:val="Emphasis"/>
          <w:highlight w:val="green"/>
        </w:rPr>
        <w:t>medicalization</w:t>
      </w:r>
      <w:r w:rsidRPr="00DD2D90">
        <w:rPr>
          <w:rStyle w:val="StyleUnderline"/>
          <w:highlight w:val="green"/>
        </w:rPr>
        <w:t xml:space="preserve"> by</w:t>
      </w:r>
      <w:r w:rsidRPr="00DD2D90">
        <w:rPr>
          <w:rStyle w:val="StyleUnderline"/>
        </w:rPr>
        <w:t xml:space="preserve"> simultaneously </w:t>
      </w:r>
      <w:r w:rsidRPr="00DD2D90">
        <w:rPr>
          <w:rStyle w:val="StyleUnderline"/>
          <w:highlight w:val="green"/>
        </w:rPr>
        <w:t>problematizing the public's understanding of conventional health and introducing “effective” solutions</w:t>
      </w:r>
      <w:r w:rsidRPr="00DD2D90">
        <w:rPr>
          <w:rStyle w:val="StyleUnderline"/>
        </w:rPr>
        <w:t xml:space="preserve"> </w:t>
      </w:r>
      <w:r w:rsidRPr="00D05211">
        <w:rPr>
          <w:sz w:val="16"/>
          <w:szCs w:val="16"/>
        </w:rPr>
        <w:t xml:space="preserve">(Rose, 2007; Timmermans &amp; Oh, 2010). Importantly, however, physicians—particularly those operating in organized medical societies, medical school researchers, and national taskforces—play key roles in defining, legitimizing, and clinically managing newly defined disease entities, documenting the effectiveness of technological and pharmaceutical solutions. Such physicians, sometimes acting in a role that might be called agents of “pharmaceutical determinism” (Barker, 2011), are also tasked with negoti- ating purchases of medical care. These negotiations involve defining acceptable codes for reimbursement, clinical guidelines that govern what drugs and technologies are considered appropriate, and conditions under which such guidelines can be circumvented. Physicians acting as individual clinicians operate within the constraints of managed care, increased consumer- ism, and the influence of biotechnology. However, they continue to wield influence with the (virtual) prescription pad. In an environment where physicians feel ethically obligated to reduce human suffering whether medical or nonmedical in origin, proffering prescriptions may, at times, seem their best or only course of action (Conrad, 2013). Compounding these dynamics are time constraints (Konrad et al., 2010), increased demands from patient‐ consumers, and physicians' lack of training in their patients' social needs (Moloney, 2017). Further, physician deci- sions have been heavily influenced by education and incentives provided by Big Pharma representatives (Dumit, 2012; Wosinska, 2002). These myriad and at times conflicting influences may increase physician willingness to offer medical treatments for commonly occurring life discomforts like sleeplessness or shyness (Lane, 2007; Moloney, 2017). Conversely, physicians may balk against providing medications for illnesses that don't strictly conform to the biomedical model (e.g., fibromyalgia) even when patient demand is high (Barker, 2008; Brown, 1995). Although other factors—beyond the four engines—influence medicalization (Conrad &amp; Leiter, 2004; Rose, 2007), most analyzes fail to account for the broader political–economic conditions that sustain and accelerate medicalization. We suggest that situating medicalization and its primary engines within the context of American neoliberalism enables a more critical and comprehensive analysis. 2.2 | Neoliberalism and medicalization Despite disagreeing on a single conceptualization of neoliberalism, scholars often consider it as a defining character- istic of American political economy (Centeno &amp; Cohen, 2012; Schrecker, 2016). Neoliberalism typically refers to an ideological system that advocates maximizing productivity and profit via market dominance and deregulation, welfare state withdrawal, privatization, and a social valuation of individual responsibility (Birch, 2015). In contrast to “classic liberalism,” which advocates minimal state intervention as a means to achieve individual liberty, neoliberalism acknowledges the power of the state to achieve, enforce, and reproduce a “free market‐based” society (e.g., via austerity measures) that allegedly maximizes individual liberty (Metcalf, 2017). Although neoliberalism exists throughout the global system and the institutions that structure it (Harvey, 2005), this article focuses on health and medicine within the U.S. context. Specifically, we highlight three processes characteristic of American neoliberalism that accelerate medicalization: (a) creating a culture of enhancement as it relates to health and bodies; (b) commod- ifying health and health services; and (c) establishing and prioritizing a “productivity imperative” that involves maximizing worker productivity. In a culture of enhancement, health and body expectations are criteria through which status is granted or denied (Rose, 2007). These expectations derive in part from institutional decision‐making intended to solve ostensible health issues with broad‐stroke solutions, such as in the creation of new psychiatric disorders (see Horwitz &amp; Wakefield, 2007). However, in a neoliberal society where people are expected to maximize and protect their own welfare (Harvey, 2005), </w:t>
      </w:r>
      <w:r w:rsidRPr="00DD2D90">
        <w:t>“</w:t>
      </w:r>
      <w:r w:rsidRPr="00DD2D90">
        <w:rPr>
          <w:rStyle w:val="StyleUnderline"/>
        </w:rPr>
        <w:t>good” health is also an individual, moral project</w:t>
      </w:r>
      <w:r w:rsidRPr="00DD2D90">
        <w:t xml:space="preserve"> </w:t>
      </w:r>
      <w:r w:rsidRPr="00D05211">
        <w:rPr>
          <w:sz w:val="16"/>
          <w:szCs w:val="16"/>
        </w:rPr>
        <w:t xml:space="preserve">(Becker, 1993) designed to maximize work- place productivity. As such, it is not enough to be healthy and present a socially acceptable body image. People, espe- cially those in the increasingly prevalent personal service sector, must strive to be “better than well” (Elliott, 2003). People can achieve this image through consumption, use of performance enhancement drugs, plastic surgery, and other forms of “body work” that convey socially valued bodies and personhood (e.g., Berkowitz, 2017; Gimlin, 2002; Waggoner, 2017). The commodification of health and health services in the United States is also an important element of medicalization. </w:t>
      </w:r>
      <w:r w:rsidRPr="00DD2D90">
        <w:rPr>
          <w:rStyle w:val="StyleUnderline"/>
        </w:rPr>
        <w:t xml:space="preserve">Unlike many other developed countries, the United States does not provide health care as a basic human right and lacks </w:t>
      </w:r>
      <w:r w:rsidRPr="00DD2D90">
        <w:rPr>
          <w:rStyle w:val="Emphasis"/>
        </w:rPr>
        <w:t>universal health care</w:t>
      </w:r>
      <w:r w:rsidRPr="00DD2D90">
        <w:rPr>
          <w:rStyle w:val="StyleUnderline"/>
        </w:rPr>
        <w:t xml:space="preserve"> </w:t>
      </w:r>
      <w:r w:rsidRPr="00D05211">
        <w:rPr>
          <w:rStyle w:val="StyleUnderline"/>
          <w:sz w:val="16"/>
          <w:szCs w:val="16"/>
        </w:rPr>
        <w:t>coverage</w:t>
      </w:r>
      <w:r w:rsidRPr="00D05211">
        <w:rPr>
          <w:sz w:val="16"/>
          <w:szCs w:val="16"/>
        </w:rPr>
        <w:t xml:space="preserve"> (see Quadagno, 2005). Thus, the American health care system is both a tool for well‐being and a neoliberal marketplace (Schrecker, 2016). For example, corporations who serve customers with medical needs (e.g., pharmaceutical companies) often prioritize their legal responsibil- ity to maximize their shareholders' economic interests (Bakan, 2004). </w:t>
      </w:r>
      <w:r w:rsidRPr="00DD2D90">
        <w:rPr>
          <w:rStyle w:val="StyleUnderline"/>
        </w:rPr>
        <w:t>This</w:t>
      </w:r>
      <w:r w:rsidRPr="00DD2D90">
        <w:t xml:space="preserve"> </w:t>
      </w:r>
      <w:r w:rsidRPr="00D05211">
        <w:rPr>
          <w:sz w:val="16"/>
          <w:szCs w:val="16"/>
        </w:rPr>
        <w:t xml:space="preserve">prioritization </w:t>
      </w:r>
      <w:r w:rsidRPr="00DD2D90">
        <w:rPr>
          <w:rStyle w:val="StyleUnderline"/>
        </w:rPr>
        <w:t xml:space="preserve">results in </w:t>
      </w:r>
      <w:r w:rsidRPr="00DD2D90">
        <w:rPr>
          <w:rStyle w:val="StyleUnderline"/>
          <w:highlight w:val="green"/>
        </w:rPr>
        <w:t>ad</w:t>
      </w:r>
      <w:r w:rsidRPr="00DD2D90">
        <w:rPr>
          <w:rStyle w:val="StyleUnderline"/>
        </w:rPr>
        <w:t xml:space="preserve">vertisement </w:t>
      </w:r>
      <w:r w:rsidRPr="00DD2D90">
        <w:rPr>
          <w:rStyle w:val="StyleUnderline"/>
          <w:highlight w:val="green"/>
        </w:rPr>
        <w:t>campaigns</w:t>
      </w:r>
      <w:r w:rsidRPr="00DD2D90">
        <w:rPr>
          <w:rStyle w:val="StyleUnderline"/>
        </w:rPr>
        <w:t xml:space="preserve"> that </w:t>
      </w:r>
      <w:r w:rsidRPr="00DD2D90">
        <w:rPr>
          <w:rStyle w:val="StyleUnderline"/>
          <w:highlight w:val="green"/>
        </w:rPr>
        <w:t>aim to increase consumer demand for specific</w:t>
      </w:r>
      <w:r w:rsidRPr="00DD2D90">
        <w:rPr>
          <w:rStyle w:val="StyleUnderline"/>
        </w:rPr>
        <w:t xml:space="preserve">, individualized medical </w:t>
      </w:r>
      <w:r w:rsidRPr="00DD2D90">
        <w:rPr>
          <w:rStyle w:val="StyleUnderline"/>
          <w:highlight w:val="green"/>
        </w:rPr>
        <w:t>treatments</w:t>
      </w:r>
      <w:r w:rsidRPr="00DD2D90">
        <w:rPr>
          <w:rStyle w:val="StyleUnderline"/>
        </w:rPr>
        <w:t xml:space="preserve"> and services</w:t>
      </w:r>
      <w:r w:rsidRPr="00DD2D90">
        <w:t xml:space="preserve"> </w:t>
      </w:r>
      <w:r w:rsidRPr="00D05211">
        <w:rPr>
          <w:sz w:val="16"/>
          <w:szCs w:val="16"/>
        </w:rPr>
        <w:t xml:space="preserve">(Conrad, 2005). Further, in an </w:t>
      </w:r>
      <w:proofErr w:type="gramStart"/>
      <w:r w:rsidRPr="00D05211">
        <w:rPr>
          <w:sz w:val="16"/>
          <w:szCs w:val="16"/>
        </w:rPr>
        <w:t>enhancement</w:t>
      </w:r>
      <w:proofErr w:type="gramEnd"/>
      <w:r w:rsidRPr="00D05211">
        <w:rPr>
          <w:sz w:val="16"/>
          <w:szCs w:val="16"/>
        </w:rPr>
        <w:t xml:space="preserve"> culture, the </w:t>
      </w:r>
      <w:r w:rsidRPr="00DD2D90">
        <w:rPr>
          <w:rStyle w:val="StyleUnderline"/>
          <w:highlight w:val="green"/>
        </w:rPr>
        <w:t>commodification</w:t>
      </w:r>
      <w:r w:rsidRPr="00DD2D90">
        <w:t xml:space="preserve"> </w:t>
      </w:r>
      <w:r w:rsidRPr="00D05211">
        <w:rPr>
          <w:rStyle w:val="StyleUnderline"/>
        </w:rPr>
        <w:t>of health</w:t>
      </w:r>
      <w:r w:rsidRPr="00DD2D90">
        <w:t xml:space="preserve"> </w:t>
      </w:r>
      <w:r w:rsidRPr="00D05211">
        <w:rPr>
          <w:sz w:val="16"/>
          <w:szCs w:val="16"/>
        </w:rPr>
        <w:t xml:space="preserve">extends beyond services that prevent or treat illness. Namely, health </w:t>
      </w:r>
      <w:r w:rsidRPr="00DD2D90">
        <w:rPr>
          <w:rStyle w:val="StyleUnderline"/>
          <w:highlight w:val="green"/>
        </w:rPr>
        <w:t>has</w:t>
      </w:r>
      <w:r w:rsidRPr="00DD2D90">
        <w:rPr>
          <w:highlight w:val="green"/>
        </w:rPr>
        <w:t xml:space="preserve"> </w:t>
      </w:r>
      <w:r w:rsidRPr="00DD2D90">
        <w:rPr>
          <w:rStyle w:val="StyleUnderline"/>
          <w:highlight w:val="green"/>
        </w:rPr>
        <w:t>become “a matter of</w:t>
      </w:r>
      <w:r w:rsidRPr="00DD2D90">
        <w:rPr>
          <w:rStyle w:val="StyleUnderline"/>
        </w:rPr>
        <w:t xml:space="preserve"> ongoing moral </w:t>
      </w:r>
      <w:r w:rsidRPr="00DD2D90">
        <w:rPr>
          <w:rStyle w:val="StyleUnderline"/>
          <w:highlight w:val="green"/>
        </w:rPr>
        <w:t>self‐transformation</w:t>
      </w:r>
      <w:r w:rsidRPr="00DD2D90">
        <w:rPr>
          <w:rStyle w:val="StyleUnderline"/>
        </w:rPr>
        <w:t xml:space="preserve">” </w:t>
      </w:r>
      <w:r w:rsidRPr="00DD2D90">
        <w:rPr>
          <w:rStyle w:val="StyleUnderline"/>
          <w:highlight w:val="green"/>
        </w:rPr>
        <w:t>that requires the consumption of</w:t>
      </w:r>
      <w:r w:rsidRPr="00DD2D90">
        <w:rPr>
          <w:rStyle w:val="StyleUnderline"/>
        </w:rPr>
        <w:t xml:space="preserve"> techno‐scientific </w:t>
      </w:r>
      <w:r w:rsidRPr="00DD2D90">
        <w:rPr>
          <w:rStyle w:val="StyleUnderline"/>
          <w:highlight w:val="green"/>
        </w:rPr>
        <w:t>innovations</w:t>
      </w:r>
      <w:r w:rsidRPr="00DD2D90">
        <w:t xml:space="preserve">, </w:t>
      </w:r>
      <w:r w:rsidRPr="00D05211">
        <w:rPr>
          <w:sz w:val="16"/>
          <w:szCs w:val="16"/>
        </w:rPr>
        <w:t xml:space="preserve">such as genomization and transplant medicine (Clarke et al., 2003, p. 172). While some scholars describe the commodification of health as a mechanism of social control that can yield iatrogenic outcomes (Waitzkin, 2000), others point to its more “beneficial” potential of “bringing new products to market, legitimizing diseases, and raising awareness of treatment options” (Timmermans &amp; Almeling, 2009, p. 24–25). Whether the consequences of commodification are beneficial or damaging, they bolster the medicalization process by creating opportunity for medical market expansion. American neoliberalism has also engendered a “productivity imperative.” In the current post‐industrial, service‐ based economy, employers' incessant demands for customers, deliveries, and efficiency (Bakan, 2004) have enabled the United States to rank among countries with the most productive economies in the developed world (Organisation for Economic Co‐operation and Development, 2017). On the one hand, intensive labor promotes bodily “wear and tear” and negative health outcomes. On the other hand, the prioritization of work reinforces an individualistic approach to well‐being by discouraging or disallowing breaks, flex time, parental leave, or leisure time with friends and family (e.g., Jacobs &amp; Padavic, 2015; see also Schrecker, 2016). Furthermore, as people turn to the enhancement culture in search of individualized remedies, their consumption “counterposes the flawed ‘natural’ body with new sets of standards for deficiency and normalcy” used to justify the productivity imperative (Berkowitz, 2017, p. 163). </w:t>
      </w:r>
      <w:r w:rsidRPr="00DD2D90">
        <w:rPr>
          <w:rStyle w:val="StyleUnderline"/>
        </w:rPr>
        <w:t xml:space="preserve">Taken together, these outcomes reify the “downstream” model of health care in the United States wherein </w:t>
      </w:r>
      <w:r w:rsidRPr="00DD2D90">
        <w:rPr>
          <w:rStyle w:val="StyleUnderline"/>
          <w:highlight w:val="green"/>
        </w:rPr>
        <w:t>patients rely on “quick fixes” with limited efficacy as opposed to addressing fundamental causes of illness</w:t>
      </w:r>
      <w:r w:rsidRPr="00DD2D90">
        <w:rPr>
          <w:rStyle w:val="StyleUnderline"/>
        </w:rPr>
        <w:t xml:space="preserve"> </w:t>
      </w:r>
      <w:r w:rsidRPr="00DD2D90">
        <w:rPr>
          <w:rStyle w:val="StyleUnderline"/>
          <w:highlight w:val="green"/>
        </w:rPr>
        <w:t>such as poverty</w:t>
      </w:r>
      <w:r w:rsidRPr="00D05211">
        <w:rPr>
          <w:sz w:val="18"/>
          <w:szCs w:val="18"/>
        </w:rPr>
        <w:t xml:space="preserve"> </w:t>
      </w:r>
      <w:r w:rsidRPr="00DD2D90">
        <w:rPr>
          <w:rStyle w:val="StyleUnderline"/>
        </w:rPr>
        <w:t>marketing</w:t>
      </w:r>
      <w:r w:rsidRPr="00DD2D90">
        <w:t xml:space="preserve"> </w:t>
      </w:r>
      <w:r w:rsidRPr="00D05211">
        <w:rPr>
          <w:sz w:val="16"/>
          <w:szCs w:val="16"/>
        </w:rPr>
        <w:t xml:space="preserve">strategies </w:t>
      </w:r>
      <w:r w:rsidRPr="00DD2D90">
        <w:rPr>
          <w:rStyle w:val="StyleUnderline"/>
        </w:rPr>
        <w:t>of</w:t>
      </w:r>
      <w:r w:rsidRPr="00DD2D90">
        <w:t xml:space="preserve"> </w:t>
      </w:r>
      <w:r w:rsidRPr="00DD2D90">
        <w:rPr>
          <w:rStyle w:val="StyleUnderline"/>
        </w:rPr>
        <w:t>the pharmaceutical industry</w:t>
      </w:r>
      <w:r w:rsidRPr="00DD2D90">
        <w:t xml:space="preserve"> </w:t>
      </w:r>
      <w:r w:rsidRPr="00D05211">
        <w:rPr>
          <w:sz w:val="16"/>
          <w:szCs w:val="16"/>
        </w:rPr>
        <w:t xml:space="preserve">perhaps </w:t>
      </w:r>
      <w:r w:rsidRPr="00DD2D90">
        <w:t xml:space="preserve">best </w:t>
      </w:r>
      <w:r w:rsidRPr="00DD2D90">
        <w:rPr>
          <w:rStyle w:val="StyleUnderline"/>
        </w:rPr>
        <w:t>exem- plify</w:t>
      </w:r>
      <w:r w:rsidRPr="00D05211">
        <w:rPr>
          <w:sz w:val="16"/>
          <w:szCs w:val="16"/>
        </w:rPr>
        <w:t xml:space="preserve"> the underlying influence of </w:t>
      </w:r>
      <w:r w:rsidRPr="00D05211">
        <w:rPr>
          <w:rStyle w:val="StyleUnderline"/>
          <w:sz w:val="16"/>
          <w:szCs w:val="16"/>
        </w:rPr>
        <w:t>neoliberalism</w:t>
      </w:r>
      <w:r w:rsidRPr="00D05211">
        <w:rPr>
          <w:sz w:val="16"/>
          <w:szCs w:val="16"/>
        </w:rPr>
        <w:t xml:space="preserve">. As competitors within the health market, </w:t>
      </w:r>
      <w:r w:rsidRPr="00DD2D90">
        <w:rPr>
          <w:rStyle w:val="StyleUnderline"/>
          <w:highlight w:val="green"/>
        </w:rPr>
        <w:t>pharma</w:t>
      </w:r>
      <w:r w:rsidRPr="00DD2D90">
        <w:rPr>
          <w:rStyle w:val="StyleUnderline"/>
        </w:rPr>
        <w:t xml:space="preserve">ceutical companies </w:t>
      </w:r>
      <w:r w:rsidRPr="00DD2D90">
        <w:rPr>
          <w:rStyle w:val="StyleUnderline"/>
          <w:highlight w:val="green"/>
        </w:rPr>
        <w:t>draw heavily on the “individual‐responsibility approach” which redefines “being ill” as “being guilty</w:t>
      </w:r>
      <w:r w:rsidRPr="00DD2D90">
        <w:rPr>
          <w:rStyle w:val="StyleUnderline"/>
        </w:rPr>
        <w:t>”</w:t>
      </w:r>
      <w:r w:rsidRPr="00DD2D90">
        <w:t xml:space="preserve"> </w:t>
      </w:r>
      <w:r w:rsidRPr="00D05211">
        <w:rPr>
          <w:sz w:val="16"/>
          <w:szCs w:val="16"/>
        </w:rPr>
        <w:t xml:space="preserve">(Becker, 1993, p. 4). One recent review of DTCA reveals a rising number of techniques used by Big Pharma to promote new drugs (see Babar, Siraj, &amp; Curley, 2018), and these new marketing techniques appear to have a positive correlation with consumer demand of advertised drugs (Gilbody, Wilson, &amp; Watt, 2005). </w:t>
      </w:r>
      <w:r w:rsidRPr="00DD2D90">
        <w:rPr>
          <w:rStyle w:val="StyleUnderline"/>
        </w:rPr>
        <w:t xml:space="preserve">By investing in </w:t>
      </w:r>
      <w:r w:rsidRPr="00DD2D90">
        <w:rPr>
          <w:rStyle w:val="StyleUnderline"/>
          <w:highlight w:val="green"/>
        </w:rPr>
        <w:t>advertisements</w:t>
      </w:r>
      <w:r w:rsidRPr="00DD2D90">
        <w:rPr>
          <w:rStyle w:val="StyleUnderline"/>
        </w:rPr>
        <w:t xml:space="preserve"> that </w:t>
      </w:r>
      <w:r w:rsidRPr="00DD2D90">
        <w:rPr>
          <w:rStyle w:val="StyleUnderline"/>
          <w:highlight w:val="green"/>
        </w:rPr>
        <w:t>portray ideals of “normal”</w:t>
      </w:r>
      <w:r w:rsidRPr="00DD2D90">
        <w:rPr>
          <w:rStyle w:val="StyleUnderline"/>
        </w:rPr>
        <w:t xml:space="preserve"> health or enhanced </w:t>
      </w:r>
      <w:r w:rsidRPr="00DD2D90">
        <w:rPr>
          <w:rStyle w:val="StyleUnderline"/>
          <w:highlight w:val="green"/>
        </w:rPr>
        <w:t>performance</w:t>
      </w:r>
      <w:r w:rsidRPr="00DD2D90">
        <w:rPr>
          <w:rStyle w:val="StyleUnderline"/>
        </w:rPr>
        <w:t xml:space="preserve">, </w:t>
      </w:r>
      <w:r w:rsidRPr="00DD2D90">
        <w:rPr>
          <w:rStyle w:val="StyleUnderline"/>
          <w:highlight w:val="green"/>
        </w:rPr>
        <w:t>pharma</w:t>
      </w:r>
      <w:r w:rsidRPr="00DD2D90">
        <w:rPr>
          <w:rStyle w:val="StyleUnderline"/>
        </w:rPr>
        <w:t xml:space="preserve">ceutical companies create a lucrative drug market and </w:t>
      </w:r>
      <w:r w:rsidRPr="00DD2D90">
        <w:rPr>
          <w:rStyle w:val="StyleUnderline"/>
          <w:highlight w:val="green"/>
        </w:rPr>
        <w:t>take advantage of vulnerable consumers</w:t>
      </w:r>
      <w:r w:rsidRPr="00DD2D90">
        <w:rPr>
          <w:rStyle w:val="StyleUnderline"/>
        </w:rPr>
        <w:t xml:space="preserve"> </w:t>
      </w:r>
      <w:r w:rsidRPr="00DD2D90">
        <w:rPr>
          <w:rStyle w:val="StyleUnderline"/>
          <w:highlight w:val="green"/>
        </w:rPr>
        <w:t>who</w:t>
      </w:r>
      <w:r w:rsidRPr="00DD2D90">
        <w:rPr>
          <w:rStyle w:val="StyleUnderline"/>
        </w:rPr>
        <w:t xml:space="preserve"> are willing to </w:t>
      </w:r>
      <w:r w:rsidRPr="00DD2D90">
        <w:rPr>
          <w:rStyle w:val="StyleUnderline"/>
          <w:highlight w:val="green"/>
        </w:rPr>
        <w:t>trade dollars for</w:t>
      </w:r>
      <w:r w:rsidRPr="00DD2D90">
        <w:rPr>
          <w:rStyle w:val="StyleUnderline"/>
        </w:rPr>
        <w:t xml:space="preserve"> </w:t>
      </w:r>
      <w:r w:rsidRPr="00DD2D90">
        <w:rPr>
          <w:rStyle w:val="StyleUnderline"/>
          <w:highlight w:val="green"/>
        </w:rPr>
        <w:t>moral worth</w:t>
      </w:r>
      <w:r w:rsidRPr="00DD2D90">
        <w:t xml:space="preserve"> </w:t>
      </w:r>
      <w:r w:rsidRPr="00D05211">
        <w:rPr>
          <w:sz w:val="16"/>
          <w:szCs w:val="16"/>
        </w:rPr>
        <w:t xml:space="preserve">(Dumit, 2012). This is fundamental to the maintenance of enhancement culture in the United States. Prescription sleep aids are an ideal product for drug companies. As one pharmaceutical trade journal proclaimed: “Pharma's ultimate customers are overweight and can't sleep” (Kelly, 2006, p. 86). Though not FDA‐approved for long‐term use, sleep aids are often taken daily and indefinitely. Whereas, in some cases, this consumer behavior may be a consequence of patient compliance; in other cases, it is a consequence of patients' self‐prescribing, medical uncertainty, and ever‐changing FDA regulations (see Barker, 2008; Davis &amp; Abraham, 2011). Nevertheless, this trend easily lends itself to the medicalization model wherein </w:t>
      </w:r>
      <w:r w:rsidRPr="00DD2D90">
        <w:rPr>
          <w:rStyle w:val="StyleUnderline"/>
        </w:rPr>
        <w:t>drug companies proffer solutions for complaints perceived to be both “common and abnormal, thus needing treatment</w:t>
      </w:r>
      <w:r w:rsidRPr="00DD2D90">
        <w:t xml:space="preserve">” </w:t>
      </w:r>
      <w:r w:rsidRPr="00D05211">
        <w:rPr>
          <w:sz w:val="16"/>
          <w:szCs w:val="16"/>
        </w:rPr>
        <w:t xml:space="preserve">(Conrad, 2005, p. 6). Sleep aids are promoted not just to return to status quo but also to achieve the neoliberal expectation of personal responsibility. After all, the intensification of the 24/7 workday demands that workers experience uninterrupted nightly slumber (Crary, 2013). Wolf‐Meyer (2012, p. 3) writes … [S]leep binds individuals to institutions, and when disordered sleep disrupts these interactions, medicine intervenes to reorder the everyday. These everyday orders, in turn, structure American capitalism, a form of capitalism that is tied to long‐standing conceptions of normalcy, medicine, and everyday life. In the first 9 months of 2006, Pharma spent $362 million on advertisements for “the most popular sleeping pills, marketing the idea that interrupted sleep or the lack of instantaneous sleep are alarming conditions that require intervention” (Singer, 2007). The 2008 economic downturn saw the pharmaceutical industry trimming their advertisement budget by nearly 20 percent (Agro, 2009). Yet makers of the blockbuster drug Ambien—a “top five” in terms of DTCA expenditures—increased DTCA spending from $93 million in 2007 to $147 million in 2008. A new drug, Intermezzo, spent $29 million in advertising after just six months, beginning in late 2012 (Weinstein, 2013). The makers of Intermezzo originally planned a $100 million marketing blitz, but initial sales were disappointing (Weinstein, 2013). The proposed cause of lackluster sales? “Patients do not recognize middle of the night awakening as a disease” (Smith, 2013). The proposed solution? An “educational” DTCA campaign (Smith, 2013). Although, generally, sleep aids are widely prescribed and lucrative (Bertisch et al., 2014; Moloney et al., 2011), this was not always the case. Prior to the FDA Modernization Act of 1997, prescription sleep aid use was declining. Walsh and Schweitzer (1999) found that between 1987 and 1996, “hypnotic drug mentions decreased 53.7%” (p. 372). Ambien, which received FDA approval in 1992, was an exception (Walsh &amp; Schweitzer, 1999). Ambien and the sister‐drugs that followed (e.g., Lunesta and Sonata) reinvigorated the prescription sleep aid market and became enormously popular in the late 1990s (Bertisch et al., 2014; Singer, 2007). Estimates of sleep aid use vary, but trends for these drugs are consistently positive. Bertisch et al. (2014) found that use of prescription sleep aids increased significantly between 1999–2000 and 2009–2010. Another study found that U.S. sleep aid prescriptions resulting from a physician office visit increased 30‐fold from 1994 to 2007 (Moloney et al., 2011). These trends do not show signs of decline. In fact, roughly 7 million prescriptions are written per month (Smith, 2013) and approximately four percent of Americans report using prescription sleep aids within the past month (Bertisch et al., 2014; Chong, Fryar, &amp; Gu, 2013). As previously noted, these drugs are not only popular but also profitable. In 2006, sales of prescription sleep medications reached $3 billion; Ambien alone garnered $2 billion. More recent estimates indicate that Americans still spend about $2 billion a year on prescription sleep aids, and the sales of these drugs have only increased since 2000 (Hegland, 2012; Petersen, 2011). 3.4 | Physicians </w:t>
      </w:r>
    </w:p>
    <w:p w14:paraId="5F4280AB" w14:textId="77777777" w:rsidR="008727CC" w:rsidRPr="00D05211" w:rsidRDefault="008727CC">
      <w:pPr>
        <w:rPr>
          <w:rFonts w:eastAsiaTheme="majorEastAsia" w:cstheme="majorBidi"/>
          <w:b/>
          <w:iCs/>
          <w:sz w:val="14"/>
        </w:rPr>
      </w:pPr>
      <w:r w:rsidRPr="00D05211">
        <w:rPr>
          <w:sz w:val="14"/>
        </w:rPr>
        <w:br w:type="page"/>
      </w:r>
    </w:p>
    <w:p w14:paraId="1D640C37" w14:textId="6EB98C26" w:rsidR="008342BD" w:rsidRPr="009C4A5A" w:rsidRDefault="0013109B" w:rsidP="008342BD">
      <w:pPr>
        <w:pStyle w:val="Heading4"/>
        <w:rPr>
          <w:szCs w:val="26"/>
        </w:rPr>
      </w:pPr>
      <w:r w:rsidRPr="009C4A5A">
        <w:rPr>
          <w:szCs w:val="26"/>
        </w:rPr>
        <w:t xml:space="preserve">Critical marketing studies </w:t>
      </w:r>
      <w:proofErr w:type="gramStart"/>
      <w:r w:rsidRPr="009C4A5A">
        <w:rPr>
          <w:szCs w:val="26"/>
        </w:rPr>
        <w:t>proves</w:t>
      </w:r>
      <w:proofErr w:type="gramEnd"/>
      <w:r w:rsidRPr="009C4A5A">
        <w:rPr>
          <w:szCs w:val="26"/>
        </w:rPr>
        <w:t xml:space="preserve"> that the promotion of healthcare commodities undermines public health</w:t>
      </w:r>
    </w:p>
    <w:p w14:paraId="22355879" w14:textId="77777777" w:rsidR="008342BD" w:rsidRPr="00DD2D90" w:rsidRDefault="008342BD" w:rsidP="008342BD">
      <w:r w:rsidRPr="009C4A5A">
        <w:rPr>
          <w:b/>
          <w:bCs/>
          <w:sz w:val="26"/>
          <w:szCs w:val="26"/>
        </w:rPr>
        <w:t>Applbaum 18</w:t>
      </w:r>
      <w:r w:rsidRPr="00DD2D90">
        <w:t xml:space="preserve"> [Kalman Applbaum, educator of anthropology at the University of Wisconsin at Milwaukee and </w:t>
      </w:r>
      <w:r w:rsidRPr="00DD2D90">
        <w:tab/>
        <w:t>pharmaceutical policy researcher, 2018, “1 Marketing Clientelism vs Corruption Pharmaceutical Off-label Promotion on Trial,” Economy, Crime and Wrong in a Neoliberal Era, https://chooser.crossref.org/?doi=10.2307%2Fj.ctvw04jq5.5]/Kankee</w:t>
      </w:r>
    </w:p>
    <w:p w14:paraId="738FE029" w14:textId="77777777" w:rsidR="008342BD" w:rsidRPr="009C4A5A" w:rsidRDefault="008342BD" w:rsidP="008342BD">
      <w:pPr>
        <w:rPr>
          <w:sz w:val="16"/>
        </w:rPr>
      </w:pPr>
      <w:r w:rsidRPr="009C4A5A">
        <w:rPr>
          <w:sz w:val="16"/>
        </w:rPr>
        <w:t xml:space="preserve">Separating Clientelism from Corruption The Medtronic case is but one among a spate of suits prosecuted since the early 2000s under the False Claims Act, a whistle-blower statute permitting private citizens to file suits on behalf of the federal government (see Lansdale 2006). These suits have alleged that the defendants have made false claims about drugs to promote off-label use, and have resulted in the recovery of over $15 billion from the world’s most reputable drug companies (Herman 2014). Despite harsh penalties and the imposition of rigorous compliance stipulations, called ‘corporate integrity agreements’, which are expensive and laborious to implement, malfeasance in the industry appears to continue. A multidisciplinary subfield of the social science of medicine called </w:t>
      </w:r>
      <w:r w:rsidRPr="00DD2D90">
        <w:rPr>
          <w:rStyle w:val="StyleUnderline"/>
          <w:highlight w:val="green"/>
        </w:rPr>
        <w:t>critical pharmaceutical</w:t>
      </w:r>
      <w:r w:rsidRPr="009C4A5A">
        <w:rPr>
          <w:sz w:val="16"/>
          <w:highlight w:val="green"/>
        </w:rPr>
        <w:t xml:space="preserve"> </w:t>
      </w:r>
      <w:r w:rsidRPr="00DD2D90">
        <w:rPr>
          <w:rStyle w:val="StyleUnderline"/>
          <w:highlight w:val="green"/>
        </w:rPr>
        <w:t>studies</w:t>
      </w:r>
      <w:r w:rsidRPr="009C4A5A">
        <w:rPr>
          <w:sz w:val="16"/>
        </w:rPr>
        <w:t xml:space="preserve"> has emerged to </w:t>
      </w:r>
      <w:r w:rsidRPr="00DD2D90">
        <w:rPr>
          <w:rStyle w:val="StyleUnderline"/>
          <w:highlight w:val="green"/>
        </w:rPr>
        <w:t>report</w:t>
      </w:r>
      <w:r w:rsidRPr="009C4A5A">
        <w:rPr>
          <w:sz w:val="16"/>
          <w:highlight w:val="green"/>
        </w:rPr>
        <w:t xml:space="preserve"> </w:t>
      </w:r>
      <w:r w:rsidRPr="00DD2D90">
        <w:rPr>
          <w:rStyle w:val="StyleUnderline"/>
          <w:highlight w:val="green"/>
        </w:rPr>
        <w:t>on</w:t>
      </w:r>
      <w:r w:rsidRPr="009C4A5A">
        <w:rPr>
          <w:sz w:val="16"/>
        </w:rPr>
        <w:t xml:space="preserve"> the myriad manifestations and mechanisms of </w:t>
      </w:r>
      <w:r w:rsidRPr="00DD2D90">
        <w:rPr>
          <w:rStyle w:val="Emphasis"/>
          <w:highlight w:val="green"/>
        </w:rPr>
        <w:t>corruption</w:t>
      </w:r>
      <w:r w:rsidRPr="00DD2D90">
        <w:rPr>
          <w:rStyle w:val="StyleUnderline"/>
          <w:highlight w:val="green"/>
        </w:rPr>
        <w:t xml:space="preserve"> in the industry</w:t>
      </w:r>
      <w:r w:rsidRPr="00DD2D90">
        <w:rPr>
          <w:rStyle w:val="StyleUnderline"/>
        </w:rPr>
        <w:t>, from rigging clinical trials and the ghostwriting of scientific publications to the outright purchase of influence</w:t>
      </w:r>
      <w:r w:rsidRPr="009C4A5A">
        <w:rPr>
          <w:sz w:val="16"/>
        </w:rPr>
        <w:t xml:space="preserve">. One of my purposes here is to consider how and why wrongdoing in the industry continues at such a pace despite the manifestly credible threats of prosecution and increased government vigilance. In earlier research, I observed that </w:t>
      </w:r>
      <w:r w:rsidRPr="00DD2D90">
        <w:rPr>
          <w:rStyle w:val="StyleUnderline"/>
          <w:highlight w:val="green"/>
        </w:rPr>
        <w:t>there appears</w:t>
      </w:r>
      <w:r w:rsidRPr="009C4A5A">
        <w:rPr>
          <w:sz w:val="16"/>
        </w:rPr>
        <w:t xml:space="preserve"> to be a </w:t>
      </w:r>
      <w:r w:rsidRPr="00DD2D90">
        <w:rPr>
          <w:rStyle w:val="Emphasis"/>
          <w:highlight w:val="green"/>
        </w:rPr>
        <w:t>misalignment</w:t>
      </w:r>
      <w:r w:rsidRPr="009C4A5A">
        <w:rPr>
          <w:sz w:val="16"/>
        </w:rPr>
        <w:t xml:space="preserve">, conflict and even competition </w:t>
      </w:r>
      <w:r w:rsidRPr="00DD2D90">
        <w:rPr>
          <w:rStyle w:val="StyleUnderline"/>
          <w:highlight w:val="green"/>
        </w:rPr>
        <w:t>between the values of</w:t>
      </w:r>
      <w:r w:rsidRPr="009C4A5A">
        <w:rPr>
          <w:sz w:val="16"/>
        </w:rPr>
        <w:t xml:space="preserve"> medicine and public </w:t>
      </w:r>
      <w:r w:rsidRPr="00DD2D90">
        <w:rPr>
          <w:rStyle w:val="StyleUnderline"/>
          <w:highlight w:val="green"/>
        </w:rPr>
        <w:t>health</w:t>
      </w:r>
      <w:r w:rsidRPr="009C4A5A">
        <w:rPr>
          <w:sz w:val="16"/>
        </w:rPr>
        <w:t xml:space="preserve"> on the one hand, </w:t>
      </w:r>
      <w:r w:rsidRPr="00DD2D90">
        <w:rPr>
          <w:rStyle w:val="StyleUnderline"/>
          <w:highlight w:val="green"/>
        </w:rPr>
        <w:t>and</w:t>
      </w:r>
      <w:r w:rsidRPr="009C4A5A">
        <w:rPr>
          <w:sz w:val="16"/>
        </w:rPr>
        <w:t xml:space="preserve"> those of </w:t>
      </w:r>
      <w:r w:rsidRPr="00DD2D90">
        <w:rPr>
          <w:rStyle w:val="StyleUnderline"/>
        </w:rPr>
        <w:t xml:space="preserve">pharmaceutical </w:t>
      </w:r>
      <w:r w:rsidRPr="00DD2D90">
        <w:rPr>
          <w:rStyle w:val="StyleUnderline"/>
          <w:highlight w:val="green"/>
        </w:rPr>
        <w:t>marketing</w:t>
      </w:r>
      <w:r w:rsidRPr="009C4A5A">
        <w:rPr>
          <w:sz w:val="16"/>
        </w:rPr>
        <w:t xml:space="preserve"> on the other. Medical, scientific value consists in a discovery’s capacity to explain phenomena verifiably and then be applied to reduce human suffering from disease. </w:t>
      </w:r>
      <w:r w:rsidRPr="00DD2D90">
        <w:rPr>
          <w:rStyle w:val="StyleUnderline"/>
        </w:rPr>
        <w:t>Marketing value</w:t>
      </w:r>
      <w:r w:rsidRPr="009C4A5A">
        <w:rPr>
          <w:sz w:val="16"/>
        </w:rPr>
        <w:t xml:space="preserve">, by contrast, </w:t>
      </w:r>
      <w:r w:rsidRPr="00DD2D90">
        <w:rPr>
          <w:rStyle w:val="StyleUnderline"/>
        </w:rPr>
        <w:t>is</w:t>
      </w:r>
      <w:r w:rsidRPr="009C4A5A">
        <w:rPr>
          <w:sz w:val="16"/>
        </w:rPr>
        <w:t xml:space="preserve"> fluid, </w:t>
      </w:r>
      <w:r w:rsidRPr="00DD2D90">
        <w:rPr>
          <w:rStyle w:val="StyleUnderline"/>
        </w:rPr>
        <w:t>relative, and contingent</w:t>
      </w:r>
      <w:r w:rsidRPr="009C4A5A">
        <w:rPr>
          <w:sz w:val="16"/>
        </w:rPr>
        <w:t xml:space="preserve"> on perceived utility. Marketing value is measured </w:t>
      </w:r>
      <w:r w:rsidRPr="00DD2D90">
        <w:rPr>
          <w:rStyle w:val="StyleUnderline"/>
        </w:rPr>
        <w:t>in accordance with</w:t>
      </w:r>
      <w:r w:rsidRPr="009C4A5A">
        <w:rPr>
          <w:sz w:val="16"/>
        </w:rPr>
        <w:t xml:space="preserve"> its ability to achieve </w:t>
      </w:r>
      <w:r w:rsidRPr="00DD2D90">
        <w:rPr>
          <w:rStyle w:val="StyleUnderline"/>
        </w:rPr>
        <w:t>product differentiation</w:t>
      </w:r>
      <w:r w:rsidRPr="009C4A5A">
        <w:rPr>
          <w:sz w:val="16"/>
        </w:rPr>
        <w:t xml:space="preserve">, which refers to the process of making one’s product offering appear unique in the marketplace and superior to those of one’s competitors. . . . </w:t>
      </w:r>
      <w:r w:rsidRPr="00DD2D90">
        <w:rPr>
          <w:rStyle w:val="StyleUnderline"/>
          <w:highlight w:val="green"/>
        </w:rPr>
        <w:t>Pharmaceutical value has increasingly become a marketing proposition, not a scientific one</w:t>
      </w:r>
      <w:r w:rsidRPr="009C4A5A">
        <w:rPr>
          <w:sz w:val="16"/>
          <w:highlight w:val="green"/>
        </w:rPr>
        <w:t xml:space="preserve">. </w:t>
      </w:r>
      <w:r w:rsidRPr="00DD2D90">
        <w:rPr>
          <w:rStyle w:val="StyleUnderline"/>
          <w:highlight w:val="green"/>
        </w:rPr>
        <w:t xml:space="preserve">What is valuable to marketers can be </w:t>
      </w:r>
      <w:r w:rsidRPr="00DD2D90">
        <w:rPr>
          <w:rStyle w:val="Emphasis"/>
          <w:highlight w:val="green"/>
        </w:rPr>
        <w:t>meaningless</w:t>
      </w:r>
      <w:r w:rsidRPr="00DD2D90">
        <w:rPr>
          <w:rStyle w:val="StyleUnderline"/>
          <w:highlight w:val="green"/>
        </w:rPr>
        <w:t xml:space="preserve">, </w:t>
      </w:r>
      <w:r w:rsidRPr="00DD2D90">
        <w:rPr>
          <w:rStyle w:val="Emphasis"/>
          <w:highlight w:val="green"/>
        </w:rPr>
        <w:t>dangerous</w:t>
      </w:r>
      <w:r w:rsidRPr="00DD2D90">
        <w:rPr>
          <w:rStyle w:val="StyleUnderline"/>
          <w:highlight w:val="green"/>
        </w:rPr>
        <w:t xml:space="preserve">, and </w:t>
      </w:r>
      <w:r w:rsidRPr="00DD2D90">
        <w:rPr>
          <w:rStyle w:val="Emphasis"/>
          <w:highlight w:val="green"/>
        </w:rPr>
        <w:t>costly</w:t>
      </w:r>
      <w:r w:rsidRPr="00DD2D90">
        <w:rPr>
          <w:rStyle w:val="StyleUnderline"/>
          <w:highlight w:val="green"/>
        </w:rPr>
        <w:t xml:space="preserve"> to everyone else</w:t>
      </w:r>
      <w:r w:rsidRPr="009C4A5A">
        <w:rPr>
          <w:sz w:val="16"/>
          <w:highlight w:val="green"/>
        </w:rPr>
        <w:t>.</w:t>
      </w:r>
      <w:r w:rsidRPr="009C4A5A">
        <w:rPr>
          <w:sz w:val="16"/>
        </w:rPr>
        <w:t xml:space="preserve"> (K. Applbaum 2009b: 15–16) Among the criticisms I received for that line of thinking, one reader questioned my contrast between private (drug company) and public (medicine) spheres, pointing out that the distinction was in actuality difficult to draw because the boundary between them is porous and because in its everyday practice there is no such thing as disinterested science. The interests are not always commercial, but they are always there (Robert Rosenheck, pers. comm., 2009–10). </w:t>
      </w:r>
    </w:p>
    <w:p w14:paraId="1478C5C8" w14:textId="77777777" w:rsidR="008727CC" w:rsidRPr="009C4A5A" w:rsidRDefault="008727CC">
      <w:pPr>
        <w:rPr>
          <w:rFonts w:eastAsiaTheme="majorEastAsia" w:cstheme="majorBidi"/>
          <w:b/>
          <w:iCs/>
          <w:sz w:val="16"/>
        </w:rPr>
      </w:pPr>
      <w:r w:rsidRPr="009C4A5A">
        <w:rPr>
          <w:sz w:val="16"/>
        </w:rPr>
        <w:br w:type="page"/>
      </w:r>
    </w:p>
    <w:p w14:paraId="10548112" w14:textId="1AD2F03B" w:rsidR="00C7293A" w:rsidRPr="009C4A5A" w:rsidRDefault="008727CC" w:rsidP="00C7293A">
      <w:pPr>
        <w:pStyle w:val="Heading4"/>
        <w:rPr>
          <w:szCs w:val="26"/>
        </w:rPr>
      </w:pPr>
      <w:r w:rsidRPr="009C4A5A">
        <w:rPr>
          <w:szCs w:val="26"/>
        </w:rPr>
        <w:t>Commodity fetishism encourages and is caused by the</w:t>
      </w:r>
      <w:r w:rsidR="00C7293A" w:rsidRPr="009C4A5A">
        <w:rPr>
          <w:szCs w:val="26"/>
        </w:rPr>
        <w:t xml:space="preserve"> medicalization of bodies, rejecting social causes of ill-health</w:t>
      </w:r>
      <w:r w:rsidR="00F52B3C" w:rsidRPr="009C4A5A">
        <w:rPr>
          <w:szCs w:val="26"/>
        </w:rPr>
        <w:t xml:space="preserve"> in favor of technical, individual solutions</w:t>
      </w:r>
      <w:r w:rsidR="004754B9" w:rsidRPr="009C4A5A">
        <w:rPr>
          <w:szCs w:val="26"/>
        </w:rPr>
        <w:t xml:space="preserve"> that only benefit the rich</w:t>
      </w:r>
    </w:p>
    <w:p w14:paraId="14E84D05" w14:textId="77777777" w:rsidR="00C7293A" w:rsidRPr="00DD2D90" w:rsidRDefault="00C7293A" w:rsidP="00C7293A">
      <w:r w:rsidRPr="009C4A5A">
        <w:rPr>
          <w:b/>
          <w:bCs/>
          <w:sz w:val="26"/>
          <w:szCs w:val="26"/>
        </w:rPr>
        <w:t>Collyer 15</w:t>
      </w:r>
      <w:r w:rsidRPr="00DD2D90">
        <w:t xml:space="preserve"> [Fran Collyer, Professorial Fellow of Sociology, People and Culture at the University of Wollongong, 2015, "Karl Marx and Frederich Engels: Capitalism, Health and the Healthcare Industry", SpringerLink, https://link.springer.com/chapter/10.1057/9781137355621_3]/Kankee</w:t>
      </w:r>
    </w:p>
    <w:p w14:paraId="2EDF80DD" w14:textId="77777777" w:rsidR="00C7293A" w:rsidRPr="009C4A5A" w:rsidRDefault="00C7293A" w:rsidP="00C7293A">
      <w:pPr>
        <w:rPr>
          <w:sz w:val="16"/>
        </w:rPr>
      </w:pPr>
      <w:r w:rsidRPr="009C4A5A">
        <w:rPr>
          <w:sz w:val="16"/>
        </w:rPr>
        <w:t xml:space="preserve"> Over the past four decades, medical sociologists inspired by Marxian analy- sis have been exploring the form of medicine developed under capitalism. The general consensus is that </w:t>
      </w:r>
      <w:r w:rsidRPr="00DD2D90">
        <w:rPr>
          <w:rStyle w:val="StyleUnderline"/>
          <w:highlight w:val="green"/>
        </w:rPr>
        <w:t>capitalist medicine is</w:t>
      </w:r>
      <w:r w:rsidRPr="00DD2D90">
        <w:rPr>
          <w:rStyle w:val="StyleUnderline"/>
        </w:rPr>
        <w:t xml:space="preserve"> characterised by </w:t>
      </w:r>
      <w:r w:rsidRPr="00DD2D90">
        <w:rPr>
          <w:rStyle w:val="StyleUnderline"/>
          <w:highlight w:val="green"/>
        </w:rPr>
        <w:t>a focus on cure, rather</w:t>
      </w:r>
      <w:r w:rsidRPr="00DD2D90">
        <w:rPr>
          <w:rStyle w:val="StyleUnderline"/>
        </w:rPr>
        <w:t xml:space="preserve"> </w:t>
      </w:r>
      <w:r w:rsidRPr="00DD2D90">
        <w:rPr>
          <w:rStyle w:val="StyleUnderline"/>
          <w:highlight w:val="green"/>
        </w:rPr>
        <w:t>than</w:t>
      </w:r>
      <w:r w:rsidRPr="00DD2D90">
        <w:rPr>
          <w:rStyle w:val="StyleUnderline"/>
        </w:rPr>
        <w:t xml:space="preserve"> the </w:t>
      </w:r>
      <w:r w:rsidRPr="00DD2D90">
        <w:rPr>
          <w:rStyle w:val="StyleUnderline"/>
          <w:highlight w:val="green"/>
        </w:rPr>
        <w:t>prevention</w:t>
      </w:r>
      <w:r w:rsidRPr="00DD2D90">
        <w:rPr>
          <w:rStyle w:val="StyleUnderline"/>
        </w:rPr>
        <w:t xml:space="preserve"> of disease</w:t>
      </w:r>
      <w:r w:rsidRPr="009C4A5A">
        <w:rPr>
          <w:sz w:val="16"/>
        </w:rPr>
        <w:t xml:space="preserve">, and it is ‘objectified’ </w:t>
      </w:r>
      <w:r w:rsidRPr="00DD2D90">
        <w:rPr>
          <w:rStyle w:val="StyleUnderline"/>
          <w:highlight w:val="green"/>
        </w:rPr>
        <w:t>medicine</w:t>
      </w:r>
      <w:r w:rsidRPr="009C4A5A">
        <w:rPr>
          <w:sz w:val="16"/>
        </w:rPr>
        <w:t xml:space="preserve">, that is, it </w:t>
      </w:r>
      <w:r w:rsidRPr="00DD2D90">
        <w:rPr>
          <w:rStyle w:val="StyleUnderline"/>
        </w:rPr>
        <w:t xml:space="preserve">focuses on </w:t>
      </w:r>
      <w:r w:rsidRPr="009C4A5A">
        <w:rPr>
          <w:sz w:val="16"/>
        </w:rPr>
        <w:t xml:space="preserve">specific parts of </w:t>
      </w:r>
      <w:r w:rsidRPr="00DD2D90">
        <w:rPr>
          <w:rStyle w:val="StyleUnderline"/>
        </w:rPr>
        <w:t>the body</w:t>
      </w:r>
      <w:r w:rsidRPr="009C4A5A">
        <w:rPr>
          <w:sz w:val="16"/>
        </w:rPr>
        <w:t xml:space="preserve"> – an organ, limb, the lymph system – thus </w:t>
      </w:r>
      <w:r w:rsidRPr="00DD2D90">
        <w:rPr>
          <w:rStyle w:val="StyleUnderline"/>
          <w:highlight w:val="green"/>
        </w:rPr>
        <w:t>separating the ‘social individual’ from the</w:t>
      </w:r>
      <w:r w:rsidRPr="009C4A5A">
        <w:rPr>
          <w:sz w:val="16"/>
        </w:rPr>
        <w:t xml:space="preserve"> physical </w:t>
      </w:r>
      <w:r w:rsidRPr="00DD2D90">
        <w:rPr>
          <w:rStyle w:val="StyleUnderline"/>
          <w:highlight w:val="green"/>
        </w:rPr>
        <w:t>body</w:t>
      </w:r>
      <w:r w:rsidRPr="009C4A5A">
        <w:rPr>
          <w:sz w:val="16"/>
        </w:rPr>
        <w:t xml:space="preserve">, often leading to complaints from </w:t>
      </w:r>
      <w:r w:rsidRPr="00DD2D90">
        <w:rPr>
          <w:rStyle w:val="StyleUnderline"/>
        </w:rPr>
        <w:t>patients</w:t>
      </w:r>
      <w:r w:rsidRPr="009C4A5A">
        <w:rPr>
          <w:sz w:val="16"/>
        </w:rPr>
        <w:t xml:space="preserve"> about the </w:t>
      </w:r>
      <w:r w:rsidRPr="00DD2D90">
        <w:rPr>
          <w:rStyle w:val="Emphasis"/>
        </w:rPr>
        <w:t>loss of identity</w:t>
      </w:r>
      <w:r w:rsidRPr="009C4A5A">
        <w:rPr>
          <w:sz w:val="16"/>
        </w:rPr>
        <w:t xml:space="preserve"> </w:t>
      </w:r>
      <w:r w:rsidRPr="00DD2D90">
        <w:rPr>
          <w:rStyle w:val="StyleUnderline"/>
        </w:rPr>
        <w:t>as they become ‘the cancer’ or ‘heart attack’</w:t>
      </w:r>
      <w:r w:rsidRPr="009C4A5A">
        <w:rPr>
          <w:sz w:val="16"/>
        </w:rPr>
        <w:t xml:space="preserve">, and </w:t>
      </w:r>
      <w:r w:rsidRPr="00DD2D90">
        <w:rPr>
          <w:rStyle w:val="Emphasis"/>
          <w:highlight w:val="green"/>
        </w:rPr>
        <w:t>obscuring</w:t>
      </w:r>
      <w:r w:rsidRPr="009C4A5A">
        <w:rPr>
          <w:sz w:val="16"/>
          <w:highlight w:val="green"/>
        </w:rPr>
        <w:t xml:space="preserve"> </w:t>
      </w:r>
      <w:r w:rsidRPr="00DD2D90">
        <w:rPr>
          <w:rStyle w:val="StyleUnderline"/>
        </w:rPr>
        <w:t xml:space="preserve">the </w:t>
      </w:r>
      <w:r w:rsidRPr="00DD2D90">
        <w:rPr>
          <w:rStyle w:val="StyleUnderline"/>
          <w:highlight w:val="green"/>
        </w:rPr>
        <w:t>social determinants of ill-health</w:t>
      </w:r>
      <w:r w:rsidRPr="009C4A5A">
        <w:rPr>
          <w:sz w:val="16"/>
        </w:rPr>
        <w:t xml:space="preserve">. Moreover, </w:t>
      </w:r>
      <w:r w:rsidRPr="00DD2D90">
        <w:rPr>
          <w:rStyle w:val="StyleUnderline"/>
        </w:rPr>
        <w:t>with commodification, ‘</w:t>
      </w:r>
      <w:r w:rsidRPr="00DD2D90">
        <w:rPr>
          <w:rStyle w:val="StyleUnderline"/>
          <w:highlight w:val="green"/>
        </w:rPr>
        <w:t>health’ itself becomes a commodity</w:t>
      </w:r>
      <w:r w:rsidRPr="00DD2D90">
        <w:rPr>
          <w:rStyle w:val="StyleUnderline"/>
        </w:rPr>
        <w:t xml:space="preserve"> to be bought and sold, </w:t>
      </w:r>
      <w:r w:rsidRPr="00DD2D90">
        <w:rPr>
          <w:rStyle w:val="StyleUnderline"/>
          <w:highlight w:val="green"/>
        </w:rPr>
        <w:t>relationships</w:t>
      </w:r>
      <w:r w:rsidRPr="00DD2D90">
        <w:rPr>
          <w:rStyle w:val="StyleUnderline"/>
        </w:rPr>
        <w:t xml:space="preserve"> between professionals and patients </w:t>
      </w:r>
      <w:r w:rsidRPr="00DD2D90">
        <w:rPr>
          <w:rStyle w:val="StyleUnderline"/>
          <w:highlight w:val="green"/>
        </w:rPr>
        <w:t>are</w:t>
      </w:r>
      <w:r w:rsidRPr="00DD2D90">
        <w:rPr>
          <w:rStyle w:val="StyleUnderline"/>
        </w:rPr>
        <w:t xml:space="preserve"> </w:t>
      </w:r>
      <w:r w:rsidRPr="00DD2D90">
        <w:rPr>
          <w:rStyle w:val="StyleUnderline"/>
          <w:highlight w:val="green"/>
        </w:rPr>
        <w:t>pur- chased</w:t>
      </w:r>
      <w:r w:rsidRPr="00DD2D90">
        <w:rPr>
          <w:rStyle w:val="StyleUnderline"/>
        </w:rPr>
        <w:t xml:space="preserve"> on the market </w:t>
      </w:r>
      <w:r w:rsidRPr="00DD2D90">
        <w:rPr>
          <w:rStyle w:val="StyleUnderline"/>
          <w:highlight w:val="green"/>
        </w:rPr>
        <w:t xml:space="preserve">and new ‘needs’ are </w:t>
      </w:r>
      <w:r w:rsidRPr="00DD2D90">
        <w:rPr>
          <w:rStyle w:val="StyleUnderline"/>
        </w:rPr>
        <w:t xml:space="preserve">continually </w:t>
      </w:r>
      <w:r w:rsidRPr="00DD2D90">
        <w:rPr>
          <w:rStyle w:val="StyleUnderline"/>
          <w:highlight w:val="green"/>
        </w:rPr>
        <w:t>created</w:t>
      </w:r>
      <w:r w:rsidRPr="00DD2D90">
        <w:rPr>
          <w:rStyle w:val="StyleUnderline"/>
        </w:rPr>
        <w:t xml:space="preserve"> </w:t>
      </w:r>
      <w:r w:rsidRPr="00DD2D90">
        <w:rPr>
          <w:rStyle w:val="StyleUnderline"/>
          <w:highlight w:val="green"/>
        </w:rPr>
        <w:t>in the pursuit for profit</w:t>
      </w:r>
      <w:r w:rsidRPr="009C4A5A">
        <w:rPr>
          <w:sz w:val="16"/>
          <w:highlight w:val="green"/>
        </w:rPr>
        <w:t>.</w:t>
      </w:r>
      <w:r w:rsidRPr="009C4A5A">
        <w:rPr>
          <w:sz w:val="16"/>
        </w:rPr>
        <w:t xml:space="preserve"> </w:t>
      </w:r>
      <w:r w:rsidRPr="00DD2D90">
        <w:rPr>
          <w:rStyle w:val="StyleUnderline"/>
          <w:highlight w:val="green"/>
        </w:rPr>
        <w:t>Medicine</w:t>
      </w:r>
      <w:r w:rsidRPr="009C4A5A">
        <w:rPr>
          <w:sz w:val="16"/>
        </w:rPr>
        <w:t xml:space="preserve"> under capitalism </w:t>
      </w:r>
      <w:r w:rsidRPr="00DD2D90">
        <w:rPr>
          <w:rStyle w:val="StyleUnderline"/>
          <w:highlight w:val="green"/>
        </w:rPr>
        <w:t>is characterised by</w:t>
      </w:r>
      <w:r w:rsidRPr="009C4A5A">
        <w:rPr>
          <w:sz w:val="16"/>
        </w:rPr>
        <w:t xml:space="preserve"> the provision of ‘</w:t>
      </w:r>
      <w:r w:rsidRPr="00DD2D90">
        <w:rPr>
          <w:rStyle w:val="Emphasis"/>
          <w:highlight w:val="green"/>
        </w:rPr>
        <w:t>tech- nical’</w:t>
      </w:r>
      <w:r w:rsidRPr="009C4A5A">
        <w:rPr>
          <w:sz w:val="16"/>
        </w:rPr>
        <w:t xml:space="preserve"> artefacts as </w:t>
      </w:r>
      <w:r w:rsidRPr="00DD2D90">
        <w:rPr>
          <w:rStyle w:val="StyleUnderline"/>
          <w:highlight w:val="green"/>
        </w:rPr>
        <w:t>solutions</w:t>
      </w:r>
      <w:r w:rsidRPr="00DD2D90">
        <w:rPr>
          <w:rStyle w:val="StyleUnderline"/>
        </w:rPr>
        <w:t xml:space="preserve"> to the problems of ill-health</w:t>
      </w:r>
      <w:r w:rsidRPr="009C4A5A">
        <w:rPr>
          <w:sz w:val="16"/>
        </w:rPr>
        <w:t xml:space="preserve">, creating a highly profitable industry (Bates and Lapsley 1985), and </w:t>
      </w:r>
      <w:r w:rsidRPr="00DD2D90">
        <w:rPr>
          <w:rStyle w:val="StyleUnderline"/>
          <w:highlight w:val="green"/>
        </w:rPr>
        <w:t>consumers</w:t>
      </w:r>
      <w:r w:rsidRPr="009C4A5A">
        <w:rPr>
          <w:sz w:val="16"/>
        </w:rPr>
        <w:t xml:space="preserve">, </w:t>
      </w:r>
      <w:r w:rsidRPr="00DD2D90">
        <w:rPr>
          <w:rStyle w:val="StyleUnderline"/>
          <w:highlight w:val="green"/>
        </w:rPr>
        <w:t>unable to see the</w:t>
      </w:r>
      <w:r w:rsidRPr="00DD2D90">
        <w:rPr>
          <w:rStyle w:val="StyleUnderline"/>
        </w:rPr>
        <w:t xml:space="preserve"> ‘</w:t>
      </w:r>
      <w:r w:rsidRPr="00DD2D90">
        <w:rPr>
          <w:rStyle w:val="Emphasis"/>
          <w:highlight w:val="green"/>
        </w:rPr>
        <w:t>artificiality’</w:t>
      </w:r>
      <w:r w:rsidRPr="00DD2D90">
        <w:rPr>
          <w:rStyle w:val="StyleUnderline"/>
          <w:highlight w:val="green"/>
        </w:rPr>
        <w:t xml:space="preserve"> of these needs, are pressured to purchase</w:t>
      </w:r>
      <w:r w:rsidRPr="009C4A5A">
        <w:rPr>
          <w:sz w:val="16"/>
        </w:rPr>
        <w:t xml:space="preserve"> the </w:t>
      </w:r>
      <w:r w:rsidRPr="00DD2D90">
        <w:rPr>
          <w:rStyle w:val="StyleUnderline"/>
          <w:highlight w:val="green"/>
        </w:rPr>
        <w:t>commodities</w:t>
      </w:r>
      <w:r w:rsidRPr="009C4A5A">
        <w:rPr>
          <w:sz w:val="16"/>
        </w:rPr>
        <w:t xml:space="preserve"> on offer. For some scholars, commodification is teamed with another concept, medicalisation, which describes the way new medical categories are increas- ingly constructed to account for, and offer solutions for human problems: problems that may have previously been considered under the cloak of religion, law, education or even magic. As such, medicalisation is about the increasing use of medical theories, concepts and frameworks to explain social phenom- ena, social differences and behaviours, or, as Filc (2004) suggests, </w:t>
      </w:r>
      <w:r w:rsidRPr="00DD2D90">
        <w:rPr>
          <w:rStyle w:val="StyleUnderline"/>
        </w:rPr>
        <w:t xml:space="preserve">it is about the </w:t>
      </w:r>
      <w:r w:rsidRPr="00DD2D90">
        <w:rPr>
          <w:rStyle w:val="Emphasis"/>
        </w:rPr>
        <w:t>de-socialisation of disease</w:t>
      </w:r>
      <w:r w:rsidRPr="009C4A5A">
        <w:rPr>
          <w:sz w:val="16"/>
        </w:rPr>
        <w:t xml:space="preserve">. As conceived by Conrad and Schneider (1981), and explored by Williams and Gabe (this volume, chapter 39); explanations for the drivers behind medicalisation are varied, and the concept is not necessarily reliant on a specific social theory or perspective. Thus Marxian accounts form a specific subgroup, combining medicalisation with concepts such as ideol- ogy, class, commodification and objectification, to demonstrate the inequalities and exploitation of healthcare in capitalist societies, as well as the capacity of medicine to harness these ‘newly created problems’ to build new markets and make profit from human suffering. Examples of </w:t>
      </w:r>
      <w:r w:rsidRPr="00DD2D90">
        <w:rPr>
          <w:rStyle w:val="StyleUnderline"/>
        </w:rPr>
        <w:t>medicalisation include child- birth</w:t>
      </w:r>
      <w:r w:rsidRPr="009C4A5A">
        <w:rPr>
          <w:sz w:val="16"/>
        </w:rPr>
        <w:t xml:space="preserve"> (which has become, in the twentieth and twenty-first centuries, a medical ‘problem’ with a medical solution); the process of </w:t>
      </w:r>
      <w:r w:rsidRPr="00DD2D90">
        <w:rPr>
          <w:rStyle w:val="StyleUnderline"/>
        </w:rPr>
        <w:t>breastfeeding</w:t>
      </w:r>
      <w:r w:rsidRPr="009C4A5A">
        <w:rPr>
          <w:sz w:val="16"/>
        </w:rPr>
        <w:t xml:space="preserve"> and the cre- ation of a new category of professional – the lactation consultant – to teach women to feed their infants; and even new drugs for </w:t>
      </w:r>
      <w:r w:rsidRPr="00DD2D90">
        <w:rPr>
          <w:rStyle w:val="StyleUnderline"/>
        </w:rPr>
        <w:t>sexual impotence</w:t>
      </w:r>
      <w:r w:rsidRPr="009C4A5A">
        <w:rPr>
          <w:sz w:val="16"/>
        </w:rPr>
        <w:t xml:space="preserve"> </w:t>
      </w:r>
      <w:r w:rsidRPr="00DD2D90">
        <w:rPr>
          <w:rStyle w:val="StyleUnderline"/>
        </w:rPr>
        <w:t>and</w:t>
      </w:r>
      <w:r w:rsidRPr="009C4A5A">
        <w:rPr>
          <w:sz w:val="16"/>
        </w:rPr>
        <w:t xml:space="preserve"> the </w:t>
      </w:r>
      <w:r w:rsidRPr="00DD2D90">
        <w:rPr>
          <w:rStyle w:val="StyleUnderline"/>
        </w:rPr>
        <w:t>behavioural ‘disorders’</w:t>
      </w:r>
      <w:r w:rsidRPr="009C4A5A">
        <w:rPr>
          <w:sz w:val="16"/>
        </w:rPr>
        <w:t xml:space="preserve"> of children. </w:t>
      </w:r>
      <w:r w:rsidRPr="00DD2D90">
        <w:rPr>
          <w:rStyle w:val="StyleUnderline"/>
        </w:rPr>
        <w:t>The</w:t>
      </w:r>
      <w:r w:rsidRPr="009C4A5A">
        <w:rPr>
          <w:sz w:val="16"/>
        </w:rPr>
        <w:t xml:space="preserve"> increasing </w:t>
      </w:r>
      <w:r w:rsidRPr="00DD2D90">
        <w:rPr>
          <w:rStyle w:val="StyleUnderline"/>
        </w:rPr>
        <w:t>replacement of previous approaches</w:t>
      </w:r>
      <w:r w:rsidRPr="009C4A5A">
        <w:rPr>
          <w:sz w:val="16"/>
        </w:rPr>
        <w:t xml:space="preserve"> to problems </w:t>
      </w:r>
      <w:r w:rsidRPr="00DD2D90">
        <w:rPr>
          <w:rStyle w:val="StyleUnderline"/>
        </w:rPr>
        <w:t xml:space="preserve">by </w:t>
      </w:r>
      <w:r w:rsidRPr="009C4A5A">
        <w:rPr>
          <w:sz w:val="16"/>
        </w:rPr>
        <w:t>the</w:t>
      </w:r>
      <w:r w:rsidRPr="00DD2D90">
        <w:rPr>
          <w:rStyle w:val="StyleUnderline"/>
        </w:rPr>
        <w:t xml:space="preserve"> consumption</w:t>
      </w:r>
      <w:r w:rsidRPr="009C4A5A">
        <w:rPr>
          <w:sz w:val="16"/>
        </w:rPr>
        <w:t xml:space="preserve"> of new products or techniques, argues McKinlay (1977), </w:t>
      </w:r>
      <w:r w:rsidRPr="00DD2D90">
        <w:rPr>
          <w:rStyle w:val="StyleUnderline"/>
        </w:rPr>
        <w:t>is</w:t>
      </w:r>
      <w:r w:rsidRPr="009C4A5A">
        <w:rPr>
          <w:sz w:val="16"/>
        </w:rPr>
        <w:t xml:space="preserve"> not necessarily because they are technically safer or more efficacious, but </w:t>
      </w:r>
      <w:r w:rsidRPr="00DD2D90">
        <w:rPr>
          <w:rStyle w:val="StyleUnderline"/>
        </w:rPr>
        <w:t>merely an outcome of</w:t>
      </w:r>
      <w:r w:rsidRPr="009C4A5A">
        <w:rPr>
          <w:sz w:val="16"/>
        </w:rPr>
        <w:t xml:space="preserve"> the </w:t>
      </w:r>
      <w:r w:rsidRPr="00DD2D90">
        <w:rPr>
          <w:rStyle w:val="StyleUnderline"/>
        </w:rPr>
        <w:t>commodification</w:t>
      </w:r>
      <w:r w:rsidRPr="009C4A5A">
        <w:rPr>
          <w:sz w:val="16"/>
        </w:rPr>
        <w:t xml:space="preserve"> process of capitalism. In recent decades, the </w:t>
      </w:r>
      <w:r w:rsidRPr="00DD2D90">
        <w:rPr>
          <w:rStyle w:val="StyleUnderline"/>
        </w:rPr>
        <w:t>commodification</w:t>
      </w:r>
      <w:r w:rsidRPr="009C4A5A">
        <w:rPr>
          <w:sz w:val="16"/>
        </w:rPr>
        <w:t xml:space="preserve"> process has been </w:t>
      </w:r>
      <w:r w:rsidRPr="00DD2D90">
        <w:rPr>
          <w:rStyle w:val="StyleUnderline"/>
        </w:rPr>
        <w:t>extended</w:t>
      </w:r>
      <w:r w:rsidRPr="009C4A5A">
        <w:rPr>
          <w:sz w:val="16"/>
        </w:rPr>
        <w:t xml:space="preserve"> </w:t>
      </w:r>
      <w:r w:rsidRPr="00DD2D90">
        <w:rPr>
          <w:rStyle w:val="StyleUnderline"/>
        </w:rPr>
        <w:t>from</w:t>
      </w:r>
      <w:r w:rsidRPr="009C4A5A">
        <w:rPr>
          <w:sz w:val="16"/>
        </w:rPr>
        <w:t xml:space="preserve"> the production of basic commodities, such as </w:t>
      </w:r>
      <w:r w:rsidRPr="00DD2D90">
        <w:rPr>
          <w:rStyle w:val="StyleUnderline"/>
        </w:rPr>
        <w:t>medicines</w:t>
      </w:r>
      <w:r w:rsidRPr="009C4A5A">
        <w:rPr>
          <w:sz w:val="16"/>
        </w:rPr>
        <w:t xml:space="preserve"> and machines, </w:t>
      </w:r>
      <w:r w:rsidRPr="00DD2D90">
        <w:rPr>
          <w:rStyle w:val="StyleUnderline"/>
        </w:rPr>
        <w:t>to</w:t>
      </w:r>
      <w:r w:rsidRPr="009C4A5A">
        <w:rPr>
          <w:sz w:val="16"/>
        </w:rPr>
        <w:t xml:space="preserve"> the commodification of </w:t>
      </w:r>
      <w:r w:rsidRPr="00DD2D90">
        <w:rPr>
          <w:rStyle w:val="StyleUnderline"/>
        </w:rPr>
        <w:t>body parts and</w:t>
      </w:r>
      <w:r w:rsidRPr="009C4A5A">
        <w:rPr>
          <w:sz w:val="16"/>
        </w:rPr>
        <w:t xml:space="preserve"> even </w:t>
      </w:r>
      <w:r w:rsidRPr="00DD2D90">
        <w:rPr>
          <w:rStyle w:val="StyleUnderline"/>
        </w:rPr>
        <w:t>bodies themselves</w:t>
      </w:r>
      <w:r w:rsidRPr="009C4A5A">
        <w:rPr>
          <w:sz w:val="16"/>
        </w:rPr>
        <w:t xml:space="preserve">. In this pro- cess, people and </w:t>
      </w:r>
      <w:r w:rsidRPr="00DD2D90">
        <w:rPr>
          <w:rStyle w:val="StyleUnderline"/>
          <w:highlight w:val="green"/>
        </w:rPr>
        <w:t>bodies are transformed ‘from a human</w:t>
      </w:r>
      <w:r w:rsidRPr="00DD2D90">
        <w:rPr>
          <w:rStyle w:val="StyleUnderline"/>
        </w:rPr>
        <w:t xml:space="preserve"> category </w:t>
      </w:r>
      <w:r w:rsidRPr="00DD2D90">
        <w:rPr>
          <w:rStyle w:val="StyleUnderline"/>
          <w:highlight w:val="green"/>
        </w:rPr>
        <w:t>into objects of economic desire’</w:t>
      </w:r>
      <w:r w:rsidRPr="009C4A5A">
        <w:rPr>
          <w:sz w:val="16"/>
        </w:rPr>
        <w:t xml:space="preserve"> (Scheper-Hughes 2001:293). Human organs, for exam- ple, form the basis of a worldwide trade in transplantable body parts, where commodification has created two classes of people: organ buyers and organ sell- ers (Scheper-Hughes 2001). Research has indicated that the trade in body parts, and also bodies themselves (where living persons are used in clinical trials or research experiments), follows class lines. It relies heavily on the use of poor and marginalised populations as subjects and donors, while the profits and the benefits of the trade are expatriated to wealthy countries and population groups (see, for example, Marshall and Daar 2000; Nguyen and Peschard 2003). In this process, </w:t>
      </w:r>
      <w:r w:rsidRPr="00DD2D90">
        <w:rPr>
          <w:rStyle w:val="StyleUnderline"/>
        </w:rPr>
        <w:t>the body is reduced to a ‘source of raw material for saleable products’</w:t>
      </w:r>
      <w:r w:rsidRPr="009C4A5A">
        <w:rPr>
          <w:sz w:val="16"/>
        </w:rPr>
        <w:t xml:space="preserve"> (Andrews and Nelkin 1998:53), and yet the cruelties and inequalities of organ exchange and the commodification process are obscured by a rhetoric of ‘gift exchange’ (Sharp 1994; Scheper-Hughes 2001:304). Much of the analysis of the commodification of bodies comes from scholars using this concept in conjunction with feminist theories, even though neither Marx nor Engels was to offer a useful analysis of women’s experience. An exam- ple of the impact of the commodification process on women’s bodies can be found in Emily Martin’s (1987) work, where reproduction and </w:t>
      </w:r>
      <w:r w:rsidRPr="00DD2D90">
        <w:rPr>
          <w:rStyle w:val="StyleUnderline"/>
          <w:highlight w:val="green"/>
        </w:rPr>
        <w:t>childbirth</w:t>
      </w:r>
      <w:r w:rsidRPr="009C4A5A">
        <w:rPr>
          <w:sz w:val="16"/>
          <w:highlight w:val="green"/>
        </w:rPr>
        <w:t xml:space="preserve"> </w:t>
      </w:r>
      <w:r w:rsidRPr="00DD2D90">
        <w:rPr>
          <w:rStyle w:val="StyleUnderline"/>
          <w:highlight w:val="green"/>
        </w:rPr>
        <w:t>are</w:t>
      </w:r>
      <w:r w:rsidRPr="00DD2D90">
        <w:rPr>
          <w:rStyle w:val="StyleUnderline"/>
        </w:rPr>
        <w:t xml:space="preserve"> </w:t>
      </w:r>
      <w:r w:rsidRPr="00DD2D90">
        <w:rPr>
          <w:rStyle w:val="Emphasis"/>
        </w:rPr>
        <w:t>objectified</w:t>
      </w:r>
      <w:r w:rsidRPr="00DD2D90">
        <w:rPr>
          <w:rStyle w:val="StyleUnderline"/>
        </w:rPr>
        <w:t xml:space="preserve"> and </w:t>
      </w:r>
      <w:r w:rsidRPr="00DD2D90">
        <w:rPr>
          <w:rStyle w:val="Emphasis"/>
          <w:highlight w:val="green"/>
        </w:rPr>
        <w:t>de-humanised</w:t>
      </w:r>
      <w:r w:rsidRPr="00DD2D90">
        <w:rPr>
          <w:rStyle w:val="StyleUnderline"/>
          <w:highlight w:val="green"/>
        </w:rPr>
        <w:t xml:space="preserve"> in the machine-like processes</w:t>
      </w:r>
      <w:r w:rsidRPr="00DD2D90">
        <w:rPr>
          <w:rStyle w:val="StyleUnderline"/>
        </w:rPr>
        <w:t xml:space="preserve"> of the capitalist economy</w:t>
      </w:r>
      <w:r w:rsidRPr="009C4A5A">
        <w:rPr>
          <w:sz w:val="16"/>
        </w:rPr>
        <w:t xml:space="preserve">. Others decry the way women’s bodies are utilised as ‘laboratories’ for medical science (Rowland 1992), or targetted by cosmetic surgery, an industry where patients are subjected to ‘oppressive, idealised standards of beauty, where physical appearance drives definitions of self and social worth’, and where its ‘violence’ is sexist, racist and ageist (Scheper-Hughes 2001:307–8). Also inves- tigated are genital surgeries for transgender and intersex populations, wherein there is the promise of liberation but the result is a fetishising of gender dual- ism, so that the potential for multiple genders and sexual bodies is reduced to only male and female (Scheper-Hughes 2001:308). These surgical practices have come to involve multiple countries and an industry known as medical tourism (for example, Jeffreys 2009). Marxian analysis combined with feminism makes evident the fact that </w:t>
      </w:r>
      <w:r w:rsidRPr="00DD2D90">
        <w:rPr>
          <w:rStyle w:val="StyleUnderline"/>
        </w:rPr>
        <w:t xml:space="preserve">under capitalism, </w:t>
      </w:r>
      <w:r w:rsidRPr="00DD2D90">
        <w:rPr>
          <w:rStyle w:val="StyleUnderline"/>
          <w:highlight w:val="green"/>
        </w:rPr>
        <w:t xml:space="preserve">our bodies become a project that is to be shaped, transformed and produced – we are commodified – but also </w:t>
      </w:r>
      <w:r w:rsidRPr="00DD2D90">
        <w:rPr>
          <w:rStyle w:val="Emphasis"/>
          <w:highlight w:val="green"/>
        </w:rPr>
        <w:t>alienated</w:t>
      </w:r>
      <w:r w:rsidRPr="009C4A5A">
        <w:rPr>
          <w:sz w:val="16"/>
        </w:rPr>
        <w:t xml:space="preserve">. As wealthy individuals strive to attain the perfect body, they appear to have the freedom to choose but the likelihood of escaping the demands of capitalist society are small. The commodification process has also come to encompass entire popula- tions at the same time as it focuses on microscopic parts of human life – the DNA – and even the commodification of knowledge itself. Marxian analysis has focused on the utilisation of health and medical knowledge by power- ful groups to their own advantage, and how this knowledge is commodified under capitalism, so that </w:t>
      </w:r>
      <w:r w:rsidRPr="00DD2D90">
        <w:rPr>
          <w:rStyle w:val="StyleUnderline"/>
          <w:highlight w:val="green"/>
        </w:rPr>
        <w:t>medical categories</w:t>
      </w:r>
      <w:r w:rsidRPr="00DD2D90">
        <w:rPr>
          <w:rStyle w:val="StyleUnderline"/>
        </w:rPr>
        <w:t>, such as ‘diseases’, do not appear to embody social relations, but are presented as if they were part of nature</w:t>
      </w:r>
      <w:r w:rsidRPr="009C4A5A">
        <w:rPr>
          <w:sz w:val="16"/>
        </w:rPr>
        <w:t xml:space="preserve"> (Figlio 1978). Karl Figlio’s (1978) case study of chlorosis – a disease of young girls in nineteenth-century Britain – demonstrates the capacity of </w:t>
      </w:r>
      <w:r w:rsidRPr="00DD2D90">
        <w:rPr>
          <w:rStyle w:val="StyleUnderline"/>
        </w:rPr>
        <w:t xml:space="preserve">medical knowledge to </w:t>
      </w:r>
      <w:r w:rsidRPr="00DD2D90">
        <w:rPr>
          <w:rStyle w:val="StyleUnderline"/>
          <w:highlight w:val="green"/>
        </w:rPr>
        <w:t>conceal the social relations which</w:t>
      </w:r>
      <w:r w:rsidRPr="009C4A5A">
        <w:rPr>
          <w:sz w:val="16"/>
        </w:rPr>
        <w:t xml:space="preserve"> underpin and </w:t>
      </w:r>
      <w:r w:rsidRPr="00DD2D90">
        <w:rPr>
          <w:rStyle w:val="StyleUnderline"/>
          <w:highlight w:val="green"/>
        </w:rPr>
        <w:t>cause ill-health</w:t>
      </w:r>
      <w:r w:rsidRPr="009C4A5A">
        <w:rPr>
          <w:sz w:val="16"/>
        </w:rPr>
        <w:t xml:space="preserve">. In this case, the category of </w:t>
      </w:r>
      <w:r w:rsidRPr="00DD2D90">
        <w:rPr>
          <w:rStyle w:val="StyleUnderline"/>
        </w:rPr>
        <w:t>chlorosis redirects attention from</w:t>
      </w:r>
      <w:r w:rsidRPr="009C4A5A">
        <w:rPr>
          <w:sz w:val="16"/>
        </w:rPr>
        <w:t xml:space="preserve"> the growing impor- tance of </w:t>
      </w:r>
      <w:r w:rsidRPr="00DD2D90">
        <w:rPr>
          <w:rStyle w:val="StyleUnderline"/>
        </w:rPr>
        <w:t>adolescent labour</w:t>
      </w:r>
      <w:r w:rsidRPr="009C4A5A">
        <w:rPr>
          <w:sz w:val="16"/>
        </w:rPr>
        <w:t xml:space="preserve"> in the capitalist labour market </w:t>
      </w:r>
      <w:r w:rsidRPr="00DD2D90">
        <w:rPr>
          <w:rStyle w:val="StyleUnderline"/>
        </w:rPr>
        <w:t>and</w:t>
      </w:r>
      <w:r w:rsidRPr="009C4A5A">
        <w:rPr>
          <w:sz w:val="16"/>
        </w:rPr>
        <w:t xml:space="preserve"> the </w:t>
      </w:r>
      <w:r w:rsidRPr="00DD2D90">
        <w:rPr>
          <w:rStyle w:val="StyleUnderline"/>
        </w:rPr>
        <w:t>poor working conditions</w:t>
      </w:r>
      <w:r w:rsidRPr="009C4A5A">
        <w:rPr>
          <w:sz w:val="16"/>
        </w:rPr>
        <w:t xml:space="preserve"> of the factory system, </w:t>
      </w:r>
      <w:r w:rsidRPr="00DD2D90">
        <w:rPr>
          <w:rStyle w:val="StyleUnderline"/>
        </w:rPr>
        <w:t>and</w:t>
      </w:r>
      <w:r w:rsidRPr="009C4A5A">
        <w:rPr>
          <w:sz w:val="16"/>
        </w:rPr>
        <w:t xml:space="preserve"> posits </w:t>
      </w:r>
      <w:r w:rsidRPr="00DD2D90">
        <w:rPr>
          <w:rStyle w:val="StyleUnderline"/>
        </w:rPr>
        <w:t>blame</w:t>
      </w:r>
      <w:r w:rsidRPr="009C4A5A">
        <w:rPr>
          <w:sz w:val="16"/>
        </w:rPr>
        <w:t xml:space="preserve"> on </w:t>
      </w:r>
      <w:r w:rsidRPr="00DD2D90">
        <w:rPr>
          <w:rStyle w:val="StyleUnderline"/>
        </w:rPr>
        <w:t>the</w:t>
      </w:r>
      <w:r w:rsidRPr="009C4A5A">
        <w:rPr>
          <w:sz w:val="16"/>
        </w:rPr>
        <w:t xml:space="preserve"> ‘inherently weak’, </w:t>
      </w:r>
      <w:r w:rsidRPr="00DD2D90">
        <w:rPr>
          <w:rStyle w:val="StyleUnderline"/>
        </w:rPr>
        <w:t>individual</w:t>
      </w:r>
      <w:r w:rsidRPr="009C4A5A">
        <w:rPr>
          <w:sz w:val="16"/>
        </w:rPr>
        <w:t>, female, body Marxian analysis has also inspired scholars to theorise the knowledge ‘</w:t>
      </w:r>
      <w:r w:rsidRPr="00DD2D90">
        <w:rPr>
          <w:rStyle w:val="StyleUnderline"/>
        </w:rPr>
        <w:t>indus- try’</w:t>
      </w:r>
      <w:r w:rsidRPr="009C4A5A">
        <w:rPr>
          <w:sz w:val="16"/>
        </w:rPr>
        <w:t xml:space="preserve"> itself, as </w:t>
      </w:r>
      <w:r w:rsidRPr="00DD2D90">
        <w:rPr>
          <w:rStyle w:val="StyleUnderline"/>
        </w:rPr>
        <w:t>knowledge</w:t>
      </w:r>
      <w:r w:rsidRPr="009C4A5A">
        <w:rPr>
          <w:sz w:val="16"/>
        </w:rPr>
        <w:t xml:space="preserve"> </w:t>
      </w:r>
      <w:r w:rsidRPr="00DD2D90">
        <w:rPr>
          <w:rStyle w:val="StyleUnderline"/>
        </w:rPr>
        <w:t>becomes</w:t>
      </w:r>
      <w:r w:rsidRPr="009C4A5A">
        <w:rPr>
          <w:sz w:val="16"/>
        </w:rPr>
        <w:t xml:space="preserve">, in this new historical period, more than a means to power and market advantage, but indeed </w:t>
      </w:r>
      <w:r w:rsidRPr="00DD2D90">
        <w:rPr>
          <w:rStyle w:val="StyleUnderline"/>
        </w:rPr>
        <w:t>the</w:t>
      </w:r>
      <w:r w:rsidRPr="009C4A5A">
        <w:rPr>
          <w:sz w:val="16"/>
        </w:rPr>
        <w:t xml:space="preserve"> very ‘</w:t>
      </w:r>
      <w:r w:rsidRPr="00DD2D90">
        <w:rPr>
          <w:rStyle w:val="StyleUnderline"/>
        </w:rPr>
        <w:t>source of profits</w:t>
      </w:r>
      <w:r w:rsidRPr="009C4A5A">
        <w:rPr>
          <w:sz w:val="16"/>
        </w:rPr>
        <w:t xml:space="preserve"> in modern global markets’ (Drahos and Braithwaite 2002:39,52). In this context, the market itself has been reconfigured as nation-states structure the market not only by enacting national legislation but also by entering into international trade agreements concerning intellectual property rights. And in regulating the system and protecting knowledge as ‘private property’, nation-states ensure that the larger share of the benefits ends up not with the inventors of knowl- edge, but among corporate players with the capacity to erect barriers around these knowledge products (for example, through licensing arrangements) and defend them in both the legal and political arenas. Hence it is the countries behind the development of the intellectual property systems that are the major beneficiaries, with developing countries being net importers of knowledge. Even Australia, with its developed country status and significant capacity for knowledge production, nevertheless pays out significant sums in licensing and patent fees (Drahos and Braithwaite 2002:11). As transnational corporations increasingly claim ownership over the ever- expanding field of biological and medical knowledge, commodification inten- sifies, </w:t>
      </w:r>
      <w:r w:rsidRPr="00DD2D90">
        <w:rPr>
          <w:rStyle w:val="StyleUnderline"/>
          <w:highlight w:val="green"/>
        </w:rPr>
        <w:t>public health is</w:t>
      </w:r>
      <w:r w:rsidRPr="009C4A5A">
        <w:rPr>
          <w:sz w:val="16"/>
          <w:highlight w:val="green"/>
        </w:rPr>
        <w:t xml:space="preserve"> </w:t>
      </w:r>
      <w:r w:rsidRPr="00DD2D90">
        <w:rPr>
          <w:rStyle w:val="Emphasis"/>
          <w:highlight w:val="green"/>
        </w:rPr>
        <w:t>compromised</w:t>
      </w:r>
      <w:r w:rsidRPr="009C4A5A">
        <w:rPr>
          <w:sz w:val="16"/>
          <w:highlight w:val="green"/>
        </w:rPr>
        <w:t xml:space="preserve"> </w:t>
      </w:r>
      <w:r w:rsidRPr="00DD2D90">
        <w:rPr>
          <w:rStyle w:val="StyleUnderline"/>
          <w:highlight w:val="green"/>
        </w:rPr>
        <w:t>and health inequalities</w:t>
      </w:r>
      <w:r w:rsidRPr="009C4A5A">
        <w:rPr>
          <w:sz w:val="16"/>
          <w:highlight w:val="green"/>
        </w:rPr>
        <w:t xml:space="preserve"> </w:t>
      </w:r>
      <w:r w:rsidRPr="00DD2D90">
        <w:rPr>
          <w:rStyle w:val="Emphasis"/>
          <w:highlight w:val="green"/>
        </w:rPr>
        <w:t>exacerbated</w:t>
      </w:r>
      <w:r w:rsidRPr="009C4A5A">
        <w:rPr>
          <w:sz w:val="16"/>
        </w:rPr>
        <w:t xml:space="preserve"> (Negri and Hardt 2001; Nguyen and Peschard 2003:466). This becomes a significant problem for developing countries. For example, </w:t>
      </w:r>
      <w:r w:rsidRPr="00DD2D90">
        <w:rPr>
          <w:rStyle w:val="StyleUnderline"/>
        </w:rPr>
        <w:t>countries most in need of medi- cations for diseases such as HIV/AIDS suffer from the high cost of drugs and also their under-supply</w:t>
      </w:r>
      <w:r w:rsidRPr="009C4A5A">
        <w:rPr>
          <w:sz w:val="16"/>
        </w:rPr>
        <w:t xml:space="preserve">, because worldwide intellectual property relationships work against their pharmaceutical sectors and prevent them from being part of the major political coalitions working in the trade (Shadlen 2007). Marxian analy- sis thus demonstrates the broad range of consequences of capitalist production for the health and well-being of all the world’s populations. Concluding thoughts In the nineteenth century, Marx and Engels offered a critique of prevailing medical theories and liberal ideologies. </w:t>
      </w:r>
      <w:r w:rsidRPr="00DD2D90">
        <w:rPr>
          <w:rStyle w:val="StyleUnderline"/>
          <w:highlight w:val="green"/>
        </w:rPr>
        <w:t xml:space="preserve">Medical </w:t>
      </w:r>
      <w:r w:rsidRPr="00DD2D90">
        <w:rPr>
          <w:rStyle w:val="StyleUnderline"/>
        </w:rPr>
        <w:t xml:space="preserve">theories they </w:t>
      </w:r>
      <w:r w:rsidRPr="00DD2D90">
        <w:rPr>
          <w:rStyle w:val="StyleUnderline"/>
          <w:highlight w:val="green"/>
        </w:rPr>
        <w:t xml:space="preserve">found to be </w:t>
      </w:r>
      <w:r w:rsidRPr="00DD2D90">
        <w:rPr>
          <w:rStyle w:val="Emphasis"/>
          <w:highlight w:val="green"/>
        </w:rPr>
        <w:t>reductionist</w:t>
      </w:r>
      <w:r w:rsidRPr="00DD2D90">
        <w:rPr>
          <w:rStyle w:val="StyleUnderline"/>
          <w:highlight w:val="green"/>
        </w:rPr>
        <w:t xml:space="preserve"> and </w:t>
      </w:r>
      <w:r w:rsidRPr="00DD2D90">
        <w:rPr>
          <w:rStyle w:val="Emphasis"/>
          <w:highlight w:val="green"/>
        </w:rPr>
        <w:t>essentialist</w:t>
      </w:r>
      <w:r w:rsidRPr="00DD2D90">
        <w:rPr>
          <w:rStyle w:val="StyleUnderline"/>
        </w:rPr>
        <w:t xml:space="preserve">, </w:t>
      </w:r>
      <w:r w:rsidRPr="00DD2D90">
        <w:rPr>
          <w:rStyle w:val="StyleUnderline"/>
          <w:highlight w:val="green"/>
        </w:rPr>
        <w:t>assuming disease to be</w:t>
      </w:r>
      <w:r w:rsidRPr="00DD2D90">
        <w:rPr>
          <w:rStyle w:val="StyleUnderline"/>
        </w:rPr>
        <w:t xml:space="preserve"> a product of an ‘abstract’ nature</w:t>
      </w:r>
      <w:r w:rsidRPr="009C4A5A">
        <w:rPr>
          <w:sz w:val="16"/>
        </w:rPr>
        <w:t xml:space="preserve">; </w:t>
      </w:r>
      <w:r w:rsidRPr="00DD2D90">
        <w:rPr>
          <w:rStyle w:val="StyleUnderline"/>
        </w:rPr>
        <w:t xml:space="preserve">and liberal ideologies, </w:t>
      </w:r>
      <w:r w:rsidRPr="00DD2D90">
        <w:rPr>
          <w:rStyle w:val="StyleUnderline"/>
          <w:highlight w:val="green"/>
        </w:rPr>
        <w:t>which held the poor responsible for their</w:t>
      </w:r>
      <w:r w:rsidRPr="00DD2D90">
        <w:rPr>
          <w:rStyle w:val="StyleUnderline"/>
        </w:rPr>
        <w:t xml:space="preserve"> </w:t>
      </w:r>
      <w:r w:rsidRPr="00DD2D90">
        <w:rPr>
          <w:rStyle w:val="StyleUnderline"/>
          <w:highlight w:val="green"/>
        </w:rPr>
        <w:t>own ill- health,</w:t>
      </w:r>
      <w:r w:rsidRPr="00DD2D90">
        <w:rPr>
          <w:rStyle w:val="StyleUnderline"/>
        </w:rPr>
        <w:t xml:space="preserve"> were said to obscure the </w:t>
      </w:r>
      <w:r w:rsidRPr="00DD2D90">
        <w:rPr>
          <w:rStyle w:val="Emphasis"/>
        </w:rPr>
        <w:t>fundamentally</w:t>
      </w:r>
      <w:r w:rsidRPr="00DD2D90">
        <w:rPr>
          <w:rStyle w:val="StyleUnderline"/>
        </w:rPr>
        <w:t xml:space="preserve"> social cause of disease</w:t>
      </w:r>
      <w:r w:rsidRPr="009C4A5A">
        <w:rPr>
          <w:sz w:val="16"/>
        </w:rPr>
        <w:t xml:space="preserve">. Marx and Engels answered with a theory of the dynamic and mutual shaping of material and social bodies in a world where nature is transformed by human produc- tion, as well as a theory of a causal relationship between capitalism, the living conditions of the proletariat, and the infirmities of the body. Although health, healthcare and systems of healthcare have changed signif- icantly since the nineteenth century, the theories of Engels and Marx are still relevant. Contemporary sociologists have extended these to show the historical nature of health and healthcare, and the unique form of medicine estab- lished under capitalism. While capitalism has produced wealth for the major economies, and made it possible for wealthy nation-states in the twentieth century to build public healthcare systems and fund internationally agencies (such as the World Health Organization) to improve the health of popula- tions; the neo-liberal ideologies of capitalism have, since the 1980s, led to the widespread dismantling of these, instead supporting private healthcare sys- tems that enhance capital accumulation and world trade and further embed the inequalities of the class system. While a state of health for some populations still refers to sufficient daily sustenance, shelter and protection from infectious disease; </w:t>
      </w:r>
      <w:r w:rsidRPr="00DD2D90">
        <w:rPr>
          <w:rStyle w:val="StyleUnderline"/>
          <w:highlight w:val="green"/>
        </w:rPr>
        <w:t>among the wealthy</w:t>
      </w:r>
      <w:r w:rsidRPr="009C4A5A">
        <w:rPr>
          <w:sz w:val="16"/>
        </w:rPr>
        <w:t xml:space="preserve"> classes ‘</w:t>
      </w:r>
      <w:r w:rsidRPr="00DD2D90">
        <w:rPr>
          <w:rStyle w:val="StyleUnderline"/>
          <w:highlight w:val="green"/>
        </w:rPr>
        <w:t>health’ has come to mean</w:t>
      </w:r>
      <w:r w:rsidRPr="009C4A5A">
        <w:rPr>
          <w:sz w:val="16"/>
        </w:rPr>
        <w:t xml:space="preserve"> an extended life span, and even </w:t>
      </w:r>
      <w:r w:rsidRPr="00DD2D90">
        <w:rPr>
          <w:rStyle w:val="StyleUnderline"/>
        </w:rPr>
        <w:t xml:space="preserve">the possibility of purchasing </w:t>
      </w:r>
      <w:r w:rsidRPr="00DD2D90">
        <w:rPr>
          <w:rStyle w:val="StyleUnderline"/>
          <w:highlight w:val="green"/>
        </w:rPr>
        <w:t>a new kind of</w:t>
      </w:r>
      <w:r w:rsidRPr="00DD2D90">
        <w:rPr>
          <w:rStyle w:val="StyleUnderline"/>
        </w:rPr>
        <w:t xml:space="preserve"> </w:t>
      </w:r>
      <w:r w:rsidRPr="00DD2D90">
        <w:rPr>
          <w:rStyle w:val="StyleUnderline"/>
          <w:highlight w:val="green"/>
        </w:rPr>
        <w:t>human body</w:t>
      </w:r>
      <w:r w:rsidRPr="009C4A5A">
        <w:rPr>
          <w:sz w:val="16"/>
        </w:rPr>
        <w:t>, much ‘</w:t>
      </w:r>
      <w:r w:rsidRPr="00DD2D90">
        <w:rPr>
          <w:rStyle w:val="StyleUnderline"/>
          <w:highlight w:val="green"/>
        </w:rPr>
        <w:t>improved’</w:t>
      </w:r>
      <w:r w:rsidRPr="009C4A5A">
        <w:rPr>
          <w:sz w:val="16"/>
        </w:rPr>
        <w:t xml:space="preserve"> on the old model </w:t>
      </w:r>
      <w:r w:rsidRPr="00DD2D90">
        <w:rPr>
          <w:rStyle w:val="StyleUnderline"/>
          <w:highlight w:val="green"/>
        </w:rPr>
        <w:t>with replaceable parts</w:t>
      </w:r>
      <w:r w:rsidRPr="009C4A5A">
        <w:rPr>
          <w:sz w:val="16"/>
        </w:rPr>
        <w:t xml:space="preserve"> and various designer fea- tures. This is a state of being unlike that of any previous epoch. As we have seen in this chapter, Marx and Engels have offered the methodology of histori- cal materialism to effectively guide our analysis of the healthcare system. Their insights have been used by many scholars to move beyond the rhetoric and the ideologies of capitalism to acknowledge that healthcare has been different in the past and it is possible for it to be better in the future </w:t>
      </w:r>
    </w:p>
    <w:p w14:paraId="3B5FE8A8" w14:textId="77777777" w:rsidR="00066E3E" w:rsidRPr="009C4A5A" w:rsidRDefault="00066E3E" w:rsidP="00066E3E">
      <w:pPr>
        <w:pStyle w:val="Heading4"/>
        <w:rPr>
          <w:szCs w:val="26"/>
        </w:rPr>
      </w:pPr>
      <w:r w:rsidRPr="009C4A5A">
        <w:rPr>
          <w:szCs w:val="26"/>
        </w:rPr>
        <w:t>Prioritizing solving structural social determinants of health is key to supporting healthcare as a human right</w:t>
      </w:r>
    </w:p>
    <w:p w14:paraId="696D3EE9" w14:textId="77777777" w:rsidR="00066E3E" w:rsidRPr="00DD2D90" w:rsidRDefault="00066E3E" w:rsidP="00066E3E">
      <w:r w:rsidRPr="009C4A5A">
        <w:rPr>
          <w:b/>
          <w:bCs/>
          <w:sz w:val="26"/>
          <w:szCs w:val="26"/>
        </w:rPr>
        <w:t>Abdi et al. 25</w:t>
      </w:r>
      <w:r w:rsidRPr="00DD2D90">
        <w:t xml:space="preserve"> [Yusuf Hared Abdi, Mohamed Sharif Abdi, Sharmake Gaiye Bashir, Naima Ibrahim Ahmed, Yakub Burhan Abdullahi, all practitioners at the Somalian Ministry of Health and Human Services De Martino Public Hospital, 10-26-2025, "Understanding Global Health Inequality and Inequity: Causes, Consequences, and the Path Toward Justice in Healthcare", Wiley Online Library, https://onlinelibrary.wiley.com/doi/10.1002/puh2.70156]/Kankee </w:t>
      </w:r>
    </w:p>
    <w:p w14:paraId="1F134E3B" w14:textId="77777777" w:rsidR="00066E3E" w:rsidRPr="009C4A5A" w:rsidRDefault="00066E3E" w:rsidP="00066E3E">
      <w:pPr>
        <w:rPr>
          <w:sz w:val="16"/>
        </w:rPr>
      </w:pPr>
      <w:r w:rsidRPr="009C4A5A">
        <w:rPr>
          <w:sz w:val="16"/>
        </w:rPr>
        <w:t xml:space="preserve">1 Introduction Health inequality and inequity are critical constructs in the discourse on global public health, underpinning the uneven distribution of health outcomes and access to healthcare services across and within countries [1]. Health inequality refers to observable differences in health status or the allocation of health resources among distinct population groups, often measured through indicators such as life expectancy, disease burden, and service utilization [2]. These </w:t>
      </w:r>
      <w:r w:rsidRPr="00DD2D90">
        <w:rPr>
          <w:rStyle w:val="StyleUnderline"/>
          <w:highlight w:val="green"/>
        </w:rPr>
        <w:t>disparities</w:t>
      </w:r>
      <w:r w:rsidRPr="009C4A5A">
        <w:rPr>
          <w:sz w:val="16"/>
        </w:rPr>
        <w:t xml:space="preserve"> frequently </w:t>
      </w:r>
      <w:r w:rsidRPr="00DD2D90">
        <w:rPr>
          <w:rStyle w:val="StyleUnderline"/>
          <w:highlight w:val="green"/>
        </w:rPr>
        <w:t>reflect social stratification</w:t>
      </w:r>
      <w:r w:rsidRPr="00DD2D90">
        <w:rPr>
          <w:rStyle w:val="StyleUnderline"/>
        </w:rPr>
        <w:t xml:space="preserve"> based on income, education, sex, ethnicity, geography, and other demographic determinants</w:t>
      </w:r>
      <w:r w:rsidRPr="009C4A5A">
        <w:rPr>
          <w:sz w:val="16"/>
        </w:rPr>
        <w:t xml:space="preserve"> [2, 3]. Although health inequalities describe measurable differences, they are defined by their moral dimension, denoting disparities that are avoidable, unjust, and unnecessary [4, 5]. Health inequities typically result from systematic social disadvantages, discrimination, and exclusion, which disproportionately affect marginalized populations and contribute to cumulative health disadvantages [5]. </w:t>
      </w:r>
      <w:r w:rsidRPr="00DD2D90">
        <w:rPr>
          <w:rStyle w:val="StyleUnderline"/>
        </w:rPr>
        <w:t>As</w:t>
      </w:r>
      <w:r w:rsidRPr="009C4A5A">
        <w:rPr>
          <w:sz w:val="16"/>
        </w:rPr>
        <w:t xml:space="preserve"> these </w:t>
      </w:r>
      <w:r w:rsidRPr="00DD2D90">
        <w:rPr>
          <w:rStyle w:val="StyleUnderline"/>
          <w:highlight w:val="green"/>
        </w:rPr>
        <w:t>inequities are socially</w:t>
      </w:r>
      <w:r w:rsidRPr="00DD2D90">
        <w:rPr>
          <w:rStyle w:val="StyleUnderline"/>
        </w:rPr>
        <w:t xml:space="preserve"> </w:t>
      </w:r>
      <w:r w:rsidRPr="00DD2D90">
        <w:rPr>
          <w:rStyle w:val="StyleUnderline"/>
          <w:highlight w:val="green"/>
        </w:rPr>
        <w:t>constructed</w:t>
      </w:r>
      <w:r w:rsidRPr="009C4A5A">
        <w:rPr>
          <w:sz w:val="16"/>
        </w:rPr>
        <w:t xml:space="preserve">, </w:t>
      </w:r>
      <w:r w:rsidRPr="00DD2D90">
        <w:rPr>
          <w:rStyle w:val="StyleUnderline"/>
          <w:highlight w:val="green"/>
        </w:rPr>
        <w:t>they are</w:t>
      </w:r>
      <w:r w:rsidRPr="009C4A5A">
        <w:rPr>
          <w:sz w:val="16"/>
        </w:rPr>
        <w:t xml:space="preserve"> </w:t>
      </w:r>
      <w:r w:rsidRPr="00DD2D90">
        <w:rPr>
          <w:rStyle w:val="StyleUnderline"/>
        </w:rPr>
        <w:t>by nature</w:t>
      </w:r>
      <w:r w:rsidRPr="009C4A5A">
        <w:rPr>
          <w:sz w:val="16"/>
        </w:rPr>
        <w:t xml:space="preserve"> potentially </w:t>
      </w:r>
      <w:r w:rsidRPr="00DD2D90">
        <w:rPr>
          <w:rStyle w:val="StyleUnderline"/>
          <w:highlight w:val="green"/>
        </w:rPr>
        <w:t>remediable through</w:t>
      </w:r>
      <w:r w:rsidRPr="009C4A5A">
        <w:rPr>
          <w:sz w:val="16"/>
        </w:rPr>
        <w:t xml:space="preserve"> intentional policy and </w:t>
      </w:r>
      <w:r w:rsidRPr="00DD2D90">
        <w:rPr>
          <w:rStyle w:val="StyleUnderline"/>
          <w:highlight w:val="green"/>
        </w:rPr>
        <w:t>structural change</w:t>
      </w:r>
      <w:r w:rsidRPr="009C4A5A">
        <w:rPr>
          <w:sz w:val="16"/>
        </w:rPr>
        <w:t xml:space="preserve"> [6]. The concept of </w:t>
      </w:r>
      <w:r w:rsidRPr="00DD2D90">
        <w:rPr>
          <w:rStyle w:val="StyleUnderline"/>
          <w:highlight w:val="green"/>
        </w:rPr>
        <w:t>health equity</w:t>
      </w:r>
      <w:r w:rsidRPr="009C4A5A">
        <w:rPr>
          <w:sz w:val="16"/>
        </w:rPr>
        <w:t xml:space="preserve"> is embedded in the broader framework of human rights, which </w:t>
      </w:r>
      <w:r w:rsidRPr="00DD2D90">
        <w:rPr>
          <w:rStyle w:val="StyleUnderline"/>
          <w:highlight w:val="green"/>
        </w:rPr>
        <w:t>calls for the elimination of unfair and avoidable differences in health</w:t>
      </w:r>
      <w:r w:rsidRPr="009C4A5A">
        <w:rPr>
          <w:sz w:val="16"/>
        </w:rPr>
        <w:t xml:space="preserve"> and access to care as well as equitable health financing and distribution of resources [7]. The persistence of health inequalities is a global concern. Empirical evidence illustrates that, </w:t>
      </w:r>
      <w:r w:rsidRPr="00DD2D90">
        <w:rPr>
          <w:rStyle w:val="StyleUnderline"/>
        </w:rPr>
        <w:t xml:space="preserve">even within high-income settings, socially and economically </w:t>
      </w:r>
      <w:r w:rsidRPr="00DD2D90">
        <w:rPr>
          <w:rStyle w:val="StyleUnderline"/>
          <w:highlight w:val="green"/>
        </w:rPr>
        <w:t>marginalized groups experience</w:t>
      </w:r>
      <w:r w:rsidRPr="00DD2D90">
        <w:rPr>
          <w:rStyle w:val="StyleUnderline"/>
        </w:rPr>
        <w:t xml:space="preserve"> </w:t>
      </w:r>
      <w:r w:rsidRPr="00DD2D90">
        <w:rPr>
          <w:rStyle w:val="StyleUnderline"/>
          <w:highlight w:val="green"/>
        </w:rPr>
        <w:t>disproportionately poor health outcomes</w:t>
      </w:r>
      <w:r w:rsidRPr="009C4A5A">
        <w:rPr>
          <w:sz w:val="16"/>
        </w:rPr>
        <w:t xml:space="preserve"> [7, 8]. In low- and middle-income countries (LMICs), regional disparities in healthcare access and service utilization, particularly in maternal and child health, remain stark, with Asia and Africa exhibiting the most significant intraregional inequalities [9]. Furthermore, the global burden of diseases spanning communicable and non-communicable diseases (NCDs) and injuries remains inequitably distributed, reflecting entrenched systemic inequities [3]. </w:t>
      </w:r>
      <w:r w:rsidRPr="00DD2D90">
        <w:rPr>
          <w:rStyle w:val="StyleUnderline"/>
          <w:highlight w:val="green"/>
        </w:rPr>
        <w:t>Structural determinants</w:t>
      </w:r>
      <w:r w:rsidRPr="009C4A5A">
        <w:rPr>
          <w:sz w:val="16"/>
        </w:rPr>
        <w:t xml:space="preserve">, such as globalization and neoliberal economic policies, have </w:t>
      </w:r>
      <w:r w:rsidRPr="00DD2D90">
        <w:rPr>
          <w:rStyle w:val="StyleUnderline"/>
        </w:rPr>
        <w:t>exacerbated</w:t>
      </w:r>
      <w:r w:rsidRPr="009C4A5A">
        <w:rPr>
          <w:sz w:val="16"/>
        </w:rPr>
        <w:t xml:space="preserve"> these </w:t>
      </w:r>
      <w:r w:rsidRPr="00DD2D90">
        <w:rPr>
          <w:rStyle w:val="StyleUnderline"/>
        </w:rPr>
        <w:t xml:space="preserve">disparities by shaping the distribution of power, resources, and opportunities in ways that </w:t>
      </w:r>
      <w:r w:rsidRPr="00DD2D90">
        <w:rPr>
          <w:rStyle w:val="StyleUnderline"/>
          <w:highlight w:val="green"/>
        </w:rPr>
        <w:t>reinforce</w:t>
      </w:r>
      <w:r w:rsidRPr="00DD2D90">
        <w:rPr>
          <w:rStyle w:val="StyleUnderline"/>
        </w:rPr>
        <w:t xml:space="preserve"> </w:t>
      </w:r>
      <w:r w:rsidRPr="00DD2D90">
        <w:rPr>
          <w:rStyle w:val="StyleUnderline"/>
          <w:highlight w:val="green"/>
        </w:rPr>
        <w:t>disadvantages</w:t>
      </w:r>
      <w:r w:rsidRPr="009C4A5A">
        <w:rPr>
          <w:sz w:val="16"/>
        </w:rPr>
        <w:t xml:space="preserve"> [10]. Global health inequity is an issue related to vaccine distribution during the COVID-19 pandemic [7]. High-income countries (HICs) have significantly higher vaccination rates than low-income countries by the end of 2021 [6, 11]. Specifically, 64.1% of individuals in HICs had received at least one dose, whereas only 5.4% of people in low-income countries had received this dose. Moreover, nearly 75% of the population in HICs was fully vaccinated, compared to only 21% in low-income countries [6]. Beyond these numbers, the distribution of the most effective vaccines, namely, Pfizer–BioNTech and Moderna, was heavily skewed in favor of wealthy nations, whereas LMICs primarily received the Oxford–AstraZeneca vaccine despite growing evidence of efficacy disparities by late 2021 [10, 12]. This inequity was exacerbated by vaccine nationalism, as HICs secured substantial supplies through advance purchase agreements, effectively monopolizing production and leaving LMICs reliant on delayed or surplus supplies [6, 10]. Such patterns reinforce historical structural inequalities, demonstrating that global market forces and geopolitical interests often override public health equity [6]. Addressing global health inequality and inequity is an urgent and ethical imperative. Despite overall improvements in health outcomes globally, socioeconomic health disparities have persisted and widened in some contexts [13]. The 2015 United Nations Sustainable Development Goals (SDGs) underscore the importance of equity as a cross-cutting principle, particularly in the goal of ensuring healthy lives and promoting well-being for all at all ages [5, 13]. The COVID-19 pandemic has further exposed the depth of existing health inequities, disproportionately affecting vulnerable populations, including people with disabilities, who face higher risks of infection, severe illness, and mortality [14]. </w:t>
      </w:r>
      <w:r w:rsidRPr="00DD2D90">
        <w:rPr>
          <w:rStyle w:val="StyleUnderline"/>
          <w:highlight w:val="green"/>
        </w:rPr>
        <w:t>Tackling these inequities requires</w:t>
      </w:r>
      <w:r w:rsidRPr="00DD2D90">
        <w:rPr>
          <w:rStyle w:val="StyleUnderline"/>
        </w:rPr>
        <w:t xml:space="preserve"> an in-depth understanding of their </w:t>
      </w:r>
      <w:r w:rsidRPr="00DD2D90">
        <w:rPr>
          <w:rStyle w:val="StyleUnderline"/>
          <w:highlight w:val="green"/>
        </w:rPr>
        <w:t>structural</w:t>
      </w:r>
      <w:r w:rsidRPr="00DD2D90">
        <w:rPr>
          <w:rStyle w:val="StyleUnderline"/>
        </w:rPr>
        <w:t xml:space="preserve"> roots and transformative </w:t>
      </w:r>
      <w:r w:rsidRPr="00DD2D90">
        <w:rPr>
          <w:rStyle w:val="StyleUnderline"/>
          <w:highlight w:val="green"/>
        </w:rPr>
        <w:t>change</w:t>
      </w:r>
      <w:r w:rsidRPr="00DD2D90">
        <w:rPr>
          <w:rStyle w:val="StyleUnderline"/>
        </w:rPr>
        <w:t xml:space="preserve"> at the individual, institutional, and policy levels</w:t>
      </w:r>
      <w:r w:rsidRPr="009C4A5A">
        <w:rPr>
          <w:sz w:val="16"/>
        </w:rPr>
        <w:t xml:space="preserve"> [1]. </w:t>
      </w:r>
      <w:r w:rsidRPr="00DD2D90">
        <w:rPr>
          <w:rStyle w:val="StyleUnderline"/>
          <w:highlight w:val="green"/>
        </w:rPr>
        <w:t>Failure</w:t>
      </w:r>
      <w:r w:rsidRPr="00DD2D90">
        <w:rPr>
          <w:rStyle w:val="StyleUnderline"/>
        </w:rPr>
        <w:t xml:space="preserve"> to do so not only </w:t>
      </w:r>
      <w:r w:rsidRPr="00DD2D90">
        <w:rPr>
          <w:rStyle w:val="StyleUnderline"/>
          <w:highlight w:val="green"/>
        </w:rPr>
        <w:t xml:space="preserve">perpetuates injustice and </w:t>
      </w:r>
      <w:r w:rsidRPr="00DD2D90">
        <w:rPr>
          <w:rStyle w:val="StyleUnderline"/>
        </w:rPr>
        <w:t xml:space="preserve">human </w:t>
      </w:r>
      <w:r w:rsidRPr="00DD2D90">
        <w:rPr>
          <w:rStyle w:val="StyleUnderline"/>
          <w:highlight w:val="green"/>
        </w:rPr>
        <w:t>suffering but also hinders</w:t>
      </w:r>
      <w:r w:rsidRPr="00DD2D90">
        <w:rPr>
          <w:rStyle w:val="StyleUnderline"/>
        </w:rPr>
        <w:t xml:space="preserve"> global efforts toward </w:t>
      </w:r>
      <w:r w:rsidRPr="00DD2D90">
        <w:rPr>
          <w:rStyle w:val="StyleUnderline"/>
          <w:highlight w:val="green"/>
        </w:rPr>
        <w:t>sustainable</w:t>
      </w:r>
      <w:r w:rsidRPr="00DD2D90">
        <w:rPr>
          <w:rStyle w:val="StyleUnderline"/>
        </w:rPr>
        <w:t xml:space="preserve"> and inclusive </w:t>
      </w:r>
      <w:r w:rsidRPr="00DD2D90">
        <w:rPr>
          <w:rStyle w:val="StyleUnderline"/>
          <w:highlight w:val="green"/>
        </w:rPr>
        <w:t>development</w:t>
      </w:r>
      <w:r w:rsidRPr="009C4A5A">
        <w:rPr>
          <w:sz w:val="16"/>
        </w:rPr>
        <w:t xml:space="preserve">. Therefore, </w:t>
      </w:r>
      <w:r w:rsidRPr="00DD2D90">
        <w:rPr>
          <w:rStyle w:val="StyleUnderline"/>
        </w:rPr>
        <w:t xml:space="preserve">a </w:t>
      </w:r>
      <w:r w:rsidRPr="00DD2D90">
        <w:rPr>
          <w:rStyle w:val="Emphasis"/>
        </w:rPr>
        <w:t>paradigm shift</w:t>
      </w:r>
      <w:r w:rsidRPr="00DD2D90">
        <w:rPr>
          <w:rStyle w:val="StyleUnderline"/>
        </w:rPr>
        <w:t xml:space="preserve"> is </w:t>
      </w:r>
      <w:r w:rsidRPr="009C4A5A">
        <w:rPr>
          <w:sz w:val="16"/>
        </w:rPr>
        <w:t>an</w:t>
      </w:r>
      <w:r w:rsidRPr="00DD2D90">
        <w:rPr>
          <w:rStyle w:val="StyleUnderline"/>
        </w:rPr>
        <w:t xml:space="preserve"> </w:t>
      </w:r>
      <w:r w:rsidRPr="00DD2D90">
        <w:rPr>
          <w:rStyle w:val="Emphasis"/>
        </w:rPr>
        <w:t>essential</w:t>
      </w:r>
      <w:r w:rsidRPr="009C4A5A">
        <w:rPr>
          <w:sz w:val="16"/>
        </w:rPr>
        <w:t xml:space="preserve"> one that emphasizes social justice, equitable redistribution of power and resources, and inclusive health governance to achieve health equity for all populations [15]. This article examines the structural causes, consequences, and solutions of health inequities globally, emphasizing justice-oriented policy reform. 2 Methods This narrative review was conducted to critically examine global health inequality and inequity, emphasizing a comprehensive synthesis of theoretical frameworks and empirical evidence. A selective literature search was performed across PubMed, Google Scholar, and Research Rabbit databases using search terms including “global health inequality,” “health equity,” “commercial determinants of health (CDoH),” “intellectual property rights health,” “neglected tropical diseases (NTDs),” “digital health divide,” “environmental degradation health,” “conflict health inequality,” “rights-based approaches health,” and “historical injustice global health.” The search strategy employed both individual and combined terms to capture the multidimensional nature of global health inequities. Literature selection prioritized peer-reviewed articles, reports from international organizations (WHO, UN, World Bank), and gray literature that addressed structural determinants, systemic patterns of health disparities, and theoretical frameworks. This narrative approach allowed for critical synthesis and theoretical engagement with complex, interconnected factors driving global health inequities while acknowledging the inherent limitations of non-systematic methodologies, including potential selection bias and incomplete coverage of all relevant literature. 2.1 Conceptual Framework: Inequality vs. Inequity Health inequality and health inequity, although often used interchangeably, represent distinct conceptual frameworks that are essential for understanding global health disparities [7]. Health inequality refers to measurable differences in health outcomes or resource distribution between populations, which may arise from natural variation, personal choices, or unavoidable circumstances, such as genetic factors or age-related changes [13]. By contrast, </w:t>
      </w:r>
      <w:r w:rsidRPr="00DD2D90">
        <w:rPr>
          <w:rStyle w:val="StyleUnderline"/>
        </w:rPr>
        <w:t>health inequity denotes unfair, avoidable, and systematic differences rooted in social injustice, discrimination, and structural barriers that prevent equal access to health-determining resources and opportunities</w:t>
      </w:r>
      <w:r w:rsidRPr="009C4A5A">
        <w:rPr>
          <w:sz w:val="16"/>
        </w:rPr>
        <w:t xml:space="preserve"> [16]. This distinction is critical in policy formulation and intervention design [17, 18]. Under what conditions are health inequalities considered unjust? Drawing from Whitehead's seminal work and subsequent theoretical developments, </w:t>
      </w:r>
      <w:r w:rsidRPr="00DD2D90">
        <w:rPr>
          <w:rStyle w:val="StyleUnderline"/>
        </w:rPr>
        <w:t>health differences become inequitable when they are</w:t>
      </w:r>
      <w:r w:rsidRPr="009C4A5A">
        <w:rPr>
          <w:sz w:val="16"/>
        </w:rPr>
        <w:t xml:space="preserve"> (1) </w:t>
      </w:r>
      <w:r w:rsidRPr="00DD2D90">
        <w:rPr>
          <w:rStyle w:val="StyleUnderline"/>
        </w:rPr>
        <w:t>systematically associated with social disadvantage</w:t>
      </w:r>
      <w:r w:rsidRPr="009C4A5A">
        <w:rPr>
          <w:sz w:val="16"/>
        </w:rPr>
        <w:t xml:space="preserve">, (2) </w:t>
      </w:r>
      <w:r w:rsidRPr="00DD2D90">
        <w:rPr>
          <w:rStyle w:val="StyleUnderline"/>
        </w:rPr>
        <w:t>modifiable through reasonable policy interventions</w:t>
      </w:r>
      <w:r w:rsidRPr="009C4A5A">
        <w:rPr>
          <w:sz w:val="16"/>
        </w:rPr>
        <w:t xml:space="preserve">, (3) </w:t>
      </w:r>
      <w:r w:rsidRPr="00DD2D90">
        <w:rPr>
          <w:rStyle w:val="StyleUnderline"/>
        </w:rPr>
        <w:t>arise from unfair distribution of social determinants of health, and</w:t>
      </w:r>
      <w:r w:rsidRPr="009C4A5A">
        <w:rPr>
          <w:sz w:val="16"/>
        </w:rPr>
        <w:t xml:space="preserve"> (4) </w:t>
      </w:r>
      <w:r w:rsidRPr="00DD2D90">
        <w:rPr>
          <w:rStyle w:val="StyleUnderline"/>
        </w:rPr>
        <w:t>violate</w:t>
      </w:r>
      <w:r w:rsidRPr="009C4A5A">
        <w:rPr>
          <w:sz w:val="16"/>
        </w:rPr>
        <w:t xml:space="preserve"> the principles of </w:t>
      </w:r>
      <w:r w:rsidRPr="00DD2D90">
        <w:rPr>
          <w:rStyle w:val="StyleUnderline"/>
        </w:rPr>
        <w:t>human dignity and rights</w:t>
      </w:r>
      <w:r w:rsidRPr="009C4A5A">
        <w:rPr>
          <w:sz w:val="16"/>
        </w:rPr>
        <w:t xml:space="preserve"> [19, 20]. This framework guided our analysis of global health disparities, focusing on addressable injustices rather than inevitable variations [19]. 2.2 CDoH and Global Inequity A critical gap in traditional global health discourse has been insufficient attention paid to CDoH—the ways in which commercial actors and systems influence health outcomes and equity [21, 22]. Commercial determinants encompass the practices, products, and power dynamics of private-sector entities that affect population health, often disproportionately affecting vulnerable populations [21, 23]. These include the marketing strategies of unhealthy commodity industries (tobacco, alcohol, and ultra-processed foods), pharmaceutical pricing mechanisms that limit access to essential medicines, and corporate influence on health policy through lobbying and regulatory capture [24, 25]. The COVID-19 pandemic has illustrated how </w:t>
      </w:r>
      <w:r w:rsidRPr="00DD2D90">
        <w:rPr>
          <w:rStyle w:val="StyleUnderline"/>
        </w:rPr>
        <w:t>commercial interests can override public health equity</w:t>
      </w:r>
      <w:r w:rsidRPr="009C4A5A">
        <w:rPr>
          <w:sz w:val="16"/>
        </w:rPr>
        <w:t xml:space="preserve"> [26, 27]. Intellectual property rights regimes, although intended to incentivize innovation, created barriers to equitable vaccine access when pharmaceutical companies prioritized profit maximization over global health security [26]. The concentration of vaccine production in HICs, combined with aggressive patent protection, exemplifies how commercial determinants can perpetuate global health inequities [28]. Trade agreements, particularly those strengthening intellectual property protection, often constrain LMICs’ abilities to produce or import affordable generic medicines and health technologies [29, 30]. 2.3 NTDs and Health Equity NTDs represent paradigmatic examples of how global health inequities manifest [31]. Affecting over one billion people, predominantly in low-income settings, NTDs persist not due to lack of medical knowledge, but because they affect populations with limited economic and political power [31, 32]. Market failure in NTD R&amp;D reflects broader patterns, where commercial incentives align poorly with global health needs [31]. These diseases perpetuate cycles of poverty and social exclusion, particularly affecting women, children, and marginalized communities who bear the greatest burden yet have the least voice in a health priority setting [31, 32]. The WHO's neglected tropical disease roadmap represents an important framework for addressing these inequities, emphasizing cross-sectoral collaboration, community engagement, and integrated interventions [31]. However, sustainable progress requires addressing the underlying social determinants, strengthening health systems, and ensuring meaningful participation of affected communities in program design and implementation [31, 32]. 2.4 Digital Health Divide and Access Inequities The rapid digitization of healthcare has created new dimensions of health inequity through the digital health divide [33, 34]. Although digital health technologies offer unprecedented opportunities to improve access to and quality of care, they often exacerbate existing disparities by privileging populations with greater digital literacy, technological access, and economic resources [33, 34]. The digital divide operates at multiple levels: access to devices and internet connectivity (first-level divide), digital skills and health literacy (second-level divide), and differential benefits from digital health interventions (third-level divide) [33, 34]. In LMICs, inadequate digital infrastructure, limited technological access, and low digital literacy create barriers to telehealth services, electronic health records, and digital health information [33, 34]. Even when digital health solutions are available, they may not be culturally appropriate or linguistically accessible to a diverse population. Addressing the digital health divide requires targeted investments in infrastructure, digital literacy programs, and inclusive design principles that prioritize equity [33, 34]. 2.5 Health Workforce Distribution and Global Inequities Global health workforce distribution represents a fundamental driver of health inequities, with a six-fold difference in health worker density between high-income and low-income countries [35, 36]. This inequitable distribution results from complex factors including limited health worker production capacity in low-resource settings, inadequate working conditions and compensation, and migration patterns that facilitate “brain drain” from countries that most need health workers [35, 37]. The COVID-19 pandemic highlighted how health workforce shortages disproportionately affect vulnerable populations’ access to care [37]. In sub-Saharan Africa, where the burden of communicable diseases remains high and NCDs are rising, health worker shortages constrain system capacity to address population health needs effectively [38, 39]. Addressing workforce inequities requires coordinated global action, including ethical recruitment practices, investment in health worker education and retention in low-resource settings, and the recognition of diverse health worker roles, including community health workers [37, 40]. 2.6 Environmental Degradation, Conflict, and Health Inequities Environmental degradation and conflict represent interconnected drivers of global health inequities that disproportionately affect populations in LMICs [41, 42]. Climate change, environmental pollution, and resource scarcity contribute to health inequities through multiple pathways: direct health impacts from extreme weather events and pollution exposure; indirect effects through food insecurity and forced migration; and exacerbation of existing social vulnerabilities [41, 42]. Conflict and environmental degradation often create vicious cycles, where resource scarcity contributes to social tensions, whereas conflict further degrades environmental conditions. In fragile and conflict-affected states, health systems are particularly vulnerable to disruption, leaving populations with no access to essential services during critical periods. Women, children, and marginalized groups bear disproportionate burdens during conflicts and experience increased risks of gender-based violence, malnutrition, and communicable disease outbreaks [42, 43]. Academically, health inequality often has a bivariate connotation, investigating whether people with “better” health also have a high income or material well-being [4]. Health inequities, on the other hand, are disparities that are unnecessary, avoidable, unfair, unjust, and systematically disadvantage socially disadvantaged groups with respect to their health [4]. HICs such as the United States often exhibit health disparities across different socioeconomic, racial, and ethnic groups, even with a relatively well-resourced healthcare system [44]. For instance, </w:t>
      </w:r>
      <w:r w:rsidRPr="00DD2D90">
        <w:rPr>
          <w:rStyle w:val="StyleUnderline"/>
        </w:rPr>
        <w:t xml:space="preserve">racial and ethnic </w:t>
      </w:r>
      <w:r w:rsidRPr="00DD2D90">
        <w:rPr>
          <w:rStyle w:val="StyleUnderline"/>
          <w:highlight w:val="green"/>
        </w:rPr>
        <w:t>minority groups</w:t>
      </w:r>
      <w:r w:rsidRPr="00DD2D90">
        <w:rPr>
          <w:rStyle w:val="StyleUnderline"/>
        </w:rPr>
        <w:t xml:space="preserve"> with disabilities </w:t>
      </w:r>
      <w:r w:rsidRPr="00DD2D90">
        <w:rPr>
          <w:rStyle w:val="StyleUnderline"/>
          <w:highlight w:val="green"/>
        </w:rPr>
        <w:t>in the</w:t>
      </w:r>
      <w:r w:rsidRPr="00DD2D90">
        <w:rPr>
          <w:rStyle w:val="StyleUnderline"/>
        </w:rPr>
        <w:t xml:space="preserve"> </w:t>
      </w:r>
      <w:r w:rsidRPr="00DD2D90">
        <w:rPr>
          <w:rStyle w:val="StyleUnderline"/>
          <w:highlight w:val="green"/>
        </w:rPr>
        <w:t>U</w:t>
      </w:r>
      <w:r w:rsidRPr="00DD2D90">
        <w:rPr>
          <w:rStyle w:val="StyleUnderline"/>
        </w:rPr>
        <w:t xml:space="preserve">nited </w:t>
      </w:r>
      <w:r w:rsidRPr="00DD2D90">
        <w:rPr>
          <w:rStyle w:val="StyleUnderline"/>
          <w:highlight w:val="green"/>
        </w:rPr>
        <w:t>S</w:t>
      </w:r>
      <w:r w:rsidRPr="00DD2D90">
        <w:rPr>
          <w:rStyle w:val="StyleUnderline"/>
        </w:rPr>
        <w:t xml:space="preserve">tates may </w:t>
      </w:r>
      <w:r w:rsidRPr="00DD2D90">
        <w:rPr>
          <w:rStyle w:val="StyleUnderline"/>
          <w:highlight w:val="green"/>
        </w:rPr>
        <w:t>experience</w:t>
      </w:r>
      <w:r w:rsidRPr="00DD2D90">
        <w:rPr>
          <w:rStyle w:val="StyleUnderline"/>
        </w:rPr>
        <w:t xml:space="preserve"> </w:t>
      </w:r>
      <w:r w:rsidRPr="00DD2D90">
        <w:rPr>
          <w:rStyle w:val="StyleUnderline"/>
          <w:highlight w:val="green"/>
        </w:rPr>
        <w:t>disparities in health, insurance coverage, and health service use</w:t>
      </w:r>
      <w:r w:rsidRPr="00DD2D90">
        <w:rPr>
          <w:rStyle w:val="StyleUnderline"/>
        </w:rPr>
        <w:t xml:space="preserve"> compared to white individuals with disabilities</w:t>
      </w:r>
      <w:r w:rsidRPr="009C4A5A">
        <w:rPr>
          <w:sz w:val="16"/>
        </w:rPr>
        <w:t xml:space="preserve"> [14]. </w:t>
      </w:r>
      <w:r w:rsidRPr="00DD2D90">
        <w:rPr>
          <w:rStyle w:val="StyleUnderline"/>
        </w:rPr>
        <w:t>This</w:t>
      </w:r>
      <w:r w:rsidRPr="009C4A5A">
        <w:rPr>
          <w:sz w:val="16"/>
        </w:rPr>
        <w:t xml:space="preserve"> </w:t>
      </w:r>
      <w:r w:rsidRPr="00DD2D90">
        <w:rPr>
          <w:rStyle w:val="StyleUnderline"/>
        </w:rPr>
        <w:t xml:space="preserve">finding can be </w:t>
      </w:r>
      <w:r w:rsidRPr="00DD2D90">
        <w:rPr>
          <w:rStyle w:val="StyleUnderline"/>
          <w:highlight w:val="green"/>
        </w:rPr>
        <w:t>linked to</w:t>
      </w:r>
      <w:r w:rsidRPr="00DD2D90">
        <w:rPr>
          <w:rStyle w:val="StyleUnderline"/>
        </w:rPr>
        <w:t xml:space="preserve"> factors such as income </w:t>
      </w:r>
      <w:r w:rsidRPr="00DD2D90">
        <w:rPr>
          <w:rStyle w:val="StyleUnderline"/>
          <w:highlight w:val="green"/>
        </w:rPr>
        <w:t>inequality</w:t>
      </w:r>
      <w:r w:rsidRPr="009C4A5A">
        <w:rPr>
          <w:sz w:val="16"/>
        </w:rPr>
        <w:t xml:space="preserve"> [45]. These factors operate at different levels individual, community, national, and global shaping health outcomes through complex, interrelated pathways. Although these are significant and often inequitable inequalities, the fundamental health system infrastructure might be more developed than in many low-income countries [44]. Low-income countries often face systemic inequities in healthcare access and outcomes owing to widespread poverty, limited resources, and weaker health systems [46]. The WHO's work highlights that LMICs account for almost all pregnancy-related mortalities, largely preventable through adequate utilization of essential maternal healthcare services but hindered by policy- and capacity-related barriers and widespread inequality [9]. For example, in some low-income countries, more than three-quarters of women may remain deprived of antenatal care (ANC) and skilled birth assistance (SBA) services [9]. These inequities are often deeply embedded in social, economic, and political structures, limiting access to basic necessities, such as safe water, sanitation, and healthcare for large segments of the population [47]. The inverse care law describes how those most in need of health care are least likely to receive it, often compounded by their socioeconomic disadvantage [8]. In essence, although a high-income country such as the United States might have disparities arising from factors such as unequal access to insurance or discriminatory practices within the system, a low-income country might have systemic inequities where the entire health system struggles to provide basic care to a significant portion of its population due to resource constraints and structural barriers [14]. Monitoring these inequalities and understanding whether they are inequitable are crucial for developing effective public health policies aimed at promoting health equity [5, 44]. This observation (Figure 1) provides a comparative visual representation of the concepts of equality and equity in the context of mental health access and support. On the left side labeled “Equality,” individuals are given identical support platforms regardless of their differing needs or circumstances. Although each person receives the same assistance, the outcome remains unequal, particularly evident for individuals using a wheelchair who cannot reach the same level of mental well-being as others. Conversely, the right side labeled “Equity” illustrates an approach where support is tailored according to individual needs, resulting in a more balanced outcome. Here, the wheelchair user is provided with enhanced support, allowing them to reach the same mental health threshold as their peers. This distinction emphasizes that equitable interventions—those that consider and respond to diverse individual conditions—are more effective in achieving fair and just outcomes in public health, particularly mental health. This image underscores the importance of equity over equality in health systems and policy design, highlighting how equal treatment does not necessarily yield equal results when the starting conditions are inherently unequal. 3 Determinants of Global Health Inequality and Inequity Global health inequality and inequity represent profound challenges in the pursuit of well-being, manifesting as unfair and avoidable differences in health status and access to healthcare across and within countries [8]. These disparities are shaped by a complex interplay of interconnected determinants that operate at individual, community, national, and global levels. Socioeconomic status, encompassing factors such as poverty and income gaps, is a fundamental determinant of global health inequality [8, 48]. Inequities in power, money, and resources drive disparities in the conditions under which people are born, live, work, and age [49]. The paradoxical “development gap” between opulence and deprivation results in staggering global inequalities, excluding many from mainstream economic activity and consequently impacting health outcomes [47]. Indeed, lower socioeconomic status is consistently associated with poorer health, reduced access to quality healthcare, and an increased risk of both communicable diseases and NCDs [8, 48]. Income inequality has been shown to have more harmful effects on health in poor countries than in rich ones, indicating a global gradient in this relationship [45]. Education and health literacy are critical factors that influence an individual's ability to navigate the healthcare system, adopt healthy behaviors, and understand health information [50]. Limited health literacy, particularly among vulnerable populations, such as migrants, can contribute to inequity in health and healthcare, leading to poorer communication with healthcare providers and reduced benefits from health interventions [51]. Furthermore, lower education levels are often intertwined with lower socioeconomic status, compounding health disadvantages [14]. Gender and minority discrimination are pervasive social determinants that contribute significantly to global health inequity [5]. </w:t>
      </w:r>
      <w:r w:rsidRPr="00DD2D90">
        <w:rPr>
          <w:rStyle w:val="StyleUnderline"/>
        </w:rPr>
        <w:t>Discrimination based on gender, race, ethnicity, and other minority statuses can lead to systemic disadvantages in access to resources, including healthcare</w:t>
      </w:r>
      <w:r w:rsidRPr="009C4A5A">
        <w:rPr>
          <w:sz w:val="16"/>
        </w:rPr>
        <w:t xml:space="preserve">, education, and employment, ultimately impacting health outcomes [50, 52]. Health inequity researchers emphasize that </w:t>
      </w:r>
      <w:r w:rsidRPr="00DD2D90">
        <w:rPr>
          <w:rStyle w:val="StyleUnderline"/>
        </w:rPr>
        <w:t>systems of marginalization, such as racism and sexism, are at the core of racial and non-racial health inequities</w:t>
      </w:r>
      <w:r w:rsidRPr="009C4A5A">
        <w:rPr>
          <w:sz w:val="16"/>
        </w:rPr>
        <w:t xml:space="preserve">, operating at the macro, meso, and micro levels [52]. Addressing health inequalities requires confronting the centrality of subordination favored by policies, practices, norms, and cultures that disadvantage certain social groups [6]. Geographic barriers, particularly the divide between rural and urban areas, present significant obstacles in achieving health equity [50]. Rural populations often face challenges related to the distance to healthcare facilities, limited availability of healthcare professionals, and poorer infrastructure, leading to reduced access to timely and quality care [50, 53]. These disparities can result in poorer health outcomes for individuals living in remote or underserved areas compared with their urban counterparts [50]. Health system capacity and coverage are crucial for ensuring equitable access to healthcare services [8]. Inadequate health system capacity, characterized by limited human resources, lack of training, and skill gaps among healthcare workers, can hinder access to care, particularly for marginalized populations such as persons with disabilities who may require longer or more frequent sessions and reasonable accommodations [14]. Universal health coverage (UHC), aimed at providing all people with access to needed health services without financial hardship, is a stated objective for many governments and international organizations; however, achieving equitable UHC requires addressing disparities in access, utilization, and quality of care [8, 54]. Global health inequality and inequity are multifaceted issues driven by a complex web of interconnected determinants. Addressing these disparities and moving toward justice in healthcare necessitates comprehensive and coordinated efforts that tackle socioeconomic disadvantages, improve education and health literacy, combat discrimination, overcome geographic barriers, strengthen health system capacity, and promote stable and equitable political environments. Recognizing the interplay between these factors is crucial for designing effective interventions and policies aimed at achieving health equity. 3.1 Human Rights Framework and Global Health Equity Human rights frameworks provide the essential foundations for addressing global health inequities by establishing legal obligations, normative standards, and accountability mechanisms [55]. The right to health enshrined in international human rights law encompasses both individual entitlements to healthcare services and collective rights to the underlying determinants of health, including clean water, sanitation, food security, and safe environments [55]. </w:t>
      </w:r>
      <w:r w:rsidRPr="00DD2D90">
        <w:rPr>
          <w:rStyle w:val="StyleUnderline"/>
          <w:highlight w:val="green"/>
        </w:rPr>
        <w:t>Rights-based approaches</w:t>
      </w:r>
      <w:r w:rsidRPr="00DD2D90">
        <w:rPr>
          <w:rStyle w:val="StyleUnderline"/>
        </w:rPr>
        <w:t xml:space="preserve"> to</w:t>
      </w:r>
      <w:r w:rsidRPr="009C4A5A">
        <w:rPr>
          <w:sz w:val="16"/>
        </w:rPr>
        <w:t xml:space="preserve"> global </w:t>
      </w:r>
      <w:r w:rsidRPr="00DD2D90">
        <w:rPr>
          <w:rStyle w:val="StyleUnderline"/>
        </w:rPr>
        <w:t>health</w:t>
      </w:r>
      <w:r w:rsidRPr="009C4A5A">
        <w:rPr>
          <w:sz w:val="16"/>
        </w:rPr>
        <w:t xml:space="preserve"> equity </w:t>
      </w:r>
      <w:r w:rsidRPr="00DD2D90">
        <w:rPr>
          <w:rStyle w:val="StyleUnderline"/>
          <w:highlight w:val="green"/>
        </w:rPr>
        <w:t>emphasize</w:t>
      </w:r>
      <w:r w:rsidRPr="009C4A5A">
        <w:rPr>
          <w:sz w:val="16"/>
        </w:rPr>
        <w:t xml:space="preserve"> several key principles: </w:t>
      </w:r>
      <w:r w:rsidRPr="00DD2D90">
        <w:rPr>
          <w:rStyle w:val="StyleUnderline"/>
          <w:highlight w:val="green"/>
        </w:rPr>
        <w:t xml:space="preserve">non-discrimination </w:t>
      </w:r>
      <w:r w:rsidRPr="00DD2D90">
        <w:rPr>
          <w:rStyle w:val="StyleUnderline"/>
        </w:rPr>
        <w:t xml:space="preserve">and </w:t>
      </w:r>
      <w:r w:rsidRPr="00DD2D90">
        <w:rPr>
          <w:rStyle w:val="StyleUnderline"/>
          <w:highlight w:val="green"/>
        </w:rPr>
        <w:t>equality</w:t>
      </w:r>
      <w:r w:rsidRPr="009C4A5A">
        <w:rPr>
          <w:sz w:val="16"/>
        </w:rPr>
        <w:t xml:space="preserve">, requiring priority attention to the most </w:t>
      </w:r>
      <w:r w:rsidRPr="00DD2D90">
        <w:rPr>
          <w:rStyle w:val="StyleUnderline"/>
          <w:highlight w:val="green"/>
        </w:rPr>
        <w:t>marginalized</w:t>
      </w:r>
      <w:r w:rsidRPr="00DD2D90">
        <w:rPr>
          <w:rStyle w:val="StyleUnderline"/>
        </w:rPr>
        <w:t xml:space="preserve"> </w:t>
      </w:r>
      <w:r w:rsidRPr="00DD2D90">
        <w:rPr>
          <w:rStyle w:val="StyleUnderline"/>
          <w:highlight w:val="green"/>
        </w:rPr>
        <w:t>populations</w:t>
      </w:r>
      <w:r w:rsidRPr="009C4A5A">
        <w:rPr>
          <w:sz w:val="16"/>
        </w:rPr>
        <w:t xml:space="preserve">; </w:t>
      </w:r>
      <w:r w:rsidRPr="00DD2D90">
        <w:rPr>
          <w:rStyle w:val="StyleUnderline"/>
        </w:rPr>
        <w:t xml:space="preserve">participation and </w:t>
      </w:r>
      <w:r w:rsidRPr="00DD2D90">
        <w:rPr>
          <w:rStyle w:val="StyleUnderline"/>
          <w:highlight w:val="green"/>
        </w:rPr>
        <w:t>empowerment</w:t>
      </w:r>
      <w:r w:rsidRPr="00DD2D90">
        <w:rPr>
          <w:rStyle w:val="StyleUnderline"/>
        </w:rPr>
        <w:t>, ensuring meaningful involvement</w:t>
      </w:r>
      <w:r w:rsidRPr="009C4A5A">
        <w:rPr>
          <w:sz w:val="16"/>
        </w:rPr>
        <w:t xml:space="preserve"> of affected communities in health program design and implementation; </w:t>
      </w:r>
      <w:r w:rsidRPr="00DD2D90">
        <w:rPr>
          <w:rStyle w:val="StyleUnderline"/>
        </w:rPr>
        <w:t>accountability and transparency</w:t>
      </w:r>
      <w:r w:rsidRPr="009C4A5A">
        <w:rPr>
          <w:sz w:val="16"/>
        </w:rPr>
        <w:t xml:space="preserve">, establishing mechanisms for </w:t>
      </w:r>
      <w:r w:rsidRPr="00DD2D90">
        <w:rPr>
          <w:rStyle w:val="StyleUnderline"/>
        </w:rPr>
        <w:t>monitoring</w:t>
      </w:r>
      <w:r w:rsidRPr="009C4A5A">
        <w:rPr>
          <w:sz w:val="16"/>
        </w:rPr>
        <w:t xml:space="preserve"> </w:t>
      </w:r>
      <w:r w:rsidRPr="00DD2D90">
        <w:rPr>
          <w:rStyle w:val="StyleUnderline"/>
        </w:rPr>
        <w:t>state</w:t>
      </w:r>
      <w:r w:rsidRPr="009C4A5A">
        <w:rPr>
          <w:sz w:val="16"/>
        </w:rPr>
        <w:t xml:space="preserve"> obligations and corporate </w:t>
      </w:r>
      <w:r w:rsidRPr="00DD2D90">
        <w:rPr>
          <w:rStyle w:val="StyleUnderline"/>
        </w:rPr>
        <w:t>responsibilities</w:t>
      </w:r>
      <w:r w:rsidRPr="009C4A5A">
        <w:rPr>
          <w:sz w:val="16"/>
        </w:rPr>
        <w:t xml:space="preserve">; </w:t>
      </w:r>
      <w:r w:rsidRPr="00DD2D90">
        <w:rPr>
          <w:rStyle w:val="StyleUnderline"/>
          <w:highlight w:val="green"/>
        </w:rPr>
        <w:t>universality</w:t>
      </w:r>
      <w:r w:rsidRPr="00DD2D90">
        <w:rPr>
          <w:rStyle w:val="StyleUnderline"/>
        </w:rPr>
        <w:t xml:space="preserve"> and indivisibility</w:t>
      </w:r>
      <w:r w:rsidRPr="009C4A5A">
        <w:rPr>
          <w:sz w:val="16"/>
        </w:rPr>
        <w:t xml:space="preserve">, </w:t>
      </w:r>
      <w:r w:rsidRPr="00DD2D90">
        <w:rPr>
          <w:rStyle w:val="StyleUnderline"/>
          <w:highlight w:val="green"/>
        </w:rPr>
        <w:t>and</w:t>
      </w:r>
      <w:r w:rsidRPr="009C4A5A">
        <w:rPr>
          <w:sz w:val="16"/>
        </w:rPr>
        <w:t xml:space="preserve"> recognizing the </w:t>
      </w:r>
      <w:r w:rsidRPr="00DD2D90">
        <w:rPr>
          <w:rStyle w:val="StyleUnderline"/>
          <w:highlight w:val="green"/>
        </w:rPr>
        <w:t>interconnectedness</w:t>
      </w:r>
      <w:r w:rsidRPr="009C4A5A">
        <w:rPr>
          <w:sz w:val="16"/>
          <w:highlight w:val="green"/>
        </w:rPr>
        <w:t xml:space="preserve"> </w:t>
      </w:r>
      <w:r w:rsidRPr="00DD2D90">
        <w:rPr>
          <w:rStyle w:val="StyleUnderline"/>
          <w:highlight w:val="green"/>
        </w:rPr>
        <w:t>of</w:t>
      </w:r>
      <w:r w:rsidRPr="009C4A5A">
        <w:rPr>
          <w:sz w:val="16"/>
        </w:rPr>
        <w:t xml:space="preserve"> civil, political, economic, social, and cultural </w:t>
      </w:r>
      <w:r w:rsidRPr="00DD2D90">
        <w:rPr>
          <w:rStyle w:val="StyleUnderline"/>
          <w:highlight w:val="green"/>
        </w:rPr>
        <w:t>rights</w:t>
      </w:r>
      <w:r w:rsidRPr="009C4A5A">
        <w:rPr>
          <w:sz w:val="16"/>
        </w:rPr>
        <w:t xml:space="preserve"> [56]. The application of </w:t>
      </w:r>
      <w:r w:rsidRPr="00DD2D90">
        <w:rPr>
          <w:rStyle w:val="StyleUnderline"/>
          <w:highlight w:val="green"/>
        </w:rPr>
        <w:t>rights</w:t>
      </w:r>
      <w:r w:rsidRPr="00DD2D90">
        <w:rPr>
          <w:rStyle w:val="StyleUnderline"/>
        </w:rPr>
        <w:t xml:space="preserve">-based </w:t>
      </w:r>
      <w:r w:rsidRPr="00DD2D90">
        <w:rPr>
          <w:rStyle w:val="StyleUnderline"/>
          <w:highlight w:val="green"/>
        </w:rPr>
        <w:t>approaches has proven effective</w:t>
      </w:r>
      <w:r w:rsidRPr="00DD2D90">
        <w:rPr>
          <w:rStyle w:val="StyleUnderline"/>
        </w:rPr>
        <w:t xml:space="preserve"> </w:t>
      </w:r>
      <w:r w:rsidRPr="00DD2D90">
        <w:rPr>
          <w:rStyle w:val="StyleUnderline"/>
          <w:highlight w:val="green"/>
        </w:rPr>
        <w:t>in addressing</w:t>
      </w:r>
      <w:r w:rsidRPr="009C4A5A">
        <w:rPr>
          <w:sz w:val="16"/>
        </w:rPr>
        <w:t xml:space="preserve"> specific health inequities, particularly in the </w:t>
      </w:r>
      <w:r w:rsidRPr="00DD2D90">
        <w:rPr>
          <w:rStyle w:val="StyleUnderline"/>
        </w:rPr>
        <w:t>HIV/</w:t>
      </w:r>
      <w:r w:rsidRPr="00DD2D90">
        <w:rPr>
          <w:rStyle w:val="StyleUnderline"/>
          <w:highlight w:val="green"/>
        </w:rPr>
        <w:t>AIDS</w:t>
      </w:r>
      <w:r w:rsidRPr="009C4A5A">
        <w:rPr>
          <w:sz w:val="16"/>
        </w:rPr>
        <w:t xml:space="preserve"> response, where </w:t>
      </w:r>
      <w:r w:rsidRPr="00DD2D90">
        <w:rPr>
          <w:rStyle w:val="StyleUnderline"/>
        </w:rPr>
        <w:t>human rights</w:t>
      </w:r>
      <w:r w:rsidRPr="009C4A5A">
        <w:rPr>
          <w:sz w:val="16"/>
        </w:rPr>
        <w:t xml:space="preserve"> frameworks </w:t>
      </w:r>
      <w:r w:rsidRPr="00DD2D90">
        <w:rPr>
          <w:rStyle w:val="StyleUnderline"/>
        </w:rPr>
        <w:t>helped combat stigma and discrimination while advocating for treatment access</w:t>
      </w:r>
      <w:r w:rsidRPr="009C4A5A">
        <w:rPr>
          <w:sz w:val="16"/>
        </w:rPr>
        <w:t xml:space="preserve"> [57]. However, translating rights-based principles into practice remains challenging, particularly in contexts where power imbalances, resource constraints, and weak governance structures limit the implementation capacity [58]. Historical Injustice and Contemporary Health Inequities Contemporary global health inequities cannot be understood without acknowledging their historical roots in colonialism, slavery, and systematic exploitation. Colonial medicine prioritizes the health needs of colonizers while extracting resources and knowledge from colonized populations, establishing patterns of exploitation that persist in modern global health relationships [59]. The legacy of colonialism continues to shape global health through multiple mechanisms: economic structures that perpetuate resource extraction from low-income countries; knowledge systems that privilege Western medical paradigms while marginalizing indigenous healing practices; and power dynamics that concentrate decision-making authority in HICs and international organizations [60]. Decolonizing global health requires the fundamental transformation of power relations, equitable partnership models, and recognition of diverse knowledge systems [60]. This includes addressing the concentration of global health leadership in HICs, supporting locally led health initiatives, and challenging paternalistic approaches that treat low-income countries as passive recipients of aid rather than as equal partners in global health governance [60, 61]. 3.2 Real-World Global Examples The stark reality of global health inequity is evident in the vast differences in maternal mortality rates between African and Western countries. Limited access to adequate healthcare translates into a disproportionate burden of disease and mortality [7]. Studies have consistently demonstrated inequity in access to healthcare, with poorer access being linked to lower socioeconomic status and other social disadvantages [7]. The inverse equity hypothesis suggests that new interventions initially benefit the wealthy, potentially widening the disparities before reaching the poor [6, 62]. This pattern can be observed in the provision of maternal health services, where coverage of skilled birth attendance has been shown to be significantly higher in wealthier populations than in the poorest ones [8]. Factors such as geographical barriers, financial constraints, and the availability of trained healthcare professionals contribute to these disparities, resulting in tragically higher maternal mortality rates in many African nations than in their Western counterparts [63]. Significant disparities in cancer survival rates also exist between countries, highlighting global health inequities. Socioeconomic inequalities in health can affect health indices across communities and exacerbate poverty and inequality [3]. Global disparities in access to cancer care are a critical concern [3]. Factors, such as the availability of diagnostic tools, treatment options, and healthcare infrastructure, contribute to these differences. HICs often have advanced screening programs and comprehensive treatment facilities, leading to better survival rates compared to LMICs, where access to timely and quality cancer care is limited [64]. These disparities underscore the impact of resource distribution and healthcare system development on health outcomes [16]. The COVID-19 vaccine rollout vividly illustrates the deep-seated global health inequities between the North and South. Data from the first year of vaccine deployment revealed dramatic gaps in global access, with HICs achieving significantly higher vaccination rates than low-income countries [6]. This inequitable distribution was not primarily due to shortages but rather to issues of distribution, with wealthy nations disproportionately receiving the most effective vaccines [6]. This situation reflects a “patent culture” shaped by intellectual property law that can neglect health equity principles, favoring the wealth and power of those controlling vaccine production and supply [6]. The policy choices made by manufacturers and affluent governments contributed to this inequitable-by-design vaccination program, falling into the inverse equity pattern of early access for the wealthy, followed by lagging access for the poorest countries [6]. Concerted global efforts are necessary to address such health inequities and foster trust in institutions and health programs to prepare for future public health emergencies [10]. The allocation of market and political power in healthcare systems can exacerbate these inequities, highlighting the need for a re-evaluation of global health governance and a shift toward principles of public value, transparency, and inclusivity in access to life-saving treatments [6]. 3.3 Impacts of Inequality and Inequity 3.3.1 Mortality and Disease Burden Health inequity results in increased mortality, morbidity, and limitations in functioning in persons with disabilities compared to the general population [14]. Many poor health outcomes experienced by people with disabilities are driven by unfair societal and health system factors, not just by underlying conditions [14]. Avoidable deaths from causes amenable to good quality healthcare are more common in people with intellectual disabilities (37%) than in the general population (13%) in England and Wales, illustrating their impact on mortality [14]. Globally, the health burden caused by Chronic Obstructive Pulmonary Disease (COPD) has increased by 25.7% in terms of disability-adjusted life years (DALY) from 1990 to 2019 [46]. The burden of COPD is disproportionately concentrated in populations living in countries with low socio-demographic indices (SDIs) [46]. Socioeconomic conditions are a major determinant of negative outcomes for COVID-19 patients, regardless of other risk factors [54]. A Brazilian study showed a 32% increase in COVID-19 mortality among socially vulnerable individuals compared with those with better socioeconomic status [54]. This finding highlights how inequality exacerbates the burden of disease and mortality during public health emergencies. Evidence suggests that most illnesses and health inequalities stem from social factors [65]. The inverse care law further compounded this, where the worst-off and least healthy underutilized health services [8, 49]. </w:t>
      </w:r>
      <w:r w:rsidRPr="00DD2D90">
        <w:rPr>
          <w:rStyle w:val="StyleUnderline"/>
        </w:rPr>
        <w:t>Socioeconomically disadvantaged groups often have poorer access to health care and adopt effective services later, contributing to a higher disease burden</w:t>
      </w:r>
      <w:r w:rsidRPr="009C4A5A">
        <w:rPr>
          <w:sz w:val="16"/>
        </w:rPr>
        <w:t xml:space="preserve"> [8, 49]. In older adults in China and Ghana, socioeconomic factors are determinants of inequalities and inequities in health, affecting both single and multiple NCD morbidity [66]. In LMICs, the health of older people is further compromised by poverty and limited access to affordable healthcare, which increases the burden of NCDs [66]. The NCD burden is relatively higher in older age and among disadvantaged groups than in those with higher socioeconomic status [66]. 3.3.2 Life Expectancy Gaps Global health inequality is evident in the significant differences in the average life expectancy between countries. For instance, in 2015, the average life expectancy in Japan was 83.7 years, whereas in Sierra Leone, it was just 50.1 years [49]. Inequalities also exist within countries, with a 20-year gap in male life expectancy between the richest and poorest areas of Glasgow [49]. Similarly, in Baltimore and Washington, DC, individuals in poor areas have a life expectancy 20 years shorter than those in rich areas [49]. The failure of initiatives such as COVAX to ensure equitable vaccine distribution during the COVID-19 pandemic has perpetuated the gap in health and well-being between HICs and LMICs [10]. 3.3.3 Economic and Social Consequences Global vaccine inequity not only causes devastating health impacts but also has a profound impact on socioeconomic recovery in LMICs [10]. The failure of initiatives such as COVAX to ensure equitable vaccine distribution during the COVID-19 pandemic highlighted how global health inequity can have a lasting and profound impact on socioeconomic recovery in LMICs [10]. Socioeconomic inequalities in health can exacerbate poverty and social inequalities [67]. The significant global burden of diseases such as cancer also has a substantial economic impact, with estimated costs running into trillions of dollars [64]. 3.3.4 Intergenerational Cycles of Poor Health Evidence suggests that income inequality experienced early in life can have long-lasting negative health implications later in life [45]. Furthermore, low socioeconomic status can result in families, particularly women and children, residing in areas with inadequate health infrastructure, perpetuating a cycle of disadvantage and poor health across generations [68]. Factors such as the poverty experienced by people with disabilities and their limited access to educational opportunities, which impact health literacy, can also contribute to these intergenerational cycles [14]. 3.3.5 Recommendations to Tackle Global Health Inequity and Equality Understanding the root causes of global health disparities is crucial; however, recognizing these issues alone will not lead to meaningful changes unless concrete actions are taken. </w:t>
      </w:r>
      <w:r w:rsidRPr="00DD2D90">
        <w:rPr>
          <w:rStyle w:val="StyleUnderline"/>
        </w:rPr>
        <w:t>To equitably improve health</w:t>
      </w:r>
      <w:r w:rsidRPr="009C4A5A">
        <w:rPr>
          <w:sz w:val="16"/>
        </w:rPr>
        <w:t xml:space="preserve"> outcomes across populations, </w:t>
      </w:r>
      <w:r w:rsidRPr="00DD2D90">
        <w:rPr>
          <w:rStyle w:val="StyleUnderline"/>
          <w:highlight w:val="green"/>
        </w:rPr>
        <w:t>governments</w:t>
      </w:r>
      <w:r w:rsidRPr="009C4A5A">
        <w:rPr>
          <w:sz w:val="16"/>
        </w:rPr>
        <w:t xml:space="preserve">, communities, international organizations, and stakeholders </w:t>
      </w:r>
      <w:r w:rsidRPr="00DD2D90">
        <w:rPr>
          <w:rStyle w:val="StyleUnderline"/>
          <w:highlight w:val="green"/>
        </w:rPr>
        <w:t>must</w:t>
      </w:r>
      <w:r w:rsidRPr="009C4A5A">
        <w:rPr>
          <w:sz w:val="16"/>
        </w:rPr>
        <w:t xml:space="preserve"> collaborate to implement targeted strategies that </w:t>
      </w:r>
      <w:r w:rsidRPr="00DD2D90">
        <w:rPr>
          <w:rStyle w:val="StyleUnderline"/>
          <w:highlight w:val="green"/>
        </w:rPr>
        <w:t>address</w:t>
      </w:r>
      <w:r w:rsidRPr="00DD2D90">
        <w:rPr>
          <w:rStyle w:val="StyleUnderline"/>
        </w:rPr>
        <w:t xml:space="preserve"> </w:t>
      </w:r>
      <w:r w:rsidRPr="00DD2D90">
        <w:rPr>
          <w:rStyle w:val="StyleUnderline"/>
          <w:highlight w:val="green"/>
        </w:rPr>
        <w:t>structural</w:t>
      </w:r>
      <w:r w:rsidRPr="00DD2D90">
        <w:rPr>
          <w:rStyle w:val="StyleUnderline"/>
        </w:rPr>
        <w:t xml:space="preserve"> and systemic </w:t>
      </w:r>
      <w:r w:rsidRPr="00DD2D90">
        <w:rPr>
          <w:rStyle w:val="StyleUnderline"/>
          <w:highlight w:val="green"/>
        </w:rPr>
        <w:t>barriers to health</w:t>
      </w:r>
      <w:r w:rsidRPr="009C4A5A">
        <w:rPr>
          <w:sz w:val="16"/>
        </w:rPr>
        <w:t xml:space="preserve">. A multi-sectoral approach is essential to reducing health inequalities and promoting fairness in access to care. The following interventions offer practical pathways to bridge this health gap and support sustainable improvements in global health equity (Table 1). 3.3.6 Limitations and Methodological Considerations This narrative review had several important limitations that must be acknowledged. The selective literature search strategy, although appropriate for the broad scope of this analysis, may have inadvertently excluded relevant contributions, particularly those published in languages other than English or in specialized journals outside mainstream global health and public health databases. The narrative approach, while enabling the comprehensive synthesis of complex theoretical frameworks, lacks the systematic rigor of formal systematic reviews and meta-analyses. The rapid evolution of global health challenges, particularly those highlighted by the COVID-19 pandemic, means that some analyses may reflect conditions that have changed since then. Additionally, the emphasis on structural and systemic factors, although theoretically justified, may underemphasize individual- and community-level interventions that could meaningfully contribute to health equity goals. The scope of this review requires selective engagement with vast literature across multiple disciplines. Future research should employ more systematic approaches to the specific domains identified here, particularly the intersections between commercial determinants, environmental factors, and health equity outcomes in different regional contexts. 4 Conclusion </w:t>
      </w:r>
      <w:r w:rsidRPr="00DD2D90">
        <w:rPr>
          <w:rStyle w:val="StyleUnderline"/>
        </w:rPr>
        <w:t xml:space="preserve">Global health inequality and inequity persist as </w:t>
      </w:r>
      <w:r w:rsidRPr="00DD2D90">
        <w:rPr>
          <w:rStyle w:val="Emphasis"/>
        </w:rPr>
        <w:t>profound injustices</w:t>
      </w:r>
      <w:r w:rsidRPr="00DD2D90">
        <w:rPr>
          <w:rStyle w:val="StyleUnderline"/>
        </w:rPr>
        <w:t xml:space="preserve"> rooted in systemic disparities in power</w:t>
      </w:r>
      <w:r w:rsidRPr="009C4A5A">
        <w:rPr>
          <w:sz w:val="16"/>
        </w:rPr>
        <w:t xml:space="preserve">, resources, and access to care. Evidence reveals that marginalized populations—whether in low-income nations or disadvantaged communities within wealthy states—face disproportionately poorer health outcomes due to structural barriers, discriminatory policies, and geopolitical inequities. The COVID-19 pandemic exemplified these disparities, with vaccine nationalism and intellectual property restrictions exacerbating the global divide. </w:t>
      </w:r>
      <w:r w:rsidRPr="00DD2D90">
        <w:rPr>
          <w:rStyle w:val="StyleUnderline"/>
          <w:highlight w:val="green"/>
        </w:rPr>
        <w:t xml:space="preserve">Addressing </w:t>
      </w:r>
      <w:r w:rsidRPr="00DD2D90">
        <w:rPr>
          <w:rStyle w:val="StyleUnderline"/>
        </w:rPr>
        <w:t xml:space="preserve">these </w:t>
      </w:r>
      <w:r w:rsidRPr="00DD2D90">
        <w:rPr>
          <w:rStyle w:val="StyleUnderline"/>
          <w:highlight w:val="green"/>
        </w:rPr>
        <w:t>challenges demands more than incremental policy adjustments</w:t>
      </w:r>
      <w:r w:rsidRPr="009C4A5A">
        <w:rPr>
          <w:sz w:val="16"/>
        </w:rPr>
        <w:t xml:space="preserve">; </w:t>
      </w:r>
      <w:r w:rsidRPr="00DD2D90">
        <w:rPr>
          <w:rStyle w:val="StyleUnderline"/>
        </w:rPr>
        <w:t xml:space="preserve">it requires a </w:t>
      </w:r>
      <w:r w:rsidRPr="00DD2D90">
        <w:rPr>
          <w:rStyle w:val="Emphasis"/>
        </w:rPr>
        <w:t>fundamental reorientation</w:t>
      </w:r>
      <w:r w:rsidRPr="00DD2D90">
        <w:rPr>
          <w:rStyle w:val="StyleUnderline"/>
        </w:rPr>
        <w:t xml:space="preserve"> of global health</w:t>
      </w:r>
      <w:r w:rsidRPr="009C4A5A">
        <w:rPr>
          <w:sz w:val="16"/>
        </w:rPr>
        <w:t xml:space="preserve"> </w:t>
      </w:r>
      <w:r w:rsidRPr="00DD2D90">
        <w:rPr>
          <w:rStyle w:val="StyleUnderline"/>
        </w:rPr>
        <w:t>governance toward</w:t>
      </w:r>
      <w:r w:rsidRPr="009C4A5A">
        <w:rPr>
          <w:sz w:val="16"/>
        </w:rPr>
        <w:t xml:space="preserve"> equity, </w:t>
      </w:r>
      <w:r w:rsidRPr="00DD2D90">
        <w:rPr>
          <w:rStyle w:val="StyleUnderline"/>
        </w:rPr>
        <w:t>justice</w:t>
      </w:r>
      <w:r w:rsidRPr="009C4A5A">
        <w:rPr>
          <w:sz w:val="16"/>
        </w:rPr>
        <w:t xml:space="preserve">, and accountability. </w:t>
      </w:r>
      <w:r w:rsidRPr="00DD2D90">
        <w:rPr>
          <w:rStyle w:val="StyleUnderline"/>
          <w:highlight w:val="green"/>
        </w:rPr>
        <w:t>By prioritizing the needs of the most vulnerable</w:t>
      </w:r>
      <w:r w:rsidRPr="00DD2D90">
        <w:rPr>
          <w:rStyle w:val="StyleUnderline"/>
        </w:rPr>
        <w:t xml:space="preserve"> </w:t>
      </w:r>
      <w:r w:rsidRPr="00DD2D90">
        <w:rPr>
          <w:rStyle w:val="StyleUnderline"/>
          <w:highlight w:val="green"/>
        </w:rPr>
        <w:t>through redistributive</w:t>
      </w:r>
      <w:r w:rsidRPr="00DD2D90">
        <w:rPr>
          <w:rStyle w:val="StyleUnderline"/>
        </w:rPr>
        <w:t xml:space="preserve"> policies, inclusive </w:t>
      </w:r>
      <w:r w:rsidRPr="00DD2D90">
        <w:rPr>
          <w:rStyle w:val="StyleUnderline"/>
          <w:highlight w:val="green"/>
        </w:rPr>
        <w:t>health</w:t>
      </w:r>
      <w:r w:rsidRPr="00DD2D90">
        <w:rPr>
          <w:rStyle w:val="StyleUnderline"/>
        </w:rPr>
        <w:t xml:space="preserve"> systems, and fairer international cooperation</w:t>
      </w:r>
      <w:r w:rsidRPr="009C4A5A">
        <w:rPr>
          <w:sz w:val="16"/>
        </w:rPr>
        <w:t xml:space="preserve">, the global community can move closer to </w:t>
      </w:r>
      <w:r w:rsidRPr="00DD2D90">
        <w:rPr>
          <w:rStyle w:val="StyleUnderline"/>
          <w:highlight w:val="green"/>
        </w:rPr>
        <w:t>realizing</w:t>
      </w:r>
      <w:r w:rsidRPr="00DD2D90">
        <w:rPr>
          <w:rStyle w:val="StyleUnderline"/>
        </w:rPr>
        <w:t xml:space="preserve"> </w:t>
      </w:r>
      <w:r w:rsidRPr="00DD2D90">
        <w:rPr>
          <w:rStyle w:val="StyleUnderline"/>
          <w:highlight w:val="green"/>
        </w:rPr>
        <w:t xml:space="preserve">the promise of health as a </w:t>
      </w:r>
      <w:r w:rsidRPr="00DD2D90">
        <w:rPr>
          <w:rStyle w:val="StyleUnderline"/>
        </w:rPr>
        <w:t xml:space="preserve">universal </w:t>
      </w:r>
      <w:r w:rsidRPr="00DD2D90">
        <w:rPr>
          <w:rStyle w:val="Emphasis"/>
          <w:highlight w:val="green"/>
        </w:rPr>
        <w:t>human</w:t>
      </w:r>
      <w:r w:rsidRPr="00DD2D90">
        <w:rPr>
          <w:rStyle w:val="StyleUnderline"/>
          <w:highlight w:val="green"/>
        </w:rPr>
        <w:t xml:space="preserve"> </w:t>
      </w:r>
      <w:r w:rsidRPr="00DD2D90">
        <w:rPr>
          <w:rStyle w:val="Emphasis"/>
          <w:highlight w:val="green"/>
        </w:rPr>
        <w:t>right</w:t>
      </w:r>
      <w:r w:rsidRPr="009C4A5A">
        <w:rPr>
          <w:sz w:val="16"/>
        </w:rPr>
        <w:t xml:space="preserve">. </w:t>
      </w:r>
      <w:r w:rsidRPr="00DD2D90">
        <w:rPr>
          <w:rStyle w:val="StyleUnderline"/>
        </w:rPr>
        <w:t>The moral and practical urgency of this task cannot be overstated</w:t>
      </w:r>
      <w:r w:rsidRPr="009C4A5A">
        <w:rPr>
          <w:sz w:val="16"/>
        </w:rPr>
        <w:t xml:space="preserve"> in that </w:t>
      </w:r>
      <w:r w:rsidRPr="00DD2D90">
        <w:rPr>
          <w:rStyle w:val="StyleUnderline"/>
          <w:highlight w:val="green"/>
        </w:rPr>
        <w:t>equitable health outcomes are</w:t>
      </w:r>
      <w:r w:rsidRPr="00DD2D90">
        <w:rPr>
          <w:rStyle w:val="StyleUnderline"/>
        </w:rPr>
        <w:t xml:space="preserve"> not just </w:t>
      </w:r>
      <w:r w:rsidRPr="00DD2D90">
        <w:rPr>
          <w:rStyle w:val="StyleUnderline"/>
          <w:highlight w:val="green"/>
        </w:rPr>
        <w:t>an ethical imperative</w:t>
      </w:r>
      <w:r w:rsidRPr="00DD2D90">
        <w:rPr>
          <w:rStyle w:val="StyleUnderline"/>
        </w:rPr>
        <w:t xml:space="preserve"> but a foundation for a just and sustainable future</w:t>
      </w:r>
      <w:r w:rsidRPr="009C4A5A">
        <w:rPr>
          <w:sz w:val="16"/>
        </w:rPr>
        <w:t xml:space="preserve">. </w:t>
      </w:r>
    </w:p>
    <w:p w14:paraId="44244885" w14:textId="6E02AFA6" w:rsidR="006C433E" w:rsidRPr="009C4A5A" w:rsidRDefault="00066E3E" w:rsidP="006C433E">
      <w:pPr>
        <w:pStyle w:val="Heading4"/>
        <w:rPr>
          <w:szCs w:val="26"/>
        </w:rPr>
      </w:pPr>
      <w:r w:rsidRPr="009C4A5A">
        <w:rPr>
          <w:szCs w:val="26"/>
        </w:rPr>
        <w:t>Not addressing social determinants of health causes the s</w:t>
      </w:r>
      <w:r w:rsidR="006C433E" w:rsidRPr="009C4A5A">
        <w:rPr>
          <w:szCs w:val="26"/>
        </w:rPr>
        <w:t>low death</w:t>
      </w:r>
      <w:r w:rsidRPr="009C4A5A">
        <w:rPr>
          <w:szCs w:val="26"/>
        </w:rPr>
        <w:t>s of individuals, a cycle of being broken down and being fixed by society to benefit capitalists</w:t>
      </w:r>
    </w:p>
    <w:p w14:paraId="3EFEE7FD" w14:textId="77777777" w:rsidR="006C433E" w:rsidRPr="00DD2D90" w:rsidRDefault="006C433E" w:rsidP="006C433E">
      <w:r w:rsidRPr="009C4A5A">
        <w:rPr>
          <w:b/>
          <w:bCs/>
          <w:sz w:val="26"/>
          <w:szCs w:val="26"/>
        </w:rPr>
        <w:t>Breedt 23</w:t>
      </w:r>
      <w:r w:rsidRPr="00DD2D90">
        <w:t xml:space="preserve"> [Eduan Breedt, PhD Candidate at the University of Alberta and health justice advocate, 9-16-2023, "Neoliberalism and Physiotherapy", Eduan Breedt Personal Website, https://eduanbreedt.com/blog/neoliberalism-and-physiotherapy/]/Kankee</w:t>
      </w:r>
    </w:p>
    <w:p w14:paraId="5416AE4C" w14:textId="77777777" w:rsidR="006C433E" w:rsidRPr="009C4A5A" w:rsidRDefault="006C433E" w:rsidP="006C433E">
      <w:pPr>
        <w:rPr>
          <w:sz w:val="16"/>
        </w:rPr>
      </w:pPr>
      <w:r w:rsidRPr="009C4A5A">
        <w:rPr>
          <w:sz w:val="16"/>
        </w:rPr>
        <w:t xml:space="preserve">Slow Death Slow death is a term coined by cultural theorist Lauren Berlant and described by philosopher Jasbir Puar in her book The Right to Maim as “the debilitating ongoingness of structural inequality and suffering” (p. 1)4. Berlant, in her article </w:t>
      </w:r>
      <w:r w:rsidRPr="00DD2D90">
        <w:rPr>
          <w:rStyle w:val="StyleUnderline"/>
        </w:rPr>
        <w:t>Slow Death</w:t>
      </w:r>
      <w:r w:rsidRPr="009C4A5A">
        <w:rPr>
          <w:sz w:val="16"/>
        </w:rPr>
        <w:t xml:space="preserve"> (Sovereignty, Obesity, Lateral Agency) emphasizes that it </w:t>
      </w:r>
      <w:r w:rsidRPr="00DD2D90">
        <w:rPr>
          <w:rStyle w:val="StyleUnderline"/>
        </w:rPr>
        <w:t>is the “wearing out” and “deterioration” of the people in a population</w:t>
      </w:r>
      <w:r w:rsidRPr="009C4A5A">
        <w:rPr>
          <w:sz w:val="16"/>
        </w:rPr>
        <w:t xml:space="preserve"> that defines slow death (p. 754)5. I think of slow death as a complex yet precise modulation of how life is regulated in society. The example Berlant uses is the obesity crisis. Person-centered care might address obesity by constructing goals with the client and empower them to achieve these goals by improving someone’s self-efficacy and belief in their own capabilities to diet, exercise, or participate in “adaptive behaviors”. However, no matter how much self-efficacy they possess, they may face a plethora of structural obstacles that an individual has no power to change. For instance, obesity may be due to having limited food options and access to affordable highly palatable food with high caloric value 678. Or, overeating might be an appropriate kind of “self-medication” to a stressful environment 5910. A stressful environment, of course, may be a result of other systemic inequities such as poorer and more vulnerable populations (although the least to blame for man-made climate change) typically bear the worst of the impact. 11. Or having to work multiple low paying jobs to pay the bills 12. Only having opportunities to perform low paying jobs may be due to someone’s level of education 12. Having a lower level of education may be due to coming from a low income household. I think you get the point. What should be gradually becoming clear is that any amount of </w:t>
      </w:r>
      <w:r w:rsidRPr="00DD2D90">
        <w:rPr>
          <w:rStyle w:val="StyleUnderline"/>
          <w:highlight w:val="green"/>
        </w:rPr>
        <w:t>emphasis on the individual erases</w:t>
      </w:r>
      <w:r w:rsidRPr="00DD2D90">
        <w:rPr>
          <w:rStyle w:val="StyleUnderline"/>
        </w:rPr>
        <w:t xml:space="preserve"> the very real </w:t>
      </w:r>
      <w:r w:rsidRPr="00DD2D90">
        <w:rPr>
          <w:rStyle w:val="StyleUnderline"/>
          <w:highlight w:val="green"/>
        </w:rPr>
        <w:t>structural</w:t>
      </w:r>
      <w:r w:rsidRPr="00DD2D90">
        <w:rPr>
          <w:rStyle w:val="StyleUnderline"/>
        </w:rPr>
        <w:t xml:space="preserve"> </w:t>
      </w:r>
      <w:r w:rsidRPr="00DD2D90">
        <w:rPr>
          <w:rStyle w:val="StyleUnderline"/>
          <w:highlight w:val="green"/>
        </w:rPr>
        <w:t>inequities</w:t>
      </w:r>
      <w:r w:rsidRPr="00DD2D90">
        <w:rPr>
          <w:rStyle w:val="StyleUnderline"/>
        </w:rPr>
        <w:t xml:space="preserve"> present in many people’s lives</w:t>
      </w:r>
      <w:r w:rsidRPr="009C4A5A">
        <w:rPr>
          <w:sz w:val="16"/>
        </w:rPr>
        <w:t xml:space="preserve">. As we will soon see, </w:t>
      </w:r>
      <w:r w:rsidRPr="00DD2D90">
        <w:rPr>
          <w:rStyle w:val="StyleUnderline"/>
          <w:highlight w:val="green"/>
        </w:rPr>
        <w:t>it isn’t</w:t>
      </w:r>
      <w:r w:rsidRPr="00DD2D90">
        <w:rPr>
          <w:rStyle w:val="StyleUnderline"/>
        </w:rPr>
        <w:t xml:space="preserve"> </w:t>
      </w:r>
      <w:r w:rsidRPr="00DD2D90">
        <w:rPr>
          <w:rStyle w:val="StyleUnderline"/>
          <w:highlight w:val="green"/>
        </w:rPr>
        <w:t>that</w:t>
      </w:r>
      <w:r w:rsidRPr="00DD2D90">
        <w:rPr>
          <w:rStyle w:val="StyleUnderline"/>
        </w:rPr>
        <w:t xml:space="preserve"> inequities and </w:t>
      </w:r>
      <w:r w:rsidRPr="00DD2D90">
        <w:rPr>
          <w:rStyle w:val="StyleUnderline"/>
          <w:highlight w:val="green"/>
        </w:rPr>
        <w:t>injustices are</w:t>
      </w:r>
      <w:r w:rsidRPr="00DD2D90">
        <w:rPr>
          <w:rStyle w:val="StyleUnderline"/>
        </w:rPr>
        <w:t xml:space="preserve"> </w:t>
      </w:r>
      <w:r w:rsidRPr="00DD2D90">
        <w:rPr>
          <w:rStyle w:val="StyleUnderline"/>
          <w:highlight w:val="green"/>
        </w:rPr>
        <w:t>accidental and</w:t>
      </w:r>
      <w:r w:rsidRPr="00DD2D90">
        <w:rPr>
          <w:rStyle w:val="StyleUnderline"/>
        </w:rPr>
        <w:t xml:space="preserve"> merely </w:t>
      </w:r>
      <w:r w:rsidRPr="00DD2D90">
        <w:rPr>
          <w:rStyle w:val="StyleUnderline"/>
          <w:highlight w:val="green"/>
        </w:rPr>
        <w:t>unfortunate</w:t>
      </w:r>
      <w:r w:rsidRPr="00DD2D90">
        <w:rPr>
          <w:rStyle w:val="StyleUnderline"/>
        </w:rPr>
        <w:t xml:space="preserve">, </w:t>
      </w:r>
      <w:r w:rsidRPr="00DD2D90">
        <w:rPr>
          <w:rStyle w:val="StyleUnderline"/>
          <w:highlight w:val="green"/>
        </w:rPr>
        <w:t xml:space="preserve">but </w:t>
      </w:r>
      <w:r w:rsidRPr="00DD2D90">
        <w:rPr>
          <w:rStyle w:val="Emphasis"/>
          <w:highlight w:val="green"/>
        </w:rPr>
        <w:t>highly political</w:t>
      </w:r>
      <w:r w:rsidRPr="00DD2D90">
        <w:rPr>
          <w:rStyle w:val="StyleUnderline"/>
        </w:rPr>
        <w:t xml:space="preserve"> - particular </w:t>
      </w:r>
      <w:r w:rsidRPr="00DD2D90">
        <w:rPr>
          <w:rStyle w:val="StyleUnderline"/>
          <w:highlight w:val="green"/>
        </w:rPr>
        <w:t>bodies are made available to be</w:t>
      </w:r>
      <w:r w:rsidRPr="00DD2D90">
        <w:rPr>
          <w:rStyle w:val="StyleUnderline"/>
        </w:rPr>
        <w:t xml:space="preserve"> </w:t>
      </w:r>
      <w:r w:rsidRPr="00DD2D90">
        <w:rPr>
          <w:rStyle w:val="StyleUnderline"/>
          <w:highlight w:val="green"/>
        </w:rPr>
        <w:t>debilitated</w:t>
      </w:r>
      <w:r w:rsidRPr="00DD2D90">
        <w:rPr>
          <w:rStyle w:val="StyleUnderline"/>
        </w:rPr>
        <w:t xml:space="preserve"> or injured </w:t>
      </w:r>
      <w:r w:rsidRPr="00DD2D90">
        <w:rPr>
          <w:rStyle w:val="StyleUnderline"/>
          <w:highlight w:val="green"/>
        </w:rPr>
        <w:t>and then made to endure</w:t>
      </w:r>
      <w:r w:rsidRPr="00DD2D90">
        <w:rPr>
          <w:rStyle w:val="StyleUnderline"/>
        </w:rPr>
        <w:t xml:space="preserve"> their debilitation or</w:t>
      </w:r>
      <w:r w:rsidRPr="009C4A5A">
        <w:rPr>
          <w:sz w:val="16"/>
        </w:rPr>
        <w:t xml:space="preserve"> </w:t>
      </w:r>
      <w:r w:rsidRPr="00DD2D90">
        <w:rPr>
          <w:rStyle w:val="StyleUnderline"/>
        </w:rPr>
        <w:t>injury</w:t>
      </w:r>
      <w:r w:rsidRPr="009C4A5A">
        <w:rPr>
          <w:sz w:val="16"/>
        </w:rPr>
        <w:t xml:space="preserve">. This very act of </w:t>
      </w:r>
      <w:r w:rsidRPr="00DD2D90">
        <w:rPr>
          <w:rStyle w:val="StyleUnderline"/>
        </w:rPr>
        <w:t xml:space="preserve">debilitation and </w:t>
      </w:r>
      <w:r w:rsidRPr="00DD2D90">
        <w:rPr>
          <w:rStyle w:val="StyleUnderline"/>
          <w:highlight w:val="green"/>
        </w:rPr>
        <w:t>modulation of slow death</w:t>
      </w:r>
      <w:r w:rsidRPr="009C4A5A">
        <w:rPr>
          <w:sz w:val="16"/>
        </w:rPr>
        <w:t xml:space="preserve"> is what </w:t>
      </w:r>
      <w:r w:rsidRPr="00DD2D90">
        <w:rPr>
          <w:rStyle w:val="StyleUnderline"/>
          <w:highlight w:val="green"/>
        </w:rPr>
        <w:t>keeps the lights on for</w:t>
      </w:r>
      <w:r w:rsidRPr="00DD2D90">
        <w:rPr>
          <w:rStyle w:val="StyleUnderline"/>
        </w:rPr>
        <w:t xml:space="preserve"> late stage</w:t>
      </w:r>
      <w:r w:rsidRPr="009C4A5A">
        <w:rPr>
          <w:sz w:val="16"/>
        </w:rPr>
        <w:t xml:space="preserve"> </w:t>
      </w:r>
      <w:r w:rsidRPr="00DD2D90">
        <w:rPr>
          <w:rStyle w:val="StyleUnderline"/>
          <w:highlight w:val="green"/>
        </w:rPr>
        <w:t>capitalism</w:t>
      </w:r>
      <w:r w:rsidRPr="009C4A5A">
        <w:rPr>
          <w:sz w:val="16"/>
        </w:rPr>
        <w:t xml:space="preserve">. To be able to tackle the politics of inequity, I first need to say something about capitalism’s part in all of this. Capitalism The structure of late stage capitalism causes much of the inequity and poor health we see today 1314. Here is a basic breakdown of what we see in capitalism today: The capitalist class (those who own the majority of the wealth), driven by profit, desire to decrease their input to maximize their outputs. Cheaper labor, materials, and operating costs, allowing corporations to make a larger profit on their commodities. This means, for example, paying lower wages to workers while accumulating more wealth for themselves, making it challenging for the labor class to make ends meet 15. In addition, the working class (who is also the consumer class) is burdened with debt due to powerful corporations manipulating prices, limiting competition, and encouraging excessive consumer spending. And of course, corporations lobby political parties, strongly influencing the policies and bills that pass to favor the capitalist class, exacerbating inequality 1617. Crucially, capitalism is not an economic structure that one can simply opt out of. Part of its oppressive structure is that we are involuntarily coerced into participating - you either work for the capitalist or starve. Capitalism has led to outrageously inequitable concentrations of wealth and has led to equally outrageous statistics such as the combined wealth of the richest eight billionaires is greater than the combined wealth of the poorest bottom half of the entire population. To be clear, eight people own more wealth than 3.6 billion of the poorest people in the world. Late-stage capitalism and its principle of unlimited growth has infiltrated every part of society and the world, causing irreparable necrosis of our ecology, the production and sale of cheaper and more harmful foods, the exposure and ingestion of carcinogenic chemicals, the accumulation of plastics in our tissues, a loneliness epidemic despite being more ‘connected’ than ever, a mental health epidemic, a persistent pain crisis, just to name a few. This is called debilitation. Through our involuntary coercive participation in capitalism (laboring for wages and buying commodities to live) we are slowly being killed - capitalists profit from debilitating people. Debilitation, however, does not work in isolation but in a careful balance with capacitation. For example, </w:t>
      </w:r>
      <w:r w:rsidRPr="00DD2D90">
        <w:rPr>
          <w:rStyle w:val="StyleUnderline"/>
        </w:rPr>
        <w:t xml:space="preserve">once a body is debilitated, that </w:t>
      </w:r>
      <w:r w:rsidRPr="00DD2D90">
        <w:rPr>
          <w:rStyle w:val="StyleUnderline"/>
          <w:highlight w:val="green"/>
        </w:rPr>
        <w:t>debilitation may be re-capacitated by the medical industrial complex to return to a consumer or laboring body</w:t>
      </w:r>
      <w:r w:rsidRPr="009C4A5A">
        <w:rPr>
          <w:sz w:val="16"/>
        </w:rPr>
        <w:t>. The balance of debilitation and capacitation constitutes the mechanism of slow death, the “</w:t>
      </w:r>
      <w:r w:rsidRPr="00DD2D90">
        <w:rPr>
          <w:rStyle w:val="Emphasis"/>
          <w:highlight w:val="green"/>
        </w:rPr>
        <w:t>the maintenance of living</w:t>
      </w:r>
      <w:r w:rsidRPr="009C4A5A">
        <w:rPr>
          <w:sz w:val="16"/>
        </w:rPr>
        <w:t>” or as Puar writes “</w:t>
      </w:r>
      <w:r w:rsidRPr="00DD2D90">
        <w:rPr>
          <w:rStyle w:val="StyleUnderline"/>
        </w:rPr>
        <w:t>a condition of being worn out by the activity of reproducing life</w:t>
      </w:r>
      <w:r w:rsidRPr="009C4A5A">
        <w:rPr>
          <w:sz w:val="16"/>
        </w:rPr>
        <w:t xml:space="preserve">” 4. Capitalism modulates the speed of death through a meticulous balance between the destruction of health and the conditions for living. As Puar cogently writes: </w:t>
      </w:r>
      <w:r w:rsidRPr="00DD2D90">
        <w:rPr>
          <w:rStyle w:val="StyleUnderline"/>
        </w:rPr>
        <w:t xml:space="preserve">finance </w:t>
      </w:r>
      <w:r w:rsidRPr="00DD2D90">
        <w:rPr>
          <w:rStyle w:val="StyleUnderline"/>
          <w:highlight w:val="green"/>
        </w:rPr>
        <w:t>capital</w:t>
      </w:r>
      <w:r w:rsidRPr="00DD2D90">
        <w:rPr>
          <w:rStyle w:val="StyleUnderline"/>
        </w:rPr>
        <w:t xml:space="preserve"> </w:t>
      </w:r>
      <w:r w:rsidRPr="00DD2D90">
        <w:rPr>
          <w:rStyle w:val="StyleUnderline"/>
          <w:highlight w:val="green"/>
        </w:rPr>
        <w:t>enforces repeated mandatory investments in our own slow deaths</w:t>
      </w:r>
      <w:r w:rsidRPr="00DD2D90">
        <w:rPr>
          <w:rStyle w:val="StyleUnderline"/>
        </w:rPr>
        <w:t xml:space="preserve">, continually </w:t>
      </w:r>
      <w:r w:rsidRPr="00DD2D90">
        <w:rPr>
          <w:rStyle w:val="StyleUnderline"/>
          <w:highlight w:val="green"/>
        </w:rPr>
        <w:t>reproducing the conditions</w:t>
      </w:r>
      <w:r w:rsidRPr="00DD2D90">
        <w:rPr>
          <w:rStyle w:val="StyleUnderline"/>
        </w:rPr>
        <w:t xml:space="preserve"> of possibility </w:t>
      </w:r>
      <w:r w:rsidRPr="00DD2D90">
        <w:rPr>
          <w:rStyle w:val="StyleUnderline"/>
          <w:highlight w:val="green"/>
        </w:rPr>
        <w:t>that enable</w:t>
      </w:r>
      <w:r w:rsidRPr="00DD2D90">
        <w:rPr>
          <w:rStyle w:val="StyleUnderline"/>
        </w:rPr>
        <w:t xml:space="preserve"> </w:t>
      </w:r>
      <w:r w:rsidRPr="00DD2D90">
        <w:rPr>
          <w:rStyle w:val="StyleUnderline"/>
          <w:highlight w:val="green"/>
        </w:rPr>
        <w:t>the</w:t>
      </w:r>
      <w:r w:rsidRPr="00DD2D90">
        <w:rPr>
          <w:rStyle w:val="StyleUnderline"/>
        </w:rPr>
        <w:t xml:space="preserve"> sustained emergence and proliferation of </w:t>
      </w:r>
      <w:r w:rsidRPr="00DD2D90">
        <w:rPr>
          <w:rStyle w:val="StyleUnderline"/>
          <w:highlight w:val="green"/>
        </w:rPr>
        <w:t>debility, capacity, and disability</w:t>
      </w:r>
      <w:r w:rsidRPr="009C4A5A">
        <w:rPr>
          <w:sz w:val="16"/>
        </w:rPr>
        <w:t xml:space="preserve">. 4 </w:t>
      </w:r>
      <w:r w:rsidRPr="00DD2D90">
        <w:rPr>
          <w:rStyle w:val="StyleUnderline"/>
          <w:highlight w:val="green"/>
        </w:rPr>
        <w:t>Healthcare is</w:t>
      </w:r>
      <w:r w:rsidRPr="00DD2D90">
        <w:rPr>
          <w:rStyle w:val="StyleUnderline"/>
        </w:rPr>
        <w:t xml:space="preserve"> both </w:t>
      </w:r>
      <w:r w:rsidRPr="00DD2D90">
        <w:rPr>
          <w:rStyle w:val="StyleUnderline"/>
          <w:highlight w:val="green"/>
        </w:rPr>
        <w:t>a</w:t>
      </w:r>
      <w:r w:rsidRPr="00DD2D90">
        <w:rPr>
          <w:rStyle w:val="StyleUnderline"/>
        </w:rPr>
        <w:t xml:space="preserve"> </w:t>
      </w:r>
      <w:r w:rsidRPr="00DD2D90">
        <w:rPr>
          <w:rStyle w:val="Emphasis"/>
          <w:highlight w:val="green"/>
        </w:rPr>
        <w:t>commodity</w:t>
      </w:r>
      <w:r w:rsidRPr="00DD2D90">
        <w:rPr>
          <w:rStyle w:val="StyleUnderline"/>
          <w:highlight w:val="green"/>
        </w:rPr>
        <w:t xml:space="preserve"> to be consumed by the patient and</w:t>
      </w:r>
      <w:r w:rsidRPr="00DD2D90">
        <w:rPr>
          <w:rStyle w:val="StyleUnderline"/>
        </w:rPr>
        <w:t xml:space="preserve"> also </w:t>
      </w:r>
      <w:r w:rsidRPr="00DD2D90">
        <w:rPr>
          <w:rStyle w:val="StyleUnderline"/>
          <w:highlight w:val="green"/>
        </w:rPr>
        <w:t>a manner of re-capacitating bodies to return</w:t>
      </w:r>
      <w:r w:rsidRPr="00DD2D90">
        <w:rPr>
          <w:rStyle w:val="StyleUnderline"/>
        </w:rPr>
        <w:t xml:space="preserve"> </w:t>
      </w:r>
      <w:r w:rsidRPr="00DD2D90">
        <w:rPr>
          <w:rStyle w:val="StyleUnderline"/>
          <w:highlight w:val="green"/>
        </w:rPr>
        <w:t>to labor</w:t>
      </w:r>
      <w:r w:rsidRPr="009C4A5A">
        <w:rPr>
          <w:sz w:val="16"/>
        </w:rPr>
        <w:t xml:space="preserve">. This is where we begin to see healthcare professions as appearing altruistic through their provision of “health” while participating in the very capitalist machine that debilitates people and capacitates people. Inequity There is the obvious argument that those who are in marginalized social locations are disproportionately more negatively affected by the destruction of health and by lack of access to conditions for living than those who are more privileged. This can be understood as the complex interaction of vocation, access to health services, access to affordable healthy food, financial security, community safety and so forth. However, scholars such as Puar insist that these </w:t>
      </w:r>
      <w:r w:rsidRPr="00DD2D90">
        <w:rPr>
          <w:rStyle w:val="StyleUnderline"/>
        </w:rPr>
        <w:t>inequalities are not a mere glitch</w:t>
      </w:r>
      <w:r w:rsidRPr="009C4A5A">
        <w:rPr>
          <w:sz w:val="16"/>
        </w:rPr>
        <w:t xml:space="preserve"> in the system but part of its mechanism. </w:t>
      </w:r>
      <w:r w:rsidRPr="00DD2D90">
        <w:rPr>
          <w:rStyle w:val="StyleUnderline"/>
        </w:rPr>
        <w:t xml:space="preserve">Debilitation is “no accident but [is] part of the biopolitical scripting of populations available for injury,” </w:t>
      </w:r>
      <w:r w:rsidRPr="00DD2D90">
        <w:rPr>
          <w:rStyle w:val="StyleUnderline"/>
          <w:highlight w:val="green"/>
        </w:rPr>
        <w:t>the state predisposes those who are to be debilitated</w:t>
      </w:r>
      <w:r w:rsidRPr="009C4A5A">
        <w:rPr>
          <w:sz w:val="16"/>
        </w:rPr>
        <w:t xml:space="preserve"> 4. The politics of </w:t>
      </w:r>
      <w:r w:rsidRPr="00DD2D90">
        <w:rPr>
          <w:rStyle w:val="StyleUnderline"/>
          <w:highlight w:val="green"/>
        </w:rPr>
        <w:t>debilitation</w:t>
      </w:r>
      <w:r w:rsidRPr="009C4A5A">
        <w:rPr>
          <w:sz w:val="16"/>
        </w:rPr>
        <w:t xml:space="preserve">, according to Puar, </w:t>
      </w:r>
      <w:r w:rsidRPr="00DD2D90">
        <w:rPr>
          <w:rStyle w:val="StyleUnderline"/>
          <w:highlight w:val="green"/>
        </w:rPr>
        <w:t>render some</w:t>
      </w:r>
      <w:r w:rsidRPr="00DD2D90">
        <w:rPr>
          <w:rStyle w:val="StyleUnderline"/>
        </w:rPr>
        <w:t xml:space="preserve"> </w:t>
      </w:r>
      <w:r w:rsidRPr="00DD2D90">
        <w:rPr>
          <w:rStyle w:val="StyleUnderline"/>
          <w:highlight w:val="green"/>
        </w:rPr>
        <w:t>populations as</w:t>
      </w:r>
      <w:r w:rsidRPr="00DD2D90">
        <w:rPr>
          <w:rStyle w:val="StyleUnderline"/>
        </w:rPr>
        <w:t xml:space="preserve"> definitively </w:t>
      </w:r>
      <w:r w:rsidRPr="00DD2D90">
        <w:rPr>
          <w:rStyle w:val="StyleUnderline"/>
          <w:highlight w:val="green"/>
        </w:rPr>
        <w:t>unworthy of health and targeted for injury</w:t>
      </w:r>
      <w:r w:rsidRPr="009C4A5A">
        <w:rPr>
          <w:sz w:val="16"/>
        </w:rPr>
        <w:t xml:space="preserve">. </w:t>
      </w:r>
      <w:r w:rsidRPr="00DD2D90">
        <w:rPr>
          <w:rStyle w:val="StyleUnderline"/>
        </w:rPr>
        <w:t>The labor class</w:t>
      </w:r>
      <w:r w:rsidRPr="009C4A5A">
        <w:rPr>
          <w:sz w:val="16"/>
        </w:rPr>
        <w:t xml:space="preserve">, for example, </w:t>
      </w:r>
      <w:r w:rsidRPr="00DD2D90">
        <w:rPr>
          <w:rStyle w:val="StyleUnderline"/>
        </w:rPr>
        <w:t>are disposable populations consigned to having accidents</w:t>
      </w:r>
      <w:r w:rsidRPr="009C4A5A">
        <w:rPr>
          <w:sz w:val="16"/>
        </w:rPr>
        <w:t xml:space="preserve">. This is especially true for populations and </w:t>
      </w:r>
      <w:r w:rsidRPr="00DD2D90">
        <w:rPr>
          <w:rStyle w:val="StyleUnderline"/>
        </w:rPr>
        <w:t>bodies</w:t>
      </w:r>
      <w:r w:rsidRPr="009C4A5A">
        <w:rPr>
          <w:sz w:val="16"/>
        </w:rPr>
        <w:t xml:space="preserve"> that are </w:t>
      </w:r>
      <w:r w:rsidRPr="00DD2D90">
        <w:rPr>
          <w:rStyle w:val="StyleUnderline"/>
        </w:rPr>
        <w:t>slated for high risk work</w:t>
      </w:r>
      <w:r w:rsidRPr="009C4A5A">
        <w:rPr>
          <w:sz w:val="16"/>
        </w:rPr>
        <w:t xml:space="preserve">. They </w:t>
      </w:r>
      <w:r w:rsidRPr="00DD2D90">
        <w:rPr>
          <w:rStyle w:val="StyleUnderline"/>
        </w:rPr>
        <w:t>are made to pay for progress by being targeted for premature slow death</w:t>
      </w:r>
      <w:r w:rsidRPr="009C4A5A">
        <w:rPr>
          <w:sz w:val="16"/>
        </w:rPr>
        <w:t xml:space="preserve"> through debilitation, risking a body’s health by doing risky labor and once </w:t>
      </w:r>
      <w:r w:rsidRPr="00DD2D90">
        <w:rPr>
          <w:rStyle w:val="StyleUnderline"/>
        </w:rPr>
        <w:t>injured</w:t>
      </w:r>
      <w:r w:rsidRPr="009C4A5A">
        <w:rPr>
          <w:sz w:val="16"/>
        </w:rPr>
        <w:t xml:space="preserve">, </w:t>
      </w:r>
      <w:r w:rsidRPr="00DD2D90">
        <w:rPr>
          <w:rStyle w:val="StyleUnderline"/>
        </w:rPr>
        <w:t>furthers the economy by becoming a consumer of the medical industrial complex</w:t>
      </w:r>
      <w:r w:rsidRPr="009C4A5A">
        <w:rPr>
          <w:sz w:val="16"/>
        </w:rPr>
        <w:t xml:space="preserve">. Other bodies are made to pay for progress through capacitation, the maintenance of certain bodies to continue being productive bodies of labor. Or capacitation could be the process by which debilitated bodies are available or deemed valuable enough for rehabilitation back into the labor market. </w:t>
      </w:r>
      <w:r w:rsidRPr="00DD2D90">
        <w:rPr>
          <w:rStyle w:val="StyleUnderline"/>
          <w:highlight w:val="green"/>
        </w:rPr>
        <w:t>The balance</w:t>
      </w:r>
      <w:r w:rsidRPr="00DD2D90">
        <w:rPr>
          <w:rStyle w:val="StyleUnderline"/>
        </w:rPr>
        <w:t xml:space="preserve"> </w:t>
      </w:r>
      <w:r w:rsidRPr="00DD2D90">
        <w:rPr>
          <w:rStyle w:val="StyleUnderline"/>
          <w:highlight w:val="green"/>
        </w:rPr>
        <w:t>between being a productive laboring body, and being a productive patient</w:t>
      </w:r>
      <w:r w:rsidRPr="00DD2D90">
        <w:rPr>
          <w:rStyle w:val="StyleUnderline"/>
        </w:rPr>
        <w:t xml:space="preserve"> that participates in the medical industrial complex </w:t>
      </w:r>
      <w:r w:rsidRPr="00DD2D90">
        <w:rPr>
          <w:rStyle w:val="StyleUnderline"/>
          <w:highlight w:val="green"/>
        </w:rPr>
        <w:t>is</w:t>
      </w:r>
      <w:r w:rsidRPr="00DD2D90">
        <w:rPr>
          <w:rStyle w:val="StyleUnderline"/>
        </w:rPr>
        <w:t xml:space="preserve"> a fine balance that is </w:t>
      </w:r>
      <w:r w:rsidRPr="00DD2D90">
        <w:rPr>
          <w:rStyle w:val="StyleUnderline"/>
          <w:highlight w:val="green"/>
        </w:rPr>
        <w:t>very lucrative to the capitalist</w:t>
      </w:r>
      <w:r w:rsidRPr="00DD2D90">
        <w:rPr>
          <w:rStyle w:val="StyleUnderline"/>
        </w:rPr>
        <w:t xml:space="preserve"> </w:t>
      </w:r>
      <w:r w:rsidRPr="00DD2D90">
        <w:rPr>
          <w:rStyle w:val="StyleUnderline"/>
          <w:highlight w:val="green"/>
        </w:rPr>
        <w:t>class</w:t>
      </w:r>
      <w:r w:rsidRPr="009C4A5A">
        <w:rPr>
          <w:sz w:val="16"/>
        </w:rPr>
        <w:t xml:space="preserve">. Thus, </w:t>
      </w:r>
      <w:r w:rsidRPr="00DD2D90">
        <w:rPr>
          <w:rStyle w:val="StyleUnderline"/>
        </w:rPr>
        <w:t>the modulation of slow death</w:t>
      </w:r>
      <w:r w:rsidRPr="009C4A5A">
        <w:rPr>
          <w:sz w:val="16"/>
        </w:rPr>
        <w:t xml:space="preserve"> in certain populations </w:t>
      </w:r>
      <w:r w:rsidRPr="00DD2D90">
        <w:rPr>
          <w:rStyle w:val="StyleUnderline"/>
        </w:rPr>
        <w:t>is</w:t>
      </w:r>
      <w:r w:rsidRPr="009C4A5A">
        <w:rPr>
          <w:sz w:val="16"/>
        </w:rPr>
        <w:t xml:space="preserve"> an exercise of </w:t>
      </w:r>
      <w:r w:rsidRPr="00DD2D90">
        <w:rPr>
          <w:rStyle w:val="StyleUnderline"/>
        </w:rPr>
        <w:t>power over people, to force their living not just to happen but to endure</w:t>
      </w:r>
      <w:r w:rsidRPr="009C4A5A">
        <w:rPr>
          <w:sz w:val="16"/>
        </w:rPr>
        <w:t xml:space="preserve">. Many liberal </w:t>
      </w:r>
      <w:r w:rsidRPr="00DD2D90">
        <w:rPr>
          <w:rStyle w:val="StyleUnderline"/>
        </w:rPr>
        <w:t>activists</w:t>
      </w:r>
      <w:r w:rsidRPr="009C4A5A">
        <w:rPr>
          <w:sz w:val="16"/>
        </w:rPr>
        <w:t xml:space="preserve"> mistakenly </w:t>
      </w:r>
      <w:r w:rsidRPr="00DD2D90">
        <w:rPr>
          <w:rStyle w:val="StyleUnderline"/>
        </w:rPr>
        <w:t>call</w:t>
      </w:r>
      <w:r w:rsidRPr="009C4A5A">
        <w:rPr>
          <w:sz w:val="16"/>
        </w:rPr>
        <w:t xml:space="preserve"> the slow death and </w:t>
      </w:r>
      <w:r w:rsidRPr="00DD2D90">
        <w:rPr>
          <w:rStyle w:val="StyleUnderline"/>
          <w:highlight w:val="green"/>
        </w:rPr>
        <w:t>social murder</w:t>
      </w:r>
      <w:r w:rsidRPr="009C4A5A">
        <w:rPr>
          <w:sz w:val="16"/>
        </w:rPr>
        <w:t xml:space="preserve"> of vulnerable populations </w:t>
      </w:r>
      <w:r w:rsidRPr="00DD2D90">
        <w:rPr>
          <w:rStyle w:val="StyleUnderline"/>
        </w:rPr>
        <w:t xml:space="preserve">a crisis, when in fact it </w:t>
      </w:r>
      <w:r w:rsidRPr="00DD2D90">
        <w:rPr>
          <w:rStyle w:val="StyleUnderline"/>
          <w:highlight w:val="green"/>
        </w:rPr>
        <w:t xml:space="preserve">is a </w:t>
      </w:r>
      <w:r w:rsidRPr="00DD2D90">
        <w:rPr>
          <w:rStyle w:val="Emphasis"/>
          <w:highlight w:val="green"/>
        </w:rPr>
        <w:t>life sentence</w:t>
      </w:r>
      <w:r w:rsidRPr="009C4A5A">
        <w:rPr>
          <w:sz w:val="16"/>
        </w:rPr>
        <w:t xml:space="preserve"> - “a defining fact of life for a given population that lives it as a fact in ordinary time”5. Crises misdirects attention to make the environmental phenomenon that precipitate slow death appear as sudden, as an event. </w:t>
      </w:r>
      <w:r w:rsidRPr="00DD2D90">
        <w:rPr>
          <w:rStyle w:val="StyleUnderline"/>
        </w:rPr>
        <w:t>Slow death</w:t>
      </w:r>
      <w:r w:rsidRPr="009C4A5A">
        <w:rPr>
          <w:sz w:val="16"/>
        </w:rPr>
        <w:t xml:space="preserve"> for certain populations, however, </w:t>
      </w:r>
      <w:r w:rsidRPr="00DD2D90">
        <w:rPr>
          <w:rStyle w:val="StyleUnderline"/>
        </w:rPr>
        <w:t>is not a state of exception. It is a state of living</w:t>
      </w:r>
      <w:r w:rsidRPr="009C4A5A">
        <w:rPr>
          <w:sz w:val="16"/>
        </w:rPr>
        <w:t xml:space="preserve"> maintained by capital accumulation. Similarly, </w:t>
      </w:r>
      <w:r w:rsidRPr="00DD2D90">
        <w:rPr>
          <w:rStyle w:val="StyleUnderline"/>
          <w:highlight w:val="green"/>
        </w:rPr>
        <w:t xml:space="preserve">social determinants of health make “social” </w:t>
      </w:r>
      <w:r w:rsidRPr="00DD2D90">
        <w:rPr>
          <w:rStyle w:val="StyleUnderline"/>
        </w:rPr>
        <w:t xml:space="preserve">factors that cause the slow </w:t>
      </w:r>
      <w:r w:rsidRPr="00DD2D90">
        <w:rPr>
          <w:rStyle w:val="StyleUnderline"/>
          <w:highlight w:val="green"/>
        </w:rPr>
        <w:t xml:space="preserve">death </w:t>
      </w:r>
      <w:r w:rsidRPr="00DD2D90">
        <w:rPr>
          <w:rStyle w:val="StyleUnderline"/>
        </w:rPr>
        <w:t xml:space="preserve">of certain bodies </w:t>
      </w:r>
      <w:r w:rsidRPr="00DD2D90">
        <w:rPr>
          <w:rStyle w:val="StyleUnderline"/>
          <w:highlight w:val="green"/>
        </w:rPr>
        <w:t>appear natural, unfortunate, passive, and apolitical</w:t>
      </w:r>
      <w:r w:rsidRPr="009C4A5A">
        <w:rPr>
          <w:sz w:val="16"/>
        </w:rPr>
        <w:t xml:space="preserve">. As you might have guessed, I regard slow death anything but natural, apolitical, or accidental. Therefore, I prefer sociopolitical determinant of health, highlighting that </w:t>
      </w:r>
      <w:r w:rsidRPr="00DD2D90">
        <w:rPr>
          <w:rStyle w:val="StyleUnderline"/>
          <w:highlight w:val="green"/>
        </w:rPr>
        <w:t>inequality is attributable to a neocolonial</w:t>
      </w:r>
      <w:r w:rsidRPr="00DD2D90">
        <w:rPr>
          <w:rStyle w:val="StyleUnderline"/>
        </w:rPr>
        <w:t xml:space="preserve"> and imperial </w:t>
      </w:r>
      <w:r w:rsidRPr="00DD2D90">
        <w:rPr>
          <w:rStyle w:val="StyleUnderline"/>
          <w:highlight w:val="green"/>
        </w:rPr>
        <w:t>system</w:t>
      </w:r>
      <w:r w:rsidRPr="00DD2D90">
        <w:rPr>
          <w:rStyle w:val="StyleUnderline"/>
        </w:rPr>
        <w:t xml:space="preserve"> that is </w:t>
      </w:r>
      <w:r w:rsidRPr="00DD2D90">
        <w:rPr>
          <w:rStyle w:val="StyleUnderline"/>
          <w:highlight w:val="green"/>
        </w:rPr>
        <w:t>upheld by an elite class</w:t>
      </w:r>
      <w:r w:rsidRPr="009C4A5A">
        <w:rPr>
          <w:sz w:val="16"/>
        </w:rPr>
        <w:t xml:space="preserve"> 18. If health is political and structurally determined, we might imagine that the appropriate response would be to investigate and intervene on a collective and structural level. Here lies the problem with the biopsychosocial model of health, person centered care, and self-efficacy. Neoliberalism Since the biopsychosocial model of health boasts including the biological, psychological, and social domains into health, one would </w:t>
      </w:r>
      <w:r w:rsidRPr="00DD2D90">
        <w:rPr>
          <w:rStyle w:val="StyleUnderline"/>
        </w:rPr>
        <w:t>imagine that social</w:t>
      </w:r>
      <w:r w:rsidRPr="009C4A5A">
        <w:rPr>
          <w:sz w:val="16"/>
        </w:rPr>
        <w:t xml:space="preserve"> (</w:t>
      </w:r>
      <w:r w:rsidRPr="00DD2D90">
        <w:rPr>
          <w:rStyle w:val="StyleUnderline"/>
        </w:rPr>
        <w:t>and</w:t>
      </w:r>
      <w:r w:rsidRPr="009C4A5A">
        <w:rPr>
          <w:sz w:val="16"/>
        </w:rPr>
        <w:t xml:space="preserve"> therefore </w:t>
      </w:r>
      <w:r w:rsidRPr="00DD2D90">
        <w:rPr>
          <w:rStyle w:val="StyleUnderline"/>
        </w:rPr>
        <w:t>political</w:t>
      </w:r>
      <w:r w:rsidRPr="009C4A5A">
        <w:rPr>
          <w:sz w:val="16"/>
        </w:rPr>
        <w:t xml:space="preserve">) </w:t>
      </w:r>
      <w:r w:rsidRPr="00DD2D90">
        <w:rPr>
          <w:rStyle w:val="StyleUnderline"/>
        </w:rPr>
        <w:t>aspects of health would be addressed with the same or greater fervency as the biological and psychological domains</w:t>
      </w:r>
      <w:r w:rsidRPr="009C4A5A">
        <w:rPr>
          <w:sz w:val="16"/>
        </w:rPr>
        <w:t xml:space="preserve">. </w:t>
      </w:r>
      <w:r w:rsidRPr="00DD2D90">
        <w:rPr>
          <w:rStyle w:val="StyleUnderline"/>
        </w:rPr>
        <w:t xml:space="preserve">This is </w:t>
      </w:r>
      <w:r w:rsidRPr="00DD2D90">
        <w:rPr>
          <w:rStyle w:val="Emphasis"/>
        </w:rPr>
        <w:t>not</w:t>
      </w:r>
      <w:r w:rsidRPr="00DD2D90">
        <w:rPr>
          <w:rStyle w:val="StyleUnderline"/>
        </w:rPr>
        <w:t xml:space="preserve"> the case</w:t>
      </w:r>
      <w:r w:rsidRPr="009C4A5A">
        <w:rPr>
          <w:sz w:val="16"/>
        </w:rPr>
        <w:t xml:space="preserve">. </w:t>
      </w:r>
      <w:r w:rsidRPr="00DD2D90">
        <w:rPr>
          <w:rStyle w:val="Emphasis"/>
        </w:rPr>
        <w:t>Why</w:t>
      </w:r>
      <w:r w:rsidRPr="009C4A5A">
        <w:rPr>
          <w:sz w:val="16"/>
        </w:rPr>
        <w:t xml:space="preserve"> is that? It is </w:t>
      </w:r>
      <w:r w:rsidRPr="00DD2D90">
        <w:rPr>
          <w:rStyle w:val="StyleUnderline"/>
        </w:rPr>
        <w:t>the same reason</w:t>
      </w:r>
      <w:r w:rsidRPr="009C4A5A">
        <w:rPr>
          <w:sz w:val="16"/>
        </w:rPr>
        <w:t xml:space="preserve"> that in 2004 British Petroleum (</w:t>
      </w:r>
      <w:r w:rsidRPr="00DD2D90">
        <w:rPr>
          <w:rStyle w:val="StyleUnderline"/>
        </w:rPr>
        <w:t>BP</w:t>
      </w:r>
      <w:r w:rsidRPr="009C4A5A">
        <w:rPr>
          <w:sz w:val="16"/>
        </w:rPr>
        <w:t xml:space="preserve">) </w:t>
      </w:r>
      <w:r w:rsidRPr="00DD2D90">
        <w:rPr>
          <w:rStyle w:val="StyleUnderline"/>
        </w:rPr>
        <w:t>hired</w:t>
      </w:r>
      <w:r w:rsidRPr="009C4A5A">
        <w:rPr>
          <w:sz w:val="16"/>
        </w:rPr>
        <w:t xml:space="preserve"> the </w:t>
      </w:r>
      <w:r w:rsidRPr="00DD2D90">
        <w:rPr>
          <w:rStyle w:val="StyleUnderline"/>
        </w:rPr>
        <w:t>public relations professionals</w:t>
      </w:r>
      <w:r w:rsidRPr="009C4A5A">
        <w:rPr>
          <w:sz w:val="16"/>
        </w:rPr>
        <w:t xml:space="preserve"> Ogilvy &amp; Mather </w:t>
      </w:r>
      <w:r w:rsidRPr="00DD2D90">
        <w:rPr>
          <w:rStyle w:val="StyleUnderline"/>
        </w:rPr>
        <w:t>to promote the idea that climate change is not the fault of oil companies but of individuals by promoting</w:t>
      </w:r>
      <w:r w:rsidRPr="009C4A5A">
        <w:rPr>
          <w:sz w:val="16"/>
        </w:rPr>
        <w:t xml:space="preserve"> and popularizing the concept of </w:t>
      </w:r>
      <w:r w:rsidRPr="00DD2D90">
        <w:rPr>
          <w:rStyle w:val="StyleUnderline"/>
        </w:rPr>
        <w:t>a “</w:t>
      </w:r>
      <w:r w:rsidRPr="00DD2D90">
        <w:rPr>
          <w:rStyle w:val="Emphasis"/>
        </w:rPr>
        <w:t>carbon footprint</w:t>
      </w:r>
      <w:r w:rsidRPr="009C4A5A">
        <w:rPr>
          <w:sz w:val="16"/>
        </w:rPr>
        <w:t xml:space="preserve">”. All wanting to do our part, we could now effortlessly determine how our normal daily lives are contributing to climate change. </w:t>
      </w:r>
      <w:r w:rsidRPr="00DD2D90">
        <w:rPr>
          <w:rStyle w:val="StyleUnderline"/>
        </w:rPr>
        <w:t>This was</w:t>
      </w:r>
      <w:r w:rsidRPr="009C4A5A">
        <w:rPr>
          <w:sz w:val="16"/>
        </w:rPr>
        <w:t xml:space="preserve"> a genius tactic in </w:t>
      </w:r>
      <w:r w:rsidRPr="00DD2D90">
        <w:rPr>
          <w:rStyle w:val="Emphasis"/>
        </w:rPr>
        <w:t>diverting attention</w:t>
      </w:r>
      <w:r w:rsidRPr="00DD2D90">
        <w:rPr>
          <w:rStyle w:val="StyleUnderline"/>
        </w:rPr>
        <w:t xml:space="preserve"> away from corporations </w:t>
      </w:r>
      <w:r w:rsidRPr="009C4A5A">
        <w:rPr>
          <w:sz w:val="16"/>
        </w:rPr>
        <w:t xml:space="preserve">that are </w:t>
      </w:r>
      <w:r w:rsidRPr="00DD2D90">
        <w:rPr>
          <w:rStyle w:val="StyleUnderline"/>
        </w:rPr>
        <w:t>largely responsible for</w:t>
      </w:r>
      <w:r w:rsidRPr="009C4A5A">
        <w:rPr>
          <w:sz w:val="16"/>
        </w:rPr>
        <w:t xml:space="preserve"> climate </w:t>
      </w:r>
      <w:r w:rsidRPr="00DD2D90">
        <w:rPr>
          <w:rStyle w:val="StyleUnderline"/>
        </w:rPr>
        <w:t>disaster</w:t>
      </w:r>
      <w:r w:rsidRPr="009C4A5A">
        <w:rPr>
          <w:sz w:val="16"/>
        </w:rPr>
        <w:t xml:space="preserve">. Sorry to say, no amount of paper straw use will reverse the effects of unregulated dumping of millions of tons of waste into the ocean daily by corporations. Since just 100 companies are responsible for 71% of global emissions, no amount of cycling to work will make a dent in the 37 billion metric tons of carbon dioxide released into the atmosphere every year by corporations 19. Similarly in health, </w:t>
      </w:r>
      <w:r w:rsidRPr="00DD2D90">
        <w:rPr>
          <w:rStyle w:val="StyleUnderline"/>
        </w:rPr>
        <w:t>the responsibility is placed on the individual to make better dietary choices</w:t>
      </w:r>
      <w:r w:rsidRPr="009C4A5A">
        <w:rPr>
          <w:sz w:val="16"/>
        </w:rPr>
        <w:t xml:space="preserve"> by ensuring calories are visible on packaging and high sugar soft drinks are more heavily taxed (in certain countries anyway). But </w:t>
      </w:r>
      <w:r w:rsidRPr="00DD2D90">
        <w:rPr>
          <w:rStyle w:val="StyleUnderline"/>
        </w:rPr>
        <w:t>there is less attention placed on corporations that are incentivised by profit to make “unhealthy”, highly palatable foods widely accessible</w:t>
      </w:r>
      <w:r w:rsidRPr="009C4A5A">
        <w:rPr>
          <w:sz w:val="16"/>
        </w:rPr>
        <w:t xml:space="preserve"> (especially to poorer communities) </w:t>
      </w:r>
      <w:r w:rsidRPr="00DD2D90">
        <w:rPr>
          <w:rStyle w:val="StyleUnderline"/>
        </w:rPr>
        <w:t>at a fraction of the cost</w:t>
      </w:r>
      <w:r w:rsidRPr="009C4A5A">
        <w:rPr>
          <w:sz w:val="16"/>
        </w:rPr>
        <w:t xml:space="preserve"> of healthier alternatives. This is the case with most, if not all, health related decisions. The set of economic beliefs that makes this individualistic nonsense possible is called neoliberalism, a tactic first invented and deployed in both the US and UK in the early 1980s and is now a dominant set of beliefs that has become naturalized in the Global North, the majority of “Western” countries hold neoliberal beliefs with little cognizance of it. </w:t>
      </w:r>
      <w:r w:rsidRPr="00DD2D90">
        <w:rPr>
          <w:rStyle w:val="Emphasis"/>
          <w:highlight w:val="green"/>
        </w:rPr>
        <w:t>Neoliberalism</w:t>
      </w:r>
      <w:r w:rsidRPr="00DD2D90">
        <w:rPr>
          <w:rStyle w:val="StyleUnderline"/>
          <w:highlight w:val="green"/>
        </w:rPr>
        <w:t xml:space="preserve"> presupposes</w:t>
      </w:r>
      <w:r w:rsidRPr="00DD2D90">
        <w:rPr>
          <w:rStyle w:val="StyleUnderline"/>
        </w:rPr>
        <w:t xml:space="preserve"> that the individual is primary over the collective.</w:t>
      </w:r>
      <w:r w:rsidRPr="009C4A5A">
        <w:rPr>
          <w:sz w:val="16"/>
        </w:rPr>
        <w:t xml:space="preserve"> As Margaret Thatcher famously said “there is no such thing as society” but only “individual men and women.” Neoliberalism posits that market forces of supply and demand create an optimal distribution of resources within society, thereby maximizing personal well-being of individuals and communities. The rapid uptake of </w:t>
      </w:r>
      <w:r w:rsidRPr="00DD2D90">
        <w:rPr>
          <w:rStyle w:val="StyleUnderline"/>
        </w:rPr>
        <w:t>this</w:t>
      </w:r>
      <w:r w:rsidRPr="009C4A5A">
        <w:rPr>
          <w:sz w:val="16"/>
        </w:rPr>
        <w:t xml:space="preserve"> ideology </w:t>
      </w:r>
      <w:r w:rsidRPr="00DD2D90">
        <w:rPr>
          <w:rStyle w:val="StyleUnderline"/>
        </w:rPr>
        <w:t>led</w:t>
      </w:r>
      <w:r w:rsidRPr="009C4A5A">
        <w:rPr>
          <w:sz w:val="16"/>
        </w:rPr>
        <w:t xml:space="preserve"> </w:t>
      </w:r>
      <w:r w:rsidRPr="00DD2D90">
        <w:rPr>
          <w:rStyle w:val="StyleUnderline"/>
        </w:rPr>
        <w:t>to</w:t>
      </w:r>
      <w:r w:rsidRPr="009C4A5A">
        <w:rPr>
          <w:sz w:val="16"/>
        </w:rPr>
        <w:t xml:space="preserve"> widespread </w:t>
      </w:r>
      <w:r w:rsidRPr="00DD2D90">
        <w:rPr>
          <w:rStyle w:val="StyleUnderline"/>
        </w:rPr>
        <w:t>policy</w:t>
      </w:r>
      <w:r w:rsidRPr="009C4A5A">
        <w:rPr>
          <w:sz w:val="16"/>
        </w:rPr>
        <w:t xml:space="preserve"> reforms </w:t>
      </w:r>
      <w:r w:rsidRPr="00DD2D90">
        <w:rPr>
          <w:rStyle w:val="StyleUnderline"/>
        </w:rPr>
        <w:t>where</w:t>
      </w:r>
      <w:r w:rsidRPr="009C4A5A">
        <w:rPr>
          <w:sz w:val="16"/>
        </w:rPr>
        <w:t xml:space="preserve"> the majority of social needs (such as </w:t>
      </w:r>
      <w:r w:rsidRPr="00DD2D90">
        <w:rPr>
          <w:rStyle w:val="StyleUnderline"/>
        </w:rPr>
        <w:t>healthcare</w:t>
      </w:r>
      <w:r w:rsidRPr="009C4A5A">
        <w:rPr>
          <w:sz w:val="16"/>
        </w:rPr>
        <w:t xml:space="preserve">) </w:t>
      </w:r>
      <w:r w:rsidRPr="00DD2D90">
        <w:rPr>
          <w:rStyle w:val="StyleUnderline"/>
        </w:rPr>
        <w:t>were privatized and put on a market that one could buy into</w:t>
      </w:r>
      <w:r w:rsidRPr="009C4A5A">
        <w:rPr>
          <w:sz w:val="16"/>
        </w:rPr>
        <w:t xml:space="preserve">. These needs were, therefore, no longer provided by society or the government but were privatized so the individual could pay for their needs to be met by buying commodities from private corporations. In neoliberalism, </w:t>
      </w:r>
      <w:r w:rsidRPr="00DD2D90">
        <w:rPr>
          <w:rStyle w:val="StyleUnderline"/>
        </w:rPr>
        <w:t xml:space="preserve">one’s </w:t>
      </w:r>
      <w:r w:rsidRPr="00DD2D90">
        <w:rPr>
          <w:rStyle w:val="StyleUnderline"/>
          <w:highlight w:val="green"/>
        </w:rPr>
        <w:t>health is determined by one’s own ability</w:t>
      </w:r>
      <w:r w:rsidRPr="00DD2D90">
        <w:rPr>
          <w:rStyle w:val="StyleUnderline"/>
        </w:rPr>
        <w:t xml:space="preserve"> </w:t>
      </w:r>
      <w:r w:rsidRPr="00DD2D90">
        <w:rPr>
          <w:rStyle w:val="StyleUnderline"/>
          <w:highlight w:val="green"/>
        </w:rPr>
        <w:t>and</w:t>
      </w:r>
      <w:r w:rsidRPr="00DD2D90">
        <w:rPr>
          <w:rStyle w:val="StyleUnderline"/>
        </w:rPr>
        <w:t xml:space="preserve"> responsibility to “pull oneself up by the bootstraps”, labor for </w:t>
      </w:r>
      <w:r w:rsidRPr="00DD2D90">
        <w:rPr>
          <w:rStyle w:val="StyleUnderline"/>
          <w:highlight w:val="green"/>
        </w:rPr>
        <w:t>wages</w:t>
      </w:r>
      <w:r w:rsidRPr="00DD2D90">
        <w:rPr>
          <w:rStyle w:val="StyleUnderline"/>
        </w:rPr>
        <w:t xml:space="preserve">, then </w:t>
      </w:r>
      <w:r w:rsidRPr="00DD2D90">
        <w:rPr>
          <w:rStyle w:val="StyleUnderline"/>
          <w:highlight w:val="green"/>
        </w:rPr>
        <w:t>buying commodities</w:t>
      </w:r>
      <w:r w:rsidRPr="00DD2D90">
        <w:rPr>
          <w:rStyle w:val="StyleUnderline"/>
        </w:rPr>
        <w:t xml:space="preserve"> one can afford.</w:t>
      </w:r>
      <w:r w:rsidRPr="009C4A5A">
        <w:rPr>
          <w:sz w:val="16"/>
        </w:rPr>
        <w:t xml:space="preserve"> </w:t>
      </w:r>
      <w:r w:rsidRPr="00DD2D90">
        <w:rPr>
          <w:rStyle w:val="StyleUnderline"/>
          <w:highlight w:val="green"/>
        </w:rPr>
        <w:t>Issues</w:t>
      </w:r>
      <w:r w:rsidRPr="009C4A5A">
        <w:rPr>
          <w:sz w:val="16"/>
        </w:rPr>
        <w:t xml:space="preserve">, such as economic inequality, </w:t>
      </w:r>
      <w:r w:rsidRPr="00DD2D90">
        <w:rPr>
          <w:rStyle w:val="StyleUnderline"/>
          <w:highlight w:val="green"/>
        </w:rPr>
        <w:t xml:space="preserve">became </w:t>
      </w:r>
      <w:r w:rsidRPr="00DD2D90">
        <w:rPr>
          <w:rStyle w:val="Emphasis"/>
          <w:highlight w:val="green"/>
        </w:rPr>
        <w:t>apolitical</w:t>
      </w:r>
      <w:r w:rsidRPr="009C4A5A">
        <w:rPr>
          <w:sz w:val="16"/>
        </w:rPr>
        <w:t xml:space="preserve">, merely </w:t>
      </w:r>
      <w:r w:rsidRPr="00DD2D90">
        <w:rPr>
          <w:rStyle w:val="StyleUnderline"/>
          <w:highlight w:val="green"/>
        </w:rPr>
        <w:t>reduced to personal responsibility</w:t>
      </w:r>
      <w:r w:rsidRPr="00DD2D90">
        <w:rPr>
          <w:rStyle w:val="StyleUnderline"/>
        </w:rPr>
        <w:t xml:space="preserve"> and choice</w:t>
      </w:r>
      <w:r w:rsidRPr="009C4A5A">
        <w:rPr>
          <w:sz w:val="16"/>
        </w:rPr>
        <w:t xml:space="preserve">. The rise of </w:t>
      </w:r>
      <w:r w:rsidRPr="00DD2D90">
        <w:rPr>
          <w:rStyle w:val="StyleUnderline"/>
        </w:rPr>
        <w:t>neoliberalism</w:t>
      </w:r>
      <w:r w:rsidRPr="009C4A5A">
        <w:rPr>
          <w:sz w:val="16"/>
        </w:rPr>
        <w:t xml:space="preserve"> is one of the factors that </w:t>
      </w:r>
      <w:r w:rsidRPr="00DD2D90">
        <w:rPr>
          <w:rStyle w:val="StyleUnderline"/>
        </w:rPr>
        <w:t xml:space="preserve">made health promotion </w:t>
      </w:r>
      <w:r w:rsidRPr="009C4A5A">
        <w:rPr>
          <w:sz w:val="16"/>
        </w:rPr>
        <w:t xml:space="preserve">and behavior change </w:t>
      </w:r>
      <w:r w:rsidRPr="00DD2D90">
        <w:rPr>
          <w:rStyle w:val="StyleUnderline"/>
        </w:rPr>
        <w:t>interventions</w:t>
      </w:r>
      <w:r w:rsidRPr="009C4A5A">
        <w:rPr>
          <w:sz w:val="16"/>
        </w:rPr>
        <w:t xml:space="preserve"> so </w:t>
      </w:r>
      <w:r w:rsidRPr="00DD2D90">
        <w:rPr>
          <w:rStyle w:val="StyleUnderline"/>
        </w:rPr>
        <w:t>popular among public health practitioners</w:t>
      </w:r>
      <w:r w:rsidRPr="009C4A5A">
        <w:rPr>
          <w:sz w:val="16"/>
        </w:rPr>
        <w:t xml:space="preserve"> and even healthcare practitioners too. </w:t>
      </w:r>
      <w:r w:rsidRPr="00DD2D90">
        <w:rPr>
          <w:rStyle w:val="StyleUnderline"/>
          <w:highlight w:val="green"/>
        </w:rPr>
        <w:t xml:space="preserve">Neoliberal distractions </w:t>
      </w:r>
      <w:r w:rsidRPr="00DD2D90">
        <w:rPr>
          <w:rStyle w:val="Emphasis"/>
          <w:highlight w:val="green"/>
        </w:rPr>
        <w:t>misplace the responsibility</w:t>
      </w:r>
      <w:r w:rsidRPr="009C4A5A">
        <w:rPr>
          <w:sz w:val="16"/>
          <w:highlight w:val="green"/>
        </w:rPr>
        <w:t xml:space="preserve"> </w:t>
      </w:r>
      <w:r w:rsidRPr="00DD2D90">
        <w:rPr>
          <w:rStyle w:val="StyleUnderline"/>
          <w:highlight w:val="green"/>
        </w:rPr>
        <w:t>of health on the individual</w:t>
      </w:r>
      <w:r w:rsidRPr="00DD2D90">
        <w:rPr>
          <w:rStyle w:val="StyleUnderline"/>
        </w:rPr>
        <w:t xml:space="preserve"> and their knowledge, </w:t>
      </w:r>
      <w:r w:rsidRPr="00DD2D90">
        <w:rPr>
          <w:rStyle w:val="StyleUnderline"/>
          <w:highlight w:val="green"/>
        </w:rPr>
        <w:t>rather than</w:t>
      </w:r>
      <w:r w:rsidRPr="009C4A5A">
        <w:rPr>
          <w:sz w:val="16"/>
        </w:rPr>
        <w:t xml:space="preserve"> on larger collective and </w:t>
      </w:r>
      <w:r w:rsidRPr="00DD2D90">
        <w:rPr>
          <w:rStyle w:val="StyleUnderline"/>
          <w:highlight w:val="green"/>
        </w:rPr>
        <w:t>systemic action</w:t>
      </w:r>
      <w:r w:rsidRPr="00DD2D90">
        <w:rPr>
          <w:rStyle w:val="StyleUnderline"/>
        </w:rPr>
        <w:t>.</w:t>
      </w:r>
      <w:r w:rsidRPr="009C4A5A">
        <w:rPr>
          <w:sz w:val="16"/>
        </w:rPr>
        <w:t xml:space="preserve"> </w:t>
      </w:r>
      <w:r w:rsidRPr="00DD2D90">
        <w:rPr>
          <w:rStyle w:val="StyleUnderline"/>
        </w:rPr>
        <w:t>If there is only an individual subject, there can be only individual action. If there is a collective subject, there can be collective action</w:t>
      </w:r>
      <w:r w:rsidRPr="009C4A5A">
        <w:rPr>
          <w:sz w:val="16"/>
        </w:rPr>
        <w:t>. Cognitive behavioral therapy, explain pain, mindfulness, acceptance and commitment therapy, and resilience building interventions, all participate in “responsiblizing” individuals to manage their own health, rather than moving towards building environments, cities, neighborhoods, and communities that prevent major health decay in the first place. Neoliberalism to Self-Efficacy Corporations and the ruling class have spent years constructing a society that has produced in us a subtle inner voice that says “you have the power to make yourself whatever you want to be.”20 As a result, ‘</w:t>
      </w:r>
      <w:r w:rsidRPr="00DD2D90">
        <w:rPr>
          <w:rStyle w:val="StyleUnderline"/>
        </w:rPr>
        <w:t>each individual member of the subordinate class is encouraged into feeling that their</w:t>
      </w:r>
      <w:r w:rsidRPr="009C4A5A">
        <w:rPr>
          <w:sz w:val="16"/>
        </w:rPr>
        <w:t xml:space="preserve"> poverty, </w:t>
      </w:r>
      <w:r w:rsidRPr="00DD2D90">
        <w:rPr>
          <w:rStyle w:val="StyleUnderline"/>
        </w:rPr>
        <w:t>lack</w:t>
      </w:r>
      <w:r w:rsidRPr="009C4A5A">
        <w:rPr>
          <w:sz w:val="16"/>
        </w:rPr>
        <w:t xml:space="preserve"> of opportunities, or unemployment, </w:t>
      </w:r>
      <w:r w:rsidRPr="00DD2D90">
        <w:rPr>
          <w:rStyle w:val="StyleUnderline"/>
        </w:rPr>
        <w:t>is</w:t>
      </w:r>
      <w:r w:rsidRPr="009C4A5A">
        <w:rPr>
          <w:sz w:val="16"/>
        </w:rPr>
        <w:t xml:space="preserve"> their fault and </w:t>
      </w:r>
      <w:r w:rsidRPr="00DD2D90">
        <w:rPr>
          <w:rStyle w:val="StyleUnderline"/>
        </w:rPr>
        <w:t>their fault alone</w:t>
      </w:r>
      <w:r w:rsidRPr="009C4A5A">
        <w:rPr>
          <w:sz w:val="16"/>
        </w:rPr>
        <w:t xml:space="preserve">.’ 20. </w:t>
      </w:r>
      <w:r w:rsidRPr="00DD2D90">
        <w:rPr>
          <w:rStyle w:val="StyleUnderline"/>
          <w:highlight w:val="green"/>
        </w:rPr>
        <w:t>We are all</w:t>
      </w:r>
      <w:r w:rsidRPr="00DD2D90">
        <w:rPr>
          <w:rStyle w:val="StyleUnderline"/>
        </w:rPr>
        <w:t xml:space="preserve"> uniquely and </w:t>
      </w:r>
      <w:r w:rsidRPr="00DD2D90">
        <w:rPr>
          <w:rStyle w:val="StyleUnderline"/>
          <w:highlight w:val="green"/>
        </w:rPr>
        <w:t>individually responsible for our own misery</w:t>
      </w:r>
      <w:r w:rsidRPr="009C4A5A">
        <w:rPr>
          <w:sz w:val="16"/>
        </w:rPr>
        <w:t xml:space="preserve">, our failure to thrive, our failure to become our ‘authentic’ selves, or our failure to achieve success. Constantly </w:t>
      </w:r>
      <w:r w:rsidRPr="00DD2D90">
        <w:rPr>
          <w:rStyle w:val="StyleUnderline"/>
          <w:highlight w:val="green"/>
        </w:rPr>
        <w:t>working on our health while systems of oppression profit from our debilitation</w:t>
      </w:r>
      <w:r w:rsidRPr="00DD2D90">
        <w:rPr>
          <w:rStyle w:val="StyleUnderline"/>
        </w:rPr>
        <w:t xml:space="preserve"> has </w:t>
      </w:r>
      <w:r w:rsidRPr="00DD2D90">
        <w:rPr>
          <w:rStyle w:val="StyleUnderline"/>
          <w:highlight w:val="green"/>
        </w:rPr>
        <w:t xml:space="preserve">led to widespread </w:t>
      </w:r>
      <w:r w:rsidRPr="00DD2D90">
        <w:rPr>
          <w:rStyle w:val="Emphasis"/>
          <w:highlight w:val="green"/>
        </w:rPr>
        <w:t>depression</w:t>
      </w:r>
      <w:r w:rsidRPr="00DD2D90">
        <w:rPr>
          <w:rStyle w:val="StyleUnderline"/>
          <w:highlight w:val="green"/>
        </w:rPr>
        <w:t xml:space="preserve"> and </w:t>
      </w:r>
      <w:r w:rsidRPr="00DD2D90">
        <w:rPr>
          <w:rStyle w:val="Emphasis"/>
          <w:highlight w:val="green"/>
        </w:rPr>
        <w:t>anxiety</w:t>
      </w:r>
      <w:r w:rsidRPr="00DD2D90">
        <w:rPr>
          <w:rStyle w:val="StyleUnderline"/>
        </w:rPr>
        <w:t>, feeling “good for nothing</w:t>
      </w:r>
      <w:r w:rsidRPr="009C4A5A">
        <w:rPr>
          <w:sz w:val="16"/>
        </w:rPr>
        <w:t xml:space="preserve">” as the late Mark Fisher wrote 20. For some time now, </w:t>
      </w:r>
      <w:r w:rsidRPr="00DD2D90">
        <w:rPr>
          <w:rStyle w:val="StyleUnderline"/>
          <w:highlight w:val="green"/>
        </w:rPr>
        <w:t>we</w:t>
      </w:r>
      <w:r w:rsidRPr="009C4A5A">
        <w:rPr>
          <w:sz w:val="16"/>
        </w:rPr>
        <w:t xml:space="preserve"> have increasingly </w:t>
      </w:r>
      <w:r w:rsidRPr="00DD2D90">
        <w:rPr>
          <w:rStyle w:val="StyleUnderline"/>
          <w:highlight w:val="green"/>
        </w:rPr>
        <w:t>accepted the idea that we are not the kind of people who can act</w:t>
      </w:r>
      <w:r w:rsidRPr="009C4A5A">
        <w:rPr>
          <w:sz w:val="16"/>
        </w:rPr>
        <w:t xml:space="preserve">. This isn’t a failure of will any more than an individual depressed person can ‘snap themselves out of it’ by ‘pulling their socks up’. 20 Most people should feel incapable of taking responsibility for their health because it is a justified feeling, there is little we can do as individuals about our health. </w:t>
      </w:r>
      <w:r w:rsidRPr="00DD2D90">
        <w:rPr>
          <w:rStyle w:val="StyleUnderline"/>
          <w:highlight w:val="green"/>
        </w:rPr>
        <w:t>Low self-efficacy and feeling wholly out of control is an appropriate response</w:t>
      </w:r>
      <w:r w:rsidRPr="00DD2D90">
        <w:rPr>
          <w:rStyle w:val="StyleUnderline"/>
        </w:rPr>
        <w:t xml:space="preserve"> </w:t>
      </w:r>
      <w:r w:rsidRPr="00DD2D90">
        <w:rPr>
          <w:rStyle w:val="StyleUnderline"/>
          <w:highlight w:val="green"/>
        </w:rPr>
        <w:t>to</w:t>
      </w:r>
      <w:r w:rsidRPr="009C4A5A">
        <w:rPr>
          <w:sz w:val="16"/>
        </w:rPr>
        <w:t xml:space="preserve"> the Earth being trashed by billionaires and </w:t>
      </w:r>
      <w:r w:rsidRPr="00DD2D90">
        <w:rPr>
          <w:rStyle w:val="StyleUnderline"/>
          <w:highlight w:val="green"/>
        </w:rPr>
        <w:t>our health</w:t>
      </w:r>
      <w:r w:rsidRPr="00DD2D90">
        <w:rPr>
          <w:rStyle w:val="StyleUnderline"/>
        </w:rPr>
        <w:t xml:space="preserve"> being risked for profit while we helplessly stand by as it happens</w:t>
      </w:r>
      <w:r w:rsidRPr="009C4A5A">
        <w:rPr>
          <w:sz w:val="16"/>
        </w:rPr>
        <w:t xml:space="preserve">. Or maybe someone has high self-efficacy for performing a task like “going for a walk” but the bigger question is “why?”. It is of no measure of health to be well adjusted to a profoundly sick society - J. Krishnamurti “Why go for a walk to improve my health by a small margin when </w:t>
      </w:r>
      <w:r w:rsidRPr="00DD2D90">
        <w:rPr>
          <w:rStyle w:val="StyleUnderline"/>
        </w:rPr>
        <w:t xml:space="preserve">most of my health has </w:t>
      </w:r>
      <w:r w:rsidRPr="00DD2D90">
        <w:rPr>
          <w:rStyle w:val="StyleUnderline"/>
          <w:highlight w:val="green"/>
        </w:rPr>
        <w:t>been hijacked and already decided for me</w:t>
      </w:r>
      <w:r w:rsidRPr="00DD2D90">
        <w:rPr>
          <w:rStyle w:val="StyleUnderline"/>
        </w:rPr>
        <w:t xml:space="preserve">? </w:t>
      </w:r>
      <w:r w:rsidRPr="00DD2D90">
        <w:rPr>
          <w:rStyle w:val="StyleUnderline"/>
          <w:highlight w:val="green"/>
        </w:rPr>
        <w:t>The speed of my slow death has been decided</w:t>
      </w:r>
      <w:r w:rsidRPr="009C4A5A">
        <w:rPr>
          <w:sz w:val="16"/>
        </w:rPr>
        <w:t xml:space="preserve">.” If there was a frog in a cauldron with high self-efficacy for swimming around in the cauldron while it was slowly heated, gradually boiling the frog, would high self-efficacy be a useful metric of health? If there was a frog living in a pristine pond teeming with life while believing that they are not very capable of swimming around in the pond, this might be a useful metric to promote well-being. In our current sociopolitical climate, self-efficacy has the danger of expending a lot of our energy paying attention to the frog while possibly overlooking the water. </w:t>
      </w:r>
      <w:r w:rsidRPr="00DD2D90">
        <w:rPr>
          <w:rStyle w:val="StyleUnderline"/>
        </w:rPr>
        <w:t xml:space="preserve">No amount of self-efficacy is going to stop the </w:t>
      </w:r>
      <w:r w:rsidRPr="00DD2D90">
        <w:rPr>
          <w:rStyle w:val="Emphasis"/>
        </w:rPr>
        <w:t>cauldron from boiling the frog</w:t>
      </w:r>
      <w:r w:rsidRPr="009C4A5A">
        <w:rPr>
          <w:sz w:val="16"/>
        </w:rPr>
        <w:t xml:space="preserve">. So, what is self-efficacy telling us? And whatever it is telling us, how much of the “health pie” does it make up? No amount of feeling capable of going for a walk actually gives anyone control over what jobs they have access to, the foods they have access to, the neighborhoods they have access to live in, the ecological climate they are exposed to, and so forth. But </w:t>
      </w:r>
      <w:r w:rsidRPr="00DD2D90">
        <w:rPr>
          <w:rStyle w:val="StyleUnderline"/>
        </w:rPr>
        <w:t xml:space="preserve">by focusing all our attention on helping patient’s </w:t>
      </w:r>
      <w:r w:rsidRPr="009C4A5A">
        <w:rPr>
          <w:sz w:val="16"/>
        </w:rPr>
        <w:t xml:space="preserve">pursue self-efficacy and empowerment, </w:t>
      </w:r>
      <w:r w:rsidRPr="00DD2D90">
        <w:rPr>
          <w:rStyle w:val="StyleUnderline"/>
        </w:rPr>
        <w:t>we encourage them to participate in the cycle of debilitation, consumption, production, repeat</w:t>
      </w:r>
      <w:r w:rsidRPr="009C4A5A">
        <w:rPr>
          <w:sz w:val="16"/>
        </w:rPr>
        <w:t xml:space="preserve">. In fact, physiotherapy (and </w:t>
      </w:r>
      <w:r w:rsidRPr="00DD2D90">
        <w:rPr>
          <w:rStyle w:val="StyleUnderline"/>
          <w:highlight w:val="green"/>
        </w:rPr>
        <w:t>rehabilitation</w:t>
      </w:r>
      <w:r w:rsidRPr="009C4A5A">
        <w:rPr>
          <w:sz w:val="16"/>
        </w:rPr>
        <w:t xml:space="preserve"> more broadly) </w:t>
      </w:r>
      <w:r w:rsidRPr="00DD2D90">
        <w:rPr>
          <w:rStyle w:val="StyleUnderline"/>
          <w:highlight w:val="green"/>
        </w:rPr>
        <w:t>is a key player in</w:t>
      </w:r>
      <w:r w:rsidRPr="00DD2D90">
        <w:rPr>
          <w:rStyle w:val="StyleUnderline"/>
        </w:rPr>
        <w:t xml:space="preserve"> both </w:t>
      </w:r>
      <w:r w:rsidRPr="00DD2D90">
        <w:rPr>
          <w:rStyle w:val="StyleUnderline"/>
          <w:highlight w:val="green"/>
        </w:rPr>
        <w:t>erasing the mechanisms that debilitate and capacitate bodies and fine tuning the sweet spot between productive laborer and faithful consumer</w:t>
      </w:r>
      <w:r w:rsidRPr="009C4A5A">
        <w:rPr>
          <w:sz w:val="16"/>
        </w:rPr>
        <w:t xml:space="preserve">. Yes, physiotherapists are health professionals that largely work with individuals. But we cannot claim to be considering the bio, psycho, and social when very little is being done on the level of the social. </w:t>
      </w:r>
      <w:r w:rsidRPr="00DD2D90">
        <w:rPr>
          <w:rStyle w:val="StyleUnderline"/>
        </w:rPr>
        <w:t xml:space="preserve">What might be the harms of implicitly </w:t>
      </w:r>
      <w:r w:rsidRPr="00DD2D90">
        <w:rPr>
          <w:rStyle w:val="StyleUnderline"/>
          <w:highlight w:val="green"/>
        </w:rPr>
        <w:t xml:space="preserve">perpetuating a narrative that health is </w:t>
      </w:r>
      <w:r w:rsidRPr="00DD2D90">
        <w:rPr>
          <w:rStyle w:val="StyleUnderline"/>
        </w:rPr>
        <w:t xml:space="preserve">largely </w:t>
      </w:r>
      <w:r w:rsidRPr="00DD2D90">
        <w:rPr>
          <w:rStyle w:val="StyleUnderline"/>
          <w:highlight w:val="green"/>
        </w:rPr>
        <w:t>self-determined</w:t>
      </w:r>
      <w:r w:rsidRPr="00DD2D90">
        <w:rPr>
          <w:rStyle w:val="StyleUnderline"/>
        </w:rPr>
        <w:t>?</w:t>
      </w:r>
      <w:r w:rsidRPr="009C4A5A">
        <w:rPr>
          <w:sz w:val="16"/>
        </w:rPr>
        <w:t xml:space="preserve"> In what ways might </w:t>
      </w:r>
      <w:r w:rsidRPr="00DD2D90">
        <w:rPr>
          <w:rStyle w:val="StyleUnderline"/>
        </w:rPr>
        <w:t>the profession divert energy away from individual action and collectively begin a nuanced conversation about</w:t>
      </w:r>
      <w:r w:rsidRPr="009C4A5A">
        <w:rPr>
          <w:sz w:val="16"/>
        </w:rPr>
        <w:t xml:space="preserve"> interventions and healthcare </w:t>
      </w:r>
      <w:r w:rsidRPr="00DD2D90">
        <w:rPr>
          <w:rStyle w:val="StyleUnderline"/>
        </w:rPr>
        <w:t>approaches</w:t>
      </w:r>
      <w:r w:rsidRPr="009C4A5A">
        <w:rPr>
          <w:sz w:val="16"/>
        </w:rPr>
        <w:t xml:space="preserve"> </w:t>
      </w:r>
      <w:r w:rsidRPr="00DD2D90">
        <w:rPr>
          <w:rStyle w:val="StyleUnderline"/>
        </w:rPr>
        <w:t>that</w:t>
      </w:r>
      <w:r w:rsidRPr="009C4A5A">
        <w:rPr>
          <w:sz w:val="16"/>
        </w:rPr>
        <w:t xml:space="preserve"> benefit the individual, yes, but also </w:t>
      </w:r>
      <w:r w:rsidRPr="00DD2D90">
        <w:rPr>
          <w:rStyle w:val="StyleUnderline"/>
        </w:rPr>
        <w:t>resists the powerful</w:t>
      </w:r>
      <w:r w:rsidRPr="009C4A5A">
        <w:rPr>
          <w:sz w:val="16"/>
        </w:rPr>
        <w:t xml:space="preserve"> social and </w:t>
      </w:r>
      <w:r w:rsidRPr="00DD2D90">
        <w:rPr>
          <w:rStyle w:val="StyleUnderline"/>
          <w:highlight w:val="green"/>
        </w:rPr>
        <w:t>political forces</w:t>
      </w:r>
      <w:r w:rsidRPr="00DD2D90">
        <w:rPr>
          <w:rStyle w:val="StyleUnderline"/>
        </w:rPr>
        <w:t xml:space="preserve"> that </w:t>
      </w:r>
      <w:r w:rsidRPr="00DD2D90">
        <w:rPr>
          <w:rStyle w:val="StyleUnderline"/>
          <w:highlight w:val="green"/>
        </w:rPr>
        <w:t>are precipitating our</w:t>
      </w:r>
      <w:r w:rsidRPr="00DD2D90">
        <w:rPr>
          <w:rStyle w:val="StyleUnderline"/>
        </w:rPr>
        <w:t xml:space="preserve"> </w:t>
      </w:r>
      <w:r w:rsidRPr="00DD2D90">
        <w:rPr>
          <w:rStyle w:val="Emphasis"/>
          <w:highlight w:val="green"/>
        </w:rPr>
        <w:t>necrosis</w:t>
      </w:r>
      <w:r w:rsidRPr="009C4A5A">
        <w:rPr>
          <w:sz w:val="16"/>
        </w:rPr>
        <w:t xml:space="preserve">. I often hear physiotherapists who work with people experiencing persistent pain say that they occasionally struggle to simultaneously validate someone’s pain experience while also explaining that their pain is neurobiologically “in their brain.” Just wait until people find out that </w:t>
      </w:r>
      <w:r w:rsidRPr="00DD2D90">
        <w:rPr>
          <w:rStyle w:val="StyleUnderline"/>
          <w:highlight w:val="green"/>
        </w:rPr>
        <w:t>pain is</w:t>
      </w:r>
      <w:r w:rsidRPr="00DD2D90">
        <w:rPr>
          <w:rStyle w:val="StyleUnderline"/>
        </w:rPr>
        <w:t xml:space="preserve"> largely in </w:t>
      </w:r>
      <w:r w:rsidRPr="00DD2D90">
        <w:rPr>
          <w:rStyle w:val="StyleUnderline"/>
          <w:highlight w:val="green"/>
        </w:rPr>
        <w:t>the political economy</w:t>
      </w:r>
      <w:r w:rsidRPr="009C4A5A">
        <w:rPr>
          <w:sz w:val="16"/>
        </w:rPr>
        <w:t xml:space="preserve">. </w:t>
      </w:r>
    </w:p>
    <w:p w14:paraId="7E882E61" w14:textId="77777777" w:rsidR="00B0589A" w:rsidRPr="009C4A5A" w:rsidRDefault="00B0589A">
      <w:pPr>
        <w:rPr>
          <w:rFonts w:eastAsiaTheme="majorEastAsia" w:cstheme="majorBidi"/>
          <w:b/>
          <w:iCs/>
          <w:sz w:val="16"/>
        </w:rPr>
      </w:pPr>
      <w:r w:rsidRPr="009C4A5A">
        <w:rPr>
          <w:sz w:val="16"/>
        </w:rPr>
        <w:br w:type="page"/>
      </w:r>
    </w:p>
    <w:p w14:paraId="77C65125" w14:textId="50F9142F" w:rsidR="00C71154" w:rsidRPr="009C4A5A" w:rsidRDefault="00805F94" w:rsidP="00C71154">
      <w:pPr>
        <w:pStyle w:val="Heading4"/>
        <w:rPr>
          <w:szCs w:val="26"/>
        </w:rPr>
      </w:pPr>
      <w:r w:rsidRPr="009C4A5A">
        <w:rPr>
          <w:szCs w:val="26"/>
        </w:rPr>
        <w:t xml:space="preserve">Advertising </w:t>
      </w:r>
      <w:r w:rsidR="005475A8" w:rsidRPr="009C4A5A">
        <w:rPr>
          <w:szCs w:val="26"/>
        </w:rPr>
        <w:t xml:space="preserve">and private healthcare </w:t>
      </w:r>
      <w:r w:rsidRPr="009C4A5A">
        <w:rPr>
          <w:szCs w:val="26"/>
        </w:rPr>
        <w:t>caused the o</w:t>
      </w:r>
      <w:r w:rsidR="00C71154" w:rsidRPr="009C4A5A">
        <w:rPr>
          <w:szCs w:val="26"/>
        </w:rPr>
        <w:t>pioid</w:t>
      </w:r>
      <w:r w:rsidRPr="009C4A5A">
        <w:rPr>
          <w:szCs w:val="26"/>
        </w:rPr>
        <w:t xml:space="preserve"> crisis</w:t>
      </w:r>
      <w:r w:rsidR="005475A8" w:rsidRPr="009C4A5A">
        <w:rPr>
          <w:szCs w:val="26"/>
        </w:rPr>
        <w:t xml:space="preserve"> </w:t>
      </w:r>
    </w:p>
    <w:p w14:paraId="0E23E923" w14:textId="77777777" w:rsidR="00C71154" w:rsidRPr="00DD2D90" w:rsidRDefault="00C71154" w:rsidP="00C71154">
      <w:r w:rsidRPr="009C4A5A">
        <w:rPr>
          <w:b/>
          <w:bCs/>
          <w:sz w:val="26"/>
          <w:szCs w:val="26"/>
        </w:rPr>
        <w:t>Currie 24</w:t>
      </w:r>
      <w:r w:rsidRPr="00DD2D90">
        <w:t xml:space="preserve"> [Janet Currie, Economics researcher at Princeton University, 7-17-2024, "Health and inequality", OUP Academic, https://academic.oup.com/ooec/article/3/Supplement_1/i549/7708087]/Kankee</w:t>
      </w:r>
    </w:p>
    <w:p w14:paraId="12B39E63" w14:textId="77777777" w:rsidR="00C71154" w:rsidRPr="00DD2D90" w:rsidRDefault="00C71154" w:rsidP="00C71154">
      <w:pPr>
        <w:rPr>
          <w:rStyle w:val="StyleUnderline"/>
        </w:rPr>
      </w:pPr>
      <w:r w:rsidRPr="009C4A5A">
        <w:rPr>
          <w:sz w:val="16"/>
        </w:rPr>
        <w:t xml:space="preserve">Policies that have affected the US opioid crisis Because </w:t>
      </w:r>
      <w:r w:rsidRPr="00DD2D90">
        <w:rPr>
          <w:rStyle w:val="StyleUnderline"/>
        </w:rPr>
        <w:t>opioids</w:t>
      </w:r>
      <w:r w:rsidRPr="009C4A5A">
        <w:rPr>
          <w:sz w:val="16"/>
        </w:rPr>
        <w:t xml:space="preserve"> play such an outsized role in generating higher US deaths of despair, and because these </w:t>
      </w:r>
      <w:r w:rsidRPr="00DD2D90">
        <w:rPr>
          <w:rStyle w:val="StyleUnderline"/>
        </w:rPr>
        <w:t>deaths have been concentrated in disadvantaged groups and contributed to health inequalities</w:t>
      </w:r>
      <w:r w:rsidRPr="009C4A5A">
        <w:rPr>
          <w:sz w:val="16"/>
        </w:rPr>
        <w:t xml:space="preserve"> (Altekruse et al. 2020), it is worth including a brief overview of the specific US policies that created this situation. </w:t>
      </w:r>
      <w:r w:rsidRPr="00DD2D90">
        <w:rPr>
          <w:rStyle w:val="StyleUnderline"/>
          <w:highlight w:val="green"/>
        </w:rPr>
        <w:t xml:space="preserve">The US </w:t>
      </w:r>
      <w:r w:rsidRPr="00DD2D90">
        <w:rPr>
          <w:rStyle w:val="Emphasis"/>
          <w:highlight w:val="green"/>
        </w:rPr>
        <w:t>leads the world</w:t>
      </w:r>
      <w:r w:rsidRPr="00DD2D90">
        <w:rPr>
          <w:rStyle w:val="StyleUnderline"/>
          <w:highlight w:val="green"/>
        </w:rPr>
        <w:t xml:space="preserve"> in consumption of opioids</w:t>
      </w:r>
      <w:r w:rsidRPr="00DD2D90">
        <w:rPr>
          <w:rStyle w:val="StyleUnderline"/>
        </w:rPr>
        <w:t xml:space="preserve">, accounting for </w:t>
      </w:r>
      <w:r w:rsidRPr="00DD2D90">
        <w:rPr>
          <w:rStyle w:val="Emphasis"/>
        </w:rPr>
        <w:t xml:space="preserve">72.9% </w:t>
      </w:r>
      <w:r w:rsidRPr="00DD2D90">
        <w:rPr>
          <w:rStyle w:val="StyleUnderline"/>
        </w:rPr>
        <w:t>of sales of oxycodone</w:t>
      </w:r>
      <w:r w:rsidRPr="009C4A5A">
        <w:rPr>
          <w:sz w:val="16"/>
        </w:rPr>
        <w:t xml:space="preserve"> and similar drugs (United Nations 2017). </w:t>
      </w:r>
      <w:r w:rsidRPr="00DD2D90">
        <w:rPr>
          <w:rStyle w:val="StyleUnderline"/>
          <w:highlight w:val="green"/>
        </w:rPr>
        <w:t>Deaths</w:t>
      </w:r>
      <w:r w:rsidRPr="00DD2D90">
        <w:rPr>
          <w:rStyle w:val="StyleUnderline"/>
        </w:rPr>
        <w:t xml:space="preserve"> due to </w:t>
      </w:r>
      <w:r w:rsidRPr="009C4A5A">
        <w:rPr>
          <w:sz w:val="16"/>
        </w:rPr>
        <w:t xml:space="preserve">drug overdoses, mainly involving opioids, reached 81,000 in 2020. The number of deaths due to </w:t>
      </w:r>
      <w:r w:rsidRPr="00DD2D90">
        <w:rPr>
          <w:rStyle w:val="StyleUnderline"/>
        </w:rPr>
        <w:t xml:space="preserve">opioids </w:t>
      </w:r>
      <w:r w:rsidRPr="00DD2D90">
        <w:rPr>
          <w:rStyle w:val="StyleUnderline"/>
          <w:highlight w:val="green"/>
        </w:rPr>
        <w:t>dwarfs the toll from previous drug epidemics</w:t>
      </w:r>
      <w:r w:rsidRPr="009C4A5A">
        <w:rPr>
          <w:sz w:val="16"/>
        </w:rPr>
        <w:t xml:space="preserve"> in the USA. As Case and Deaton (2020) detail, much of the </w:t>
      </w:r>
      <w:r w:rsidRPr="00DD2D90">
        <w:rPr>
          <w:rStyle w:val="StyleUnderline"/>
          <w:highlight w:val="green"/>
        </w:rPr>
        <w:t xml:space="preserve">blame can be laid at the feet of </w:t>
      </w:r>
      <w:r w:rsidRPr="00DD2D90">
        <w:rPr>
          <w:rStyle w:val="Emphasis"/>
          <w:highlight w:val="green"/>
        </w:rPr>
        <w:t>aggressive</w:t>
      </w:r>
      <w:r w:rsidRPr="00DD2D90">
        <w:rPr>
          <w:rStyle w:val="StyleUnderline"/>
          <w:highlight w:val="green"/>
        </w:rPr>
        <w:t xml:space="preserve"> and </w:t>
      </w:r>
      <w:r w:rsidRPr="00DD2D90">
        <w:rPr>
          <w:rStyle w:val="Emphasis"/>
          <w:highlight w:val="green"/>
        </w:rPr>
        <w:t>misleading</w:t>
      </w:r>
      <w:r w:rsidRPr="00DD2D90">
        <w:rPr>
          <w:rStyle w:val="StyleUnderline"/>
          <w:highlight w:val="green"/>
        </w:rPr>
        <w:t xml:space="preserve"> marketing of opioids</w:t>
      </w:r>
      <w:r w:rsidRPr="00DD2D90">
        <w:rPr>
          <w:rStyle w:val="StyleUnderline"/>
        </w:rPr>
        <w:t xml:space="preserve"> to doctors and patients </w:t>
      </w:r>
      <w:r w:rsidRPr="00DD2D90">
        <w:rPr>
          <w:rStyle w:val="StyleUnderline"/>
          <w:highlight w:val="green"/>
        </w:rPr>
        <w:t>by</w:t>
      </w:r>
      <w:r w:rsidRPr="00DD2D90">
        <w:rPr>
          <w:rStyle w:val="StyleUnderline"/>
        </w:rPr>
        <w:t xml:space="preserve"> companies such as </w:t>
      </w:r>
      <w:r w:rsidRPr="00DD2D90">
        <w:rPr>
          <w:rStyle w:val="StyleUnderline"/>
          <w:highlight w:val="green"/>
        </w:rPr>
        <w:t>Purdue Pharma</w:t>
      </w:r>
      <w:r w:rsidRPr="009C4A5A">
        <w:rPr>
          <w:sz w:val="16"/>
        </w:rPr>
        <w:t xml:space="preserve">. But several aspects of the US regulatory environment enabled these practices. The first is weak public oversight of medical prescribing. Any doctor or dentist can prescribe opioids, and the maximum allowable dose is higher than in most other countries. Other countries require special training to prescribe opioids (Japan), require patients to register to use opioids (France, Italy, and Portugal), or require doctors to use special prescription pads for opioids (many countries) (Ho 2019). Some countries with centralized health insurance systems do not cover opioids for non-cancer care, or require preauthorization for such uses. In the USA, opioids are commonly prescribed in situations (such as lower back pain) where other safer alternatives are available and where opioids are ineffective over the long term. Patients still frequently receive a 30-day supply of opioids when a 3-day supply would likely suffice, creating a risk of both addiction and diversion to the secondary market. In 2016, the Centers for Disease Control and Prevention (CDC) belatedly issued guidelines in an attempt to curb these practices (Dowell et al. 2016). However, these guidelines are not binding on US physicians. Why do physicians overprescribe opioids? In some cases, physician pay may be directly linked to patient satisfaction, which may depend on successful pain management (Van Zee 2009). </w:t>
      </w:r>
      <w:r w:rsidRPr="00DD2D90">
        <w:rPr>
          <w:rStyle w:val="StyleUnderline"/>
          <w:highlight w:val="green"/>
        </w:rPr>
        <w:t>Patients may be</w:t>
      </w:r>
      <w:r w:rsidRPr="00DD2D90">
        <w:rPr>
          <w:rStyle w:val="StyleUnderline"/>
        </w:rPr>
        <w:t xml:space="preserve"> </w:t>
      </w:r>
      <w:r w:rsidRPr="00DD2D90">
        <w:rPr>
          <w:rStyle w:val="StyleUnderline"/>
          <w:highlight w:val="green"/>
        </w:rPr>
        <w:t>influenced by</w:t>
      </w:r>
      <w:r w:rsidRPr="00DD2D90">
        <w:rPr>
          <w:rStyle w:val="StyleUnderline"/>
        </w:rPr>
        <w:t xml:space="preserve"> direct-to-consumer </w:t>
      </w:r>
      <w:r w:rsidRPr="00DD2D90">
        <w:rPr>
          <w:rStyle w:val="StyleUnderline"/>
          <w:highlight w:val="green"/>
        </w:rPr>
        <w:t>advertising and ask for</w:t>
      </w:r>
      <w:r w:rsidRPr="00DD2D90">
        <w:rPr>
          <w:rStyle w:val="StyleUnderline"/>
        </w:rPr>
        <w:t xml:space="preserve"> opioid pain </w:t>
      </w:r>
      <w:r w:rsidRPr="00DD2D90">
        <w:rPr>
          <w:rStyle w:val="StyleUnderline"/>
          <w:highlight w:val="green"/>
        </w:rPr>
        <w:t>medications</w:t>
      </w:r>
      <w:r w:rsidRPr="009C4A5A">
        <w:rPr>
          <w:sz w:val="16"/>
        </w:rPr>
        <w:t>—</w:t>
      </w:r>
      <w:r w:rsidRPr="00DD2D90">
        <w:rPr>
          <w:rStyle w:val="StyleUnderline"/>
          <w:highlight w:val="green"/>
        </w:rPr>
        <w:t>the USA is one of only three countries</w:t>
      </w:r>
      <w:r w:rsidRPr="009C4A5A">
        <w:rPr>
          <w:sz w:val="16"/>
        </w:rPr>
        <w:t xml:space="preserve"> in the world </w:t>
      </w:r>
      <w:r w:rsidRPr="00DD2D90">
        <w:rPr>
          <w:rStyle w:val="StyleUnderline"/>
          <w:highlight w:val="green"/>
        </w:rPr>
        <w:t>that allow</w:t>
      </w:r>
      <w:r w:rsidRPr="009C4A5A">
        <w:rPr>
          <w:sz w:val="16"/>
        </w:rPr>
        <w:t xml:space="preserve"> such </w:t>
      </w:r>
      <w:r w:rsidRPr="00DD2D90">
        <w:rPr>
          <w:rStyle w:val="StyleUnderline"/>
          <w:highlight w:val="green"/>
        </w:rPr>
        <w:t>advertising</w:t>
      </w:r>
      <w:r w:rsidRPr="009C4A5A">
        <w:rPr>
          <w:sz w:val="16"/>
        </w:rPr>
        <w:t xml:space="preserve"> (Ventola 2011). Some physicians may also use opioids as a way to compete for patients; taken to an extreme, this could lead to the ‘pill-mills’ that became a feature of the American addiction landscape in the 2000s (Temple 2015). In addition to the CDC guidelines, some policies had shown promise in fighting the opioid epidemic before the pandemic. Annual opioid prescriptions peaked in 2012 at 81.3 per 100 people and had fallen to 51.4 per 100 people by 2018.3 The first policy is the development of state prescription drug monitoring programmes (PDMPs). These statewide electronic databases include information about the dispensing of all ‘scheduled’ drugs including opioids. Buchmueller and Carey (2018), Grecu et al. (2019) and Kaestner and Ziedan (2023) show that making it mandatory for doctors to consult PDMPs reduced opioid prescribing in states where this was done. Although reducing prescribing may prevent new patients from becoming addicted, there is an urgent need for effective treatment of existing addicts. Fewer than 30% of people with a substance abuse problem receive treatment (Center for Behavioral Health Statistics and Quality 2016) and many US programmes emphasize an ‘abstinence-only’ approach rather than medication-assisted treatment (MAT). MAT (using drugs such as buprenorphine) prevents deaths more effectively than traditional care. Ironically, although any US doctor can prescribe opioids without special training or oversight, doctors must obtain special licences to prescribe MAT and are restricted in the number of patients they can treat (University of Michigan Behavioral Health Workforce Research Center 2019). However, the US Department of Health and Human Services has suspended these requirements temporarily during the COVID-19 emergency, which may greatly expand access to treatment. Naloxone access laws are another bright spot in terms of drug treatment policy. Naloxone is an overdose-reversing drug. These laws permit it to be prescribed to third parties, or make it available without a prescription. Some laws require providers who prescribe opioids to also prescribe naloxone. Rees et al. (2019) show that these laws reduced opioid deaths by 9–11%, with the largest reductions coming from deaths due to prescription drugs. Moreover, the laws did not increase the use of opioids as some had feared. Summary and conclusions In countries such as the USA and the UK, the COVID-19 pandemic has brought inequalities in health and mortality into sharp focus because disadvantaged groups have been disproportionately affected (Schwandt et al. 2022). The pandemic has illustrated the many pathways leading from bad health to greater economic inequality including disability, job loss, loss of savings, and housing instability. But the pandemic also highlights the importance of good public policy in determining health outcomes. Post-pandemic, </w:t>
      </w:r>
      <w:r w:rsidRPr="00DD2D90">
        <w:rPr>
          <w:rStyle w:val="StyleUnderline"/>
          <w:highlight w:val="green"/>
        </w:rPr>
        <w:t>countries with weak</w:t>
      </w:r>
      <w:r w:rsidRPr="009C4A5A">
        <w:rPr>
          <w:sz w:val="16"/>
        </w:rPr>
        <w:t xml:space="preserve"> safety nets and </w:t>
      </w:r>
      <w:r w:rsidRPr="00DD2D90">
        <w:rPr>
          <w:rStyle w:val="StyleUnderline"/>
          <w:highlight w:val="green"/>
        </w:rPr>
        <w:t>public health</w:t>
      </w:r>
      <w:r w:rsidRPr="00DD2D90">
        <w:rPr>
          <w:rStyle w:val="StyleUnderline"/>
        </w:rPr>
        <w:t xml:space="preserve"> infrastructures will continue to </w:t>
      </w:r>
      <w:r w:rsidRPr="00DD2D90">
        <w:rPr>
          <w:rStyle w:val="StyleUnderline"/>
          <w:highlight w:val="green"/>
        </w:rPr>
        <w:t>see a</w:t>
      </w:r>
      <w:r w:rsidRPr="00DD2D90">
        <w:rPr>
          <w:rStyle w:val="StyleUnderline"/>
        </w:rPr>
        <w:t xml:space="preserve"> much </w:t>
      </w:r>
      <w:r w:rsidRPr="00DD2D90">
        <w:rPr>
          <w:rStyle w:val="StyleUnderline"/>
          <w:highlight w:val="green"/>
        </w:rPr>
        <w:t>stronger relationship between</w:t>
      </w:r>
      <w:r w:rsidRPr="00DD2D90">
        <w:rPr>
          <w:rStyle w:val="StyleUnderline"/>
        </w:rPr>
        <w:t xml:space="preserve"> socio-economic </w:t>
      </w:r>
      <w:r w:rsidRPr="00DD2D90">
        <w:rPr>
          <w:rStyle w:val="StyleUnderline"/>
          <w:highlight w:val="green"/>
        </w:rPr>
        <w:t>status and health than countries with</w:t>
      </w:r>
      <w:r w:rsidRPr="009C4A5A">
        <w:rPr>
          <w:sz w:val="16"/>
        </w:rPr>
        <w:t xml:space="preserve"> strong safety nets and </w:t>
      </w:r>
      <w:r w:rsidRPr="00DD2D90">
        <w:rPr>
          <w:rStyle w:val="StyleUnderline"/>
          <w:highlight w:val="green"/>
        </w:rPr>
        <w:t>universal health care</w:t>
      </w:r>
      <w:r w:rsidRPr="00DD2D90">
        <w:rPr>
          <w:rStyle w:val="StyleUnderline"/>
        </w:rPr>
        <w:t xml:space="preserve">. </w:t>
      </w:r>
    </w:p>
    <w:p w14:paraId="76E6B685" w14:textId="77777777" w:rsidR="00C71154" w:rsidRPr="009C4A5A" w:rsidRDefault="00C71154" w:rsidP="006C433E">
      <w:pPr>
        <w:rPr>
          <w:sz w:val="16"/>
        </w:rPr>
      </w:pPr>
    </w:p>
    <w:p w14:paraId="3C719808" w14:textId="3BC11834" w:rsidR="00805F94" w:rsidRPr="009C4A5A" w:rsidRDefault="00F40CEF" w:rsidP="00805F94">
      <w:pPr>
        <w:pStyle w:val="Heading4"/>
        <w:rPr>
          <w:szCs w:val="26"/>
        </w:rPr>
      </w:pPr>
      <w:r w:rsidRPr="009C4A5A">
        <w:rPr>
          <w:szCs w:val="26"/>
        </w:rPr>
        <w:t>The opioid epidemic was not inevitable, but driven by</w:t>
      </w:r>
      <w:r w:rsidR="00805F94" w:rsidRPr="009C4A5A">
        <w:rPr>
          <w:szCs w:val="26"/>
        </w:rPr>
        <w:t xml:space="preserve"> profit motives </w:t>
      </w:r>
      <w:r w:rsidRPr="009C4A5A">
        <w:rPr>
          <w:szCs w:val="26"/>
        </w:rPr>
        <w:t>and advertising – that means corporations socially murder thousands</w:t>
      </w:r>
      <w:r w:rsidR="00991F21" w:rsidRPr="009C4A5A">
        <w:rPr>
          <w:szCs w:val="26"/>
        </w:rPr>
        <w:t xml:space="preserve"> while skirting blame due to medicalization</w:t>
      </w:r>
    </w:p>
    <w:p w14:paraId="6CE2366E" w14:textId="77777777" w:rsidR="00805F94" w:rsidRPr="00DD2D90" w:rsidRDefault="00805F94" w:rsidP="00805F94">
      <w:r w:rsidRPr="009C4A5A">
        <w:rPr>
          <w:b/>
          <w:bCs/>
          <w:sz w:val="26"/>
          <w:szCs w:val="26"/>
        </w:rPr>
        <w:t>Stinnett 25</w:t>
      </w:r>
      <w:r w:rsidRPr="00DD2D90">
        <w:t xml:space="preserve"> [Gina Arlene Stinnett, PhD candidate at Syracuse University, 2025, “Policies </w:t>
      </w:r>
      <w:proofErr w:type="gramStart"/>
      <w:r w:rsidRPr="00DD2D90">
        <w:t>Of</w:t>
      </w:r>
      <w:proofErr w:type="gramEnd"/>
      <w:r w:rsidRPr="00DD2D90">
        <w:t xml:space="preserve"> Pain: Neoliberal Rhetorics </w:t>
      </w:r>
      <w:proofErr w:type="gramStart"/>
      <w:r w:rsidRPr="00DD2D90">
        <w:t>Of</w:t>
      </w:r>
      <w:proofErr w:type="gramEnd"/>
      <w:r w:rsidRPr="00DD2D90">
        <w:t xml:space="preserve"> </w:t>
      </w:r>
      <w:proofErr w:type="gramStart"/>
      <w:r w:rsidRPr="00DD2D90">
        <w:t>The</w:t>
      </w:r>
      <w:proofErr w:type="gramEnd"/>
      <w:r w:rsidRPr="00DD2D90">
        <w:t xml:space="preserve"> Opioid Epidemic </w:t>
      </w:r>
      <w:proofErr w:type="gramStart"/>
      <w:r w:rsidRPr="00DD2D90">
        <w:t>In</w:t>
      </w:r>
      <w:proofErr w:type="gramEnd"/>
      <w:r w:rsidRPr="00DD2D90">
        <w:t xml:space="preserve"> Culture </w:t>
      </w:r>
      <w:proofErr w:type="gramStart"/>
      <w:r w:rsidRPr="00DD2D90">
        <w:t>And</w:t>
      </w:r>
      <w:proofErr w:type="gramEnd"/>
      <w:r w:rsidRPr="00DD2D90">
        <w:t xml:space="preserve"> Policy,” Syracuse University Postgraduate Dissertations, https://surface.syr.edu/cgi/viewcontent.cgi?article=3335&amp;context=etd]/Kankee</w:t>
      </w:r>
    </w:p>
    <w:p w14:paraId="3D4F1DC3" w14:textId="77777777" w:rsidR="00805F94" w:rsidRPr="009C4A5A" w:rsidRDefault="00805F94" w:rsidP="00805F94">
      <w:pPr>
        <w:rPr>
          <w:sz w:val="16"/>
        </w:rPr>
      </w:pPr>
      <w:r w:rsidRPr="009C4A5A">
        <w:rPr>
          <w:sz w:val="16"/>
        </w:rPr>
        <w:t xml:space="preserve"> Understanding this discrepancy is crucial to understanding how and why </w:t>
      </w:r>
      <w:r w:rsidRPr="00DD2D90">
        <w:rPr>
          <w:rStyle w:val="StyleUnderline"/>
          <w:highlight w:val="green"/>
        </w:rPr>
        <w:t>the</w:t>
      </w:r>
      <w:r w:rsidRPr="009C4A5A">
        <w:rPr>
          <w:sz w:val="16"/>
        </w:rPr>
        <w:t xml:space="preserve"> current </w:t>
      </w:r>
      <w:r w:rsidRPr="00DD2D90">
        <w:rPr>
          <w:rStyle w:val="StyleUnderline"/>
          <w:highlight w:val="green"/>
        </w:rPr>
        <w:t>Opioid Epidemic was manufactured</w:t>
      </w:r>
      <w:r w:rsidRPr="009C4A5A">
        <w:rPr>
          <w:sz w:val="16"/>
        </w:rPr>
        <w:t xml:space="preserve">. In the wake of the first two Opioid Epidemics in the United States, doctors were rightfully wary of prescribing opioids too liberally, having personally witnessed the high risk for addiction. For the most part, the prescribing of opioids was reserved for end-of-life care or for acute, short-term pain (like after a serious accident). In these situations, addiction was extremely rare, mostly because of the highly controlled and short-term manner in which opioid treatment was given. Essentially, </w:t>
      </w:r>
      <w:r w:rsidRPr="00DD2D90">
        <w:rPr>
          <w:rStyle w:val="StyleUnderline"/>
        </w:rPr>
        <w:t>it was difficult for patients to develop</w:t>
      </w:r>
      <w:r w:rsidRPr="009C4A5A">
        <w:rPr>
          <w:sz w:val="16"/>
        </w:rPr>
        <w:t xml:space="preserve"> a full-blown </w:t>
      </w:r>
      <w:r w:rsidRPr="00DD2D90">
        <w:rPr>
          <w:rStyle w:val="StyleUnderline"/>
        </w:rPr>
        <w:t>addiction when they were</w:t>
      </w:r>
      <w:r w:rsidRPr="009C4A5A">
        <w:rPr>
          <w:sz w:val="16"/>
        </w:rPr>
        <w:t xml:space="preserve"> </w:t>
      </w:r>
      <w:r w:rsidRPr="00DD2D90">
        <w:rPr>
          <w:rStyle w:val="StyleUnderline"/>
        </w:rPr>
        <w:t>receiving treatment in the</w:t>
      </w:r>
      <w:r w:rsidRPr="009C4A5A">
        <w:rPr>
          <w:sz w:val="16"/>
        </w:rPr>
        <w:t xml:space="preserve"> weeks before death, or when someone was receiving a small dose at controlled intervals during a short </w:t>
      </w:r>
      <w:r w:rsidRPr="00DD2D90">
        <w:rPr>
          <w:rStyle w:val="StyleUnderline"/>
        </w:rPr>
        <w:t>hospital</w:t>
      </w:r>
      <w:r w:rsidRPr="009C4A5A">
        <w:rPr>
          <w:sz w:val="16"/>
        </w:rPr>
        <w:t xml:space="preserve"> stay. For quite some time, opioids were being used as safely and effectively as possible to treat patients who needed them for a short period of time. Physicians like Kathleen Foley published studies on the low rates of addiction amongst end-of-life and cancer patients, while Jane Porter and Herschel Jick wrote a now infamous four-sentence letter to the New England Journal of Medicine noting that less than 1% of patients developed an addiction to opioids prescribed by their doctors. While Porter and Jick were referencing low rates of addiction amongst patients being treated in a severe burn ward, the letter went on to be “heavily and uncritically cited” as evidence that opioids were completely safe to prescribe for unmonitored, long-term use (Leung et. al., NEJM 2017). At the same time, the country was seeing a rise in advocacy calling for more effective treatments for chronic pain patients. Organizations like the American Pain Society (henceforth APS), which was later found to be funded by </w:t>
      </w:r>
      <w:r w:rsidRPr="00DD2D90">
        <w:rPr>
          <w:rStyle w:val="StyleUnderline"/>
          <w:highlight w:val="green"/>
        </w:rPr>
        <w:t>Purdue</w:t>
      </w:r>
      <w:r w:rsidRPr="009C4A5A">
        <w:rPr>
          <w:sz w:val="16"/>
          <w:highlight w:val="green"/>
        </w:rPr>
        <w:t xml:space="preserve"> </w:t>
      </w:r>
      <w:r w:rsidRPr="00DD2D90">
        <w:rPr>
          <w:rStyle w:val="StyleUnderline"/>
          <w:highlight w:val="green"/>
        </w:rPr>
        <w:t>Pharma</w:t>
      </w:r>
      <w:r w:rsidRPr="00DD2D90">
        <w:rPr>
          <w:rStyle w:val="StyleUnderline"/>
        </w:rPr>
        <w:t xml:space="preserve">, </w:t>
      </w:r>
      <w:r w:rsidRPr="00DD2D90">
        <w:rPr>
          <w:rStyle w:val="Emphasis"/>
          <w:highlight w:val="green"/>
        </w:rPr>
        <w:t>urged</w:t>
      </w:r>
      <w:r w:rsidRPr="00DD2D90">
        <w:rPr>
          <w:rStyle w:val="StyleUnderline"/>
          <w:highlight w:val="green"/>
        </w:rPr>
        <w:t xml:space="preserve"> doctors to treat pain like the “fifth vital sign,” and </w:t>
      </w:r>
      <w:r w:rsidRPr="00DD2D90">
        <w:rPr>
          <w:rStyle w:val="Emphasis"/>
          <w:highlight w:val="green"/>
        </w:rPr>
        <w:t>lobbied</w:t>
      </w:r>
      <w:r w:rsidRPr="00DD2D90">
        <w:rPr>
          <w:rStyle w:val="StyleUnderline"/>
          <w:highlight w:val="green"/>
        </w:rPr>
        <w:t xml:space="preserve"> for</w:t>
      </w:r>
      <w:r w:rsidRPr="00DD2D90">
        <w:rPr>
          <w:rStyle w:val="StyleUnderline"/>
        </w:rPr>
        <w:t xml:space="preserve"> </w:t>
      </w:r>
      <w:r w:rsidRPr="00DD2D90">
        <w:rPr>
          <w:rStyle w:val="StyleUnderline"/>
          <w:highlight w:val="green"/>
        </w:rPr>
        <w:t>physicians to be required to ask patients about their pain levels</w:t>
      </w:r>
      <w:r w:rsidRPr="00DD2D90">
        <w:rPr>
          <w:rStyle w:val="StyleUnderline"/>
        </w:rPr>
        <w:t>, even if patients initially did not list pain as a reason for their visit</w:t>
      </w:r>
      <w:r w:rsidRPr="009C4A5A">
        <w:rPr>
          <w:sz w:val="16"/>
        </w:rPr>
        <w:t xml:space="preserve"> (Compton and Jones 2019). The APS aided in the creation of the most commonly used pain scale, which presents ten faces displaying varying levels of discomfort and prompting patients to describe their pain on a spectrum ranging from “no pain/mild pain” to “worst pain imaginable.” In addition to making pain a more prevalent factor in treating a patient, organizations like the APS fought for more liberal prescribing of opioid medications to treat pain, often erroneously citing Porter and Jick’s earlier letter as a “study” proving that opioid medications are the only “safe and humane” treatment for pain (Patel and Rushefsky 2021). At </w:t>
      </w:r>
      <w:r w:rsidRPr="00DD2D90">
        <w:rPr>
          <w:rStyle w:val="StyleUnderline"/>
        </w:rPr>
        <w:t xml:space="preserve">the crux of </w:t>
      </w:r>
      <w:r w:rsidRPr="00DD2D90">
        <w:rPr>
          <w:rStyle w:val="StyleUnderline"/>
          <w:highlight w:val="green"/>
        </w:rPr>
        <w:t>this cultural push to aggressively treat pain was the Sackler family</w:t>
      </w:r>
      <w:r w:rsidRPr="009C4A5A">
        <w:rPr>
          <w:sz w:val="16"/>
        </w:rPr>
        <w:t xml:space="preserve">, who owned Purdue Pharmaceuticals and created OxyContin, which is largely considered </w:t>
      </w:r>
      <w:r w:rsidRPr="00DD2D90">
        <w:rPr>
          <w:rStyle w:val="Emphasis"/>
          <w:highlight w:val="green"/>
        </w:rPr>
        <w:t>the main cause</w:t>
      </w:r>
      <w:r w:rsidRPr="00DD2D90">
        <w:rPr>
          <w:rStyle w:val="StyleUnderline"/>
        </w:rPr>
        <w:t xml:space="preserve"> behind the Third Opioid Epidemic</w:t>
      </w:r>
      <w:r w:rsidRPr="009C4A5A">
        <w:rPr>
          <w:sz w:val="16"/>
        </w:rPr>
        <w:t xml:space="preserve">. Purdue was already in the market of opioid pain treatment prior to the 1990s—their drug MSContin (a morphine-based opioid) was a common choice for palliative care. However, when the patent for MSContin expired, the Sacklers expressed a desire for a new “blockbuster drug” that would be used to treat moderate to severe pain in a much wider and much more long-term market (Radden Keefe 2021). </w:t>
      </w:r>
      <w:r w:rsidRPr="00DD2D90">
        <w:rPr>
          <w:rStyle w:val="StyleUnderline"/>
          <w:highlight w:val="green"/>
        </w:rPr>
        <w:t>OxyContin</w:t>
      </w:r>
      <w:r w:rsidRPr="009C4A5A">
        <w:rPr>
          <w:sz w:val="16"/>
        </w:rPr>
        <w:t xml:space="preserve"> was released in 1996, and </w:t>
      </w:r>
      <w:r w:rsidRPr="00DD2D90">
        <w:rPr>
          <w:rStyle w:val="StyleUnderline"/>
          <w:highlight w:val="green"/>
        </w:rPr>
        <w:t xml:space="preserve">was accompanied by an </w:t>
      </w:r>
      <w:r w:rsidRPr="00DD2D90">
        <w:rPr>
          <w:rStyle w:val="Emphasis"/>
          <w:highlight w:val="green"/>
        </w:rPr>
        <w:t>unprecedentedly aggressive</w:t>
      </w:r>
      <w:r w:rsidRPr="00DD2D90">
        <w:rPr>
          <w:rStyle w:val="StyleUnderline"/>
          <w:highlight w:val="green"/>
        </w:rPr>
        <w:t xml:space="preserve"> sales</w:t>
      </w:r>
      <w:r w:rsidRPr="00DD2D90">
        <w:rPr>
          <w:rStyle w:val="StyleUnderline"/>
        </w:rPr>
        <w:t xml:space="preserve"> </w:t>
      </w:r>
      <w:r w:rsidRPr="00DD2D90">
        <w:rPr>
          <w:rStyle w:val="StyleUnderline"/>
          <w:highlight w:val="green"/>
        </w:rPr>
        <w:t>campaign fueled by</w:t>
      </w:r>
      <w:r w:rsidRPr="00DD2D90">
        <w:rPr>
          <w:rStyle w:val="StyleUnderline"/>
        </w:rPr>
        <w:t xml:space="preserve"> a large amount of </w:t>
      </w:r>
      <w:r w:rsidRPr="00DD2D90">
        <w:rPr>
          <w:rStyle w:val="StyleUnderline"/>
          <w:highlight w:val="green"/>
        </w:rPr>
        <w:t>misinformation</w:t>
      </w:r>
      <w:r w:rsidRPr="009C4A5A">
        <w:rPr>
          <w:sz w:val="16"/>
        </w:rPr>
        <w:t xml:space="preserve"> (Van Zee 2009). The Purdue salesforce relied heavily on the Porter and Jick letter to convince doctors that it was safe to prescribe heavy doses of OxyContin for longer periods of time than doctors were typically trained to prescribe an opioid. In addition to this, </w:t>
      </w:r>
      <w:r w:rsidRPr="00DD2D90">
        <w:rPr>
          <w:rStyle w:val="StyleUnderline"/>
          <w:highlight w:val="green"/>
        </w:rPr>
        <w:t>Purdue colluded with the</w:t>
      </w:r>
      <w:r w:rsidRPr="00DD2D90">
        <w:rPr>
          <w:rStyle w:val="StyleUnderline"/>
        </w:rPr>
        <w:t xml:space="preserve"> </w:t>
      </w:r>
      <w:r w:rsidRPr="00DD2D90">
        <w:rPr>
          <w:rStyle w:val="StyleUnderline"/>
          <w:highlight w:val="green"/>
        </w:rPr>
        <w:t>F</w:t>
      </w:r>
      <w:r w:rsidRPr="00DD2D90">
        <w:rPr>
          <w:rStyle w:val="StyleUnderline"/>
        </w:rPr>
        <w:t xml:space="preserve">ederal </w:t>
      </w:r>
      <w:r w:rsidRPr="00DD2D90">
        <w:rPr>
          <w:rStyle w:val="StyleUnderline"/>
          <w:highlight w:val="green"/>
        </w:rPr>
        <w:t>D</w:t>
      </w:r>
      <w:r w:rsidRPr="00DD2D90">
        <w:rPr>
          <w:rStyle w:val="StyleUnderline"/>
        </w:rPr>
        <w:t xml:space="preserve">rug </w:t>
      </w:r>
      <w:r w:rsidRPr="00DD2D90">
        <w:rPr>
          <w:rStyle w:val="StyleUnderline"/>
          <w:highlight w:val="green"/>
        </w:rPr>
        <w:t>A</w:t>
      </w:r>
      <w:r w:rsidRPr="00DD2D90">
        <w:rPr>
          <w:rStyle w:val="StyleUnderline"/>
        </w:rPr>
        <w:t>dministration to write the official label for OxyContin</w:t>
      </w:r>
      <w:r w:rsidRPr="009C4A5A">
        <w:rPr>
          <w:sz w:val="16"/>
        </w:rPr>
        <w:t xml:space="preserve">, which claimed that “delayed absorption as provided by OxyContin is believed to reduce the abuse potential of the drug” (Van Zee). Purdue also heavily emphasized the controversial medical theory of “pseudo- addiction,” a term coined by David E Weissman and David J Haddox to argue that a patient who is displaying signs of addiction and drug-seeking behavior is potentially not actually addicted to a drug, but is simply seeking relief from debilitating pain (Weissman and Haddox 1989). The treatment for pseudo-addiction, of course, was to prescribe a higher dose of OxyContin. According to Purdue, patients could not get addicted to OxyContin, no dose of OxyContin was too high, and patients on lower doses could stop taking the drug without being weaned off (Van Zee). All of these falsehoods had disastrous impacts on the early markets for OxyContin. When the general public became more aware of how prescription opioids were being abused at record high rates, many states started to restrict how opioid medications could be prescribed. Florida in particular famously cracked down on “pill mills” that took advantage of the state’s previously lax laws around operating pain clinics in 2010 during “Operation Pill Nation” (Kennedy-Hendricks et al 2016). While this initially resulted in a reduction in overdose deaths, many </w:t>
      </w:r>
      <w:r w:rsidRPr="00DD2D90">
        <w:rPr>
          <w:rStyle w:val="StyleUnderline"/>
          <w:highlight w:val="green"/>
        </w:rPr>
        <w:t>people</w:t>
      </w:r>
      <w:r w:rsidRPr="009C4A5A">
        <w:rPr>
          <w:sz w:val="16"/>
        </w:rPr>
        <w:t xml:space="preserve"> who were </w:t>
      </w:r>
      <w:r w:rsidRPr="00DD2D90">
        <w:rPr>
          <w:rStyle w:val="StyleUnderline"/>
        </w:rPr>
        <w:t xml:space="preserve">deeper </w:t>
      </w:r>
      <w:r w:rsidRPr="00DD2D90">
        <w:rPr>
          <w:rStyle w:val="StyleUnderline"/>
          <w:highlight w:val="green"/>
        </w:rPr>
        <w:t>in addiction moved on to</w:t>
      </w:r>
      <w:r w:rsidRPr="00DD2D90">
        <w:rPr>
          <w:rStyle w:val="StyleUnderline"/>
        </w:rPr>
        <w:t xml:space="preserve"> </w:t>
      </w:r>
      <w:r w:rsidRPr="00DD2D90">
        <w:rPr>
          <w:rStyle w:val="StyleUnderline"/>
          <w:highlight w:val="green"/>
        </w:rPr>
        <w:t>heroin</w:t>
      </w:r>
      <w:r w:rsidRPr="009C4A5A">
        <w:rPr>
          <w:sz w:val="16"/>
        </w:rPr>
        <w:t>. What was once a crucial social distinction between “types” of drug users was now its own pipeline—</w:t>
      </w:r>
      <w:r w:rsidRPr="00DD2D90">
        <w:rPr>
          <w:rStyle w:val="StyleUnderline"/>
        </w:rPr>
        <w:t xml:space="preserve">people would get addicted to a prescription opioid, have that supply cut off for either structural or financial reasons, </w:t>
      </w:r>
      <w:r w:rsidRPr="00DD2D90">
        <w:rPr>
          <w:rStyle w:val="StyleUnderline"/>
          <w:highlight w:val="green"/>
        </w:rPr>
        <w:t>and</w:t>
      </w:r>
      <w:r w:rsidRPr="00DD2D90">
        <w:rPr>
          <w:rStyle w:val="StyleUnderline"/>
        </w:rPr>
        <w:t xml:space="preserve"> then turn to a drug that is cheaper and more potent</w:t>
      </w:r>
      <w:r w:rsidRPr="009C4A5A">
        <w:rPr>
          <w:sz w:val="16"/>
        </w:rPr>
        <w:t xml:space="preserve">. The United States then saw spikes in overdose deaths associated with the moves to heroin, as users did could not reliably dose themselves with a more powerful drug (Quinones 2017). These spikes paled in comparison to what was to come, however. As more and more people developed a tolerance to heroin, street dealers were looking for ways to strengthen their product. To solve this problem, drug dealers turned to yet another pharmaceutical product: fentanyl, a synthetic opioid that is 100 times more potent than morphine and 50 times more potent than heroin (CDC). Fentanyl started as an aberration in the drug supply, and has now muscled out heroin as the drug of “choice.” While many users are now knowingly using fentanyl, this was not initially the case— users would ask for heroin and receive either a mix of heroin and fentanyl, or just outright fentanyl (Quinones 2021). </w:t>
      </w:r>
      <w:r w:rsidRPr="00DD2D90">
        <w:rPr>
          <w:rStyle w:val="StyleUnderline"/>
          <w:highlight w:val="green"/>
        </w:rPr>
        <w:t>Fentanyl</w:t>
      </w:r>
      <w:r w:rsidRPr="00DD2D90">
        <w:rPr>
          <w:rStyle w:val="StyleUnderline"/>
        </w:rPr>
        <w:t xml:space="preserve"> now accounts for the overwhelming majority of overdose deaths</w:t>
      </w:r>
      <w:r w:rsidRPr="009C4A5A">
        <w:rPr>
          <w:sz w:val="16"/>
        </w:rPr>
        <w:t xml:space="preserve"> in the United States. Overdose deaths had a huge uptick during the early years of the Covid-19 Pandemic, and while they have overall gotten lower than this peak, they have still not returned to pre-pandemic levels (PBS). While fentanyl is still considered to be part of the Third Opioid Epidemic, we are seeing a spike in prevalence of additional adulterants like Xylazine (a large animal tranquilizer) in fentanyl samples across the country. Many experts are debating whether or not we are in the midst of the creation of a Fourth Opioid Epidemic (Patel and Rushefsky). Methodology</w:t>
      </w:r>
    </w:p>
    <w:p w14:paraId="3F9BA0B2" w14:textId="77777777" w:rsidR="00B0589A" w:rsidRPr="009C4A5A" w:rsidRDefault="00B0589A">
      <w:pPr>
        <w:rPr>
          <w:rFonts w:eastAsiaTheme="majorEastAsia" w:cstheme="majorBidi"/>
          <w:b/>
          <w:iCs/>
          <w:sz w:val="16"/>
        </w:rPr>
      </w:pPr>
      <w:r w:rsidRPr="009C4A5A">
        <w:rPr>
          <w:sz w:val="16"/>
        </w:rPr>
        <w:br w:type="page"/>
      </w:r>
    </w:p>
    <w:p w14:paraId="10F8E3B8" w14:textId="4968413D" w:rsidR="00FB2DF4" w:rsidRPr="009C4A5A" w:rsidRDefault="00FB2DF4" w:rsidP="00FB2DF4">
      <w:pPr>
        <w:pStyle w:val="Heading4"/>
        <w:rPr>
          <w:szCs w:val="26"/>
        </w:rPr>
      </w:pPr>
      <w:r w:rsidRPr="009C4A5A">
        <w:rPr>
          <w:szCs w:val="26"/>
        </w:rPr>
        <w:t xml:space="preserve">The </w:t>
      </w:r>
      <w:proofErr w:type="gramStart"/>
      <w:r w:rsidRPr="009C4A5A">
        <w:rPr>
          <w:szCs w:val="26"/>
        </w:rPr>
        <w:t>commodity-form</w:t>
      </w:r>
      <w:proofErr w:type="gramEnd"/>
      <w:r w:rsidRPr="009C4A5A">
        <w:rPr>
          <w:szCs w:val="26"/>
        </w:rPr>
        <w:t xml:space="preserve"> makes healthcare a site of capitalistic production, causing perverse incentives for doctors that harm patients</w:t>
      </w:r>
    </w:p>
    <w:p w14:paraId="3744B29B" w14:textId="77777777" w:rsidR="00FB2DF4" w:rsidRPr="00DD2D90" w:rsidRDefault="00FB2DF4" w:rsidP="00FB2DF4">
      <w:r w:rsidRPr="009C4A5A">
        <w:rPr>
          <w:b/>
          <w:bCs/>
          <w:sz w:val="26"/>
          <w:szCs w:val="26"/>
        </w:rPr>
        <w:t>Collyer 15</w:t>
      </w:r>
      <w:r w:rsidRPr="00DD2D90">
        <w:t xml:space="preserve"> [Fran Collyer, Professorial Fellow of Sociology, People and Culture at the University of Wollongong, 2015, "Karl Marx and Frederich Engels: Capitalism, Health and the Healthcare Industry", SpringerLink, https://link.springer.com/chapter/10.1057/9781137355621_3]/Kankee</w:t>
      </w:r>
    </w:p>
    <w:p w14:paraId="6184B6F4" w14:textId="77777777" w:rsidR="00FB2DF4" w:rsidRPr="009C4A5A" w:rsidRDefault="00FB2DF4" w:rsidP="00FB2DF4">
      <w:pPr>
        <w:rPr>
          <w:sz w:val="16"/>
        </w:rPr>
      </w:pPr>
      <w:r w:rsidRPr="009C4A5A">
        <w:rPr>
          <w:sz w:val="16"/>
        </w:rPr>
        <w:t xml:space="preserve">Health and the healthcare system Engels and Marx’s writings have inspired several generations of medical soci- ologists, who have not only greatly extended the original analysis to show capitalism as a social formation with a particular form of production that con- tinues to cause unequal health outcomes across populations (Chossudovsky 1983; Nguyen and Peschard 2003), but also produces historically unique types of healthcare systems, new commodities, new means to manage, control and alter our minds and bodies, and new relationships between ourselves and nature. In this section we look at the relevance of Marx and Engels’ main con- cepts – historical materialism, alienation and commodification – to the analysis of health and healthcare systems. Historical materialism, capitalism and the healthcare industry Marx and Engels’ commitment to historical materialism provides us with a crucial means to understand health, healthcare and healthcare systems in the contemporary context. Unlike other methods of analysis, this insists on recog- nising the historical nature of current systems of healthcare, the way these have been produced through struggle and conflict, and how they continue to change with such developments as new production methods or forms of exchange, new technologies, the opening or closing of markets and shifts in world trading pat- terns. </w:t>
      </w:r>
      <w:r w:rsidRPr="00DD2D90">
        <w:rPr>
          <w:rStyle w:val="StyleUnderline"/>
        </w:rPr>
        <w:t>While</w:t>
      </w:r>
      <w:r w:rsidRPr="009C4A5A">
        <w:rPr>
          <w:sz w:val="16"/>
        </w:rPr>
        <w:t xml:space="preserve"> other </w:t>
      </w:r>
      <w:r w:rsidRPr="00DD2D90">
        <w:rPr>
          <w:rStyle w:val="StyleUnderline"/>
        </w:rPr>
        <w:t>medical</w:t>
      </w:r>
      <w:r w:rsidRPr="009C4A5A">
        <w:rPr>
          <w:sz w:val="16"/>
        </w:rPr>
        <w:t xml:space="preserve"> </w:t>
      </w:r>
      <w:r w:rsidRPr="00DD2D90">
        <w:rPr>
          <w:rStyle w:val="StyleUnderline"/>
        </w:rPr>
        <w:t>sociologists take the clinic and the patient–doctor relationship to be the central concern of modern healthcare</w:t>
      </w:r>
      <w:r w:rsidRPr="009C4A5A">
        <w:rPr>
          <w:sz w:val="16"/>
        </w:rPr>
        <w:t xml:space="preserve">, </w:t>
      </w:r>
      <w:r w:rsidRPr="00DD2D90">
        <w:rPr>
          <w:rStyle w:val="StyleUnderline"/>
          <w:highlight w:val="green"/>
        </w:rPr>
        <w:t>Marxian</w:t>
      </w:r>
      <w:r w:rsidRPr="009C4A5A">
        <w:rPr>
          <w:sz w:val="16"/>
        </w:rPr>
        <w:t xml:space="preserve"> inspired </w:t>
      </w:r>
      <w:r w:rsidRPr="00DD2D90">
        <w:rPr>
          <w:rStyle w:val="StyleUnderline"/>
          <w:highlight w:val="green"/>
        </w:rPr>
        <w:t>sociologists focus</w:t>
      </w:r>
      <w:r w:rsidRPr="009C4A5A">
        <w:rPr>
          <w:sz w:val="16"/>
          <w:highlight w:val="green"/>
        </w:rPr>
        <w:t xml:space="preserve"> </w:t>
      </w:r>
      <w:r w:rsidRPr="00DD2D90">
        <w:rPr>
          <w:rStyle w:val="StyleUnderline"/>
          <w:highlight w:val="green"/>
        </w:rPr>
        <w:t>on</w:t>
      </w:r>
      <w:r w:rsidRPr="009C4A5A">
        <w:rPr>
          <w:sz w:val="16"/>
        </w:rPr>
        <w:t xml:space="preserve"> </w:t>
      </w:r>
      <w:r w:rsidRPr="00DD2D90">
        <w:rPr>
          <w:rStyle w:val="StyleUnderline"/>
          <w:highlight w:val="green"/>
        </w:rPr>
        <w:t>the production of ‘health’</w:t>
      </w:r>
      <w:r w:rsidRPr="009C4A5A">
        <w:rPr>
          <w:sz w:val="16"/>
        </w:rPr>
        <w:t xml:space="preserve"> </w:t>
      </w:r>
      <w:r w:rsidRPr="00DD2D90">
        <w:rPr>
          <w:rStyle w:val="StyleUnderline"/>
          <w:highlight w:val="green"/>
        </w:rPr>
        <w:t>through</w:t>
      </w:r>
      <w:r w:rsidRPr="009C4A5A">
        <w:rPr>
          <w:sz w:val="16"/>
        </w:rPr>
        <w:t xml:space="preserve"> the formation of </w:t>
      </w:r>
      <w:r w:rsidRPr="00DD2D90">
        <w:rPr>
          <w:rStyle w:val="StyleUnderline"/>
        </w:rPr>
        <w:t xml:space="preserve">a </w:t>
      </w:r>
      <w:r w:rsidRPr="00DD2D90">
        <w:rPr>
          <w:rStyle w:val="StyleUnderline"/>
          <w:highlight w:val="green"/>
        </w:rPr>
        <w:t>cap- italist, healthcare industry</w:t>
      </w:r>
      <w:r w:rsidRPr="009C4A5A">
        <w:rPr>
          <w:sz w:val="16"/>
        </w:rPr>
        <w:t xml:space="preserve">. </w:t>
      </w:r>
      <w:r w:rsidRPr="00DD2D90">
        <w:rPr>
          <w:rStyle w:val="StyleUnderline"/>
          <w:highlight w:val="green"/>
        </w:rPr>
        <w:t>They</w:t>
      </w:r>
      <w:r w:rsidRPr="009C4A5A">
        <w:rPr>
          <w:sz w:val="16"/>
        </w:rPr>
        <w:t xml:space="preserve"> seek to </w:t>
      </w:r>
      <w:r w:rsidRPr="00DD2D90">
        <w:rPr>
          <w:rStyle w:val="StyleUnderline"/>
          <w:highlight w:val="green"/>
        </w:rPr>
        <w:t>demonstrate</w:t>
      </w:r>
      <w:r w:rsidRPr="009C4A5A">
        <w:rPr>
          <w:sz w:val="16"/>
        </w:rPr>
        <w:t xml:space="preserve"> the </w:t>
      </w:r>
      <w:r w:rsidRPr="00DD2D90">
        <w:rPr>
          <w:rStyle w:val="StyleUnderline"/>
          <w:highlight w:val="green"/>
        </w:rPr>
        <w:t>healthcare</w:t>
      </w:r>
      <w:r w:rsidRPr="009C4A5A">
        <w:rPr>
          <w:sz w:val="16"/>
        </w:rPr>
        <w:t xml:space="preserve"> system </w:t>
      </w:r>
      <w:r w:rsidRPr="00DD2D90">
        <w:rPr>
          <w:rStyle w:val="StyleUnderline"/>
          <w:highlight w:val="green"/>
        </w:rPr>
        <w:t>as a</w:t>
      </w:r>
      <w:r w:rsidRPr="00DD2D90">
        <w:rPr>
          <w:rStyle w:val="StyleUnderline"/>
        </w:rPr>
        <w:t xml:space="preserve"> </w:t>
      </w:r>
      <w:r w:rsidRPr="009C4A5A">
        <w:rPr>
          <w:sz w:val="16"/>
        </w:rPr>
        <w:t xml:space="preserve">site for commercial transactions – a marketplace – and a </w:t>
      </w:r>
      <w:r w:rsidRPr="00DD2D90">
        <w:rPr>
          <w:rStyle w:val="StyleUnderline"/>
          <w:highlight w:val="green"/>
        </w:rPr>
        <w:t>site for the production</w:t>
      </w:r>
      <w:r w:rsidRPr="00DD2D90">
        <w:rPr>
          <w:rStyle w:val="StyleUnderline"/>
        </w:rPr>
        <w:t xml:space="preserve"> and consumption </w:t>
      </w:r>
      <w:r w:rsidRPr="00DD2D90">
        <w:rPr>
          <w:rStyle w:val="StyleUnderline"/>
          <w:highlight w:val="green"/>
        </w:rPr>
        <w:t>of</w:t>
      </w:r>
      <w:r w:rsidRPr="00DD2D90">
        <w:rPr>
          <w:rStyle w:val="StyleUnderline"/>
        </w:rPr>
        <w:t xml:space="preserve"> capitalist </w:t>
      </w:r>
      <w:r w:rsidRPr="00DD2D90">
        <w:rPr>
          <w:rStyle w:val="Emphasis"/>
          <w:highlight w:val="green"/>
        </w:rPr>
        <w:t>commodities</w:t>
      </w:r>
      <w:r w:rsidRPr="009C4A5A">
        <w:rPr>
          <w:sz w:val="16"/>
        </w:rPr>
        <w:t xml:space="preserve">. Thus the boundaries of </w:t>
      </w:r>
      <w:r w:rsidRPr="00DD2D90">
        <w:rPr>
          <w:rStyle w:val="StyleUnderline"/>
          <w:highlight w:val="green"/>
        </w:rPr>
        <w:t>healthcare are extended</w:t>
      </w:r>
      <w:r w:rsidRPr="009C4A5A">
        <w:rPr>
          <w:sz w:val="16"/>
        </w:rPr>
        <w:t xml:space="preserve"> well </w:t>
      </w:r>
      <w:r w:rsidRPr="00DD2D90">
        <w:rPr>
          <w:rStyle w:val="Emphasis"/>
          <w:highlight w:val="green"/>
        </w:rPr>
        <w:t>beyond the clinic</w:t>
      </w:r>
      <w:r w:rsidRPr="009C4A5A">
        <w:rPr>
          <w:sz w:val="16"/>
        </w:rPr>
        <w:t xml:space="preserve">, for the healthcare system is composed not just of </w:t>
      </w:r>
      <w:r w:rsidRPr="00DD2D90">
        <w:rPr>
          <w:rStyle w:val="StyleUnderline"/>
        </w:rPr>
        <w:t>hospitals</w:t>
      </w:r>
      <w:r w:rsidRPr="009C4A5A">
        <w:rPr>
          <w:sz w:val="16"/>
        </w:rPr>
        <w:t xml:space="preserve"> and </w:t>
      </w:r>
      <w:r w:rsidRPr="00DD2D90">
        <w:rPr>
          <w:rStyle w:val="StyleUnderline"/>
        </w:rPr>
        <w:t>medical centres</w:t>
      </w:r>
      <w:r w:rsidRPr="009C4A5A">
        <w:rPr>
          <w:sz w:val="16"/>
        </w:rPr>
        <w:t xml:space="preserve">, but </w:t>
      </w:r>
      <w:r w:rsidRPr="00DD2D90">
        <w:rPr>
          <w:rStyle w:val="StyleUnderline"/>
        </w:rPr>
        <w:t>research and diagnostic laborato- ries, pharmaceutical firms, medical equipment manufacturers, health insurance companies and so on</w:t>
      </w:r>
      <w:r w:rsidRPr="009C4A5A">
        <w:rPr>
          <w:sz w:val="16"/>
        </w:rPr>
        <w:t xml:space="preserve">. The </w:t>
      </w:r>
      <w:r w:rsidRPr="00DD2D90">
        <w:rPr>
          <w:rStyle w:val="StyleUnderline"/>
        </w:rPr>
        <w:t>healthcare</w:t>
      </w:r>
      <w:r w:rsidRPr="009C4A5A">
        <w:rPr>
          <w:sz w:val="16"/>
        </w:rPr>
        <w:t xml:space="preserve"> systems of capitalism therefore </w:t>
      </w:r>
      <w:r w:rsidRPr="00DD2D90">
        <w:rPr>
          <w:rStyle w:val="StyleUnderline"/>
        </w:rPr>
        <w:t xml:space="preserve">have many working parts, entwined by the relations of </w:t>
      </w:r>
      <w:r w:rsidRPr="009C4A5A">
        <w:rPr>
          <w:sz w:val="16"/>
        </w:rPr>
        <w:t xml:space="preserve">capitalist </w:t>
      </w:r>
      <w:r w:rsidRPr="00DD2D90">
        <w:rPr>
          <w:rStyle w:val="StyleUnderline"/>
        </w:rPr>
        <w:t>production</w:t>
      </w:r>
      <w:r w:rsidRPr="009C4A5A">
        <w:rPr>
          <w:sz w:val="16"/>
        </w:rPr>
        <w:t xml:space="preserve"> and exchange. The growth of Marxian analysis in the sociology of health and medicine in the 1960s and 1970s challenged prevailing functionalist analyses (for example, Carr-Saunders and Wilson 1933; Parsons 1951), debating the basis of power of the medical profession and its changing relationship with other occupa- tions and the nation-state (see, for example, debates over professionalisation and proletarianisation, Haug 1988; Coburn 2006). Since the 1970s, one of the more prominent Marxian propositions has been the lack of independence of </w:t>
      </w:r>
      <w:r w:rsidRPr="00DD2D90">
        <w:rPr>
          <w:rStyle w:val="StyleUnderline"/>
          <w:highlight w:val="green"/>
        </w:rPr>
        <w:t>the medical profession</w:t>
      </w:r>
      <w:r w:rsidRPr="009C4A5A">
        <w:rPr>
          <w:sz w:val="16"/>
        </w:rPr>
        <w:t xml:space="preserve"> from the class structure, and the way it </w:t>
      </w:r>
      <w:r w:rsidRPr="00DD2D90">
        <w:rPr>
          <w:rStyle w:val="StyleUnderline"/>
          <w:highlight w:val="green"/>
        </w:rPr>
        <w:t>operates in tan- dem with the dominant class to maintain</w:t>
      </w:r>
      <w:r w:rsidRPr="009C4A5A">
        <w:rPr>
          <w:sz w:val="16"/>
        </w:rPr>
        <w:t xml:space="preserve"> the healthcare system and assist </w:t>
      </w:r>
      <w:r w:rsidRPr="00DD2D90">
        <w:rPr>
          <w:rStyle w:val="StyleUnderline"/>
          <w:highlight w:val="green"/>
        </w:rPr>
        <w:t>the capitalist</w:t>
      </w:r>
      <w:r w:rsidRPr="00DD2D90">
        <w:rPr>
          <w:rStyle w:val="StyleUnderline"/>
        </w:rPr>
        <w:t xml:space="preserve"> </w:t>
      </w:r>
      <w:r w:rsidRPr="00DD2D90">
        <w:rPr>
          <w:rStyle w:val="StyleUnderline"/>
          <w:highlight w:val="green"/>
        </w:rPr>
        <w:t>economy</w:t>
      </w:r>
      <w:r w:rsidRPr="009C4A5A">
        <w:rPr>
          <w:sz w:val="16"/>
        </w:rPr>
        <w:t xml:space="preserve"> (for example, Johnson 1972; Navarro 1976; Waitzkin 1983; Willis 1994). Within this framework, the </w:t>
      </w:r>
      <w:r w:rsidRPr="00DD2D90">
        <w:rPr>
          <w:rStyle w:val="StyleUnderline"/>
          <w:highlight w:val="green"/>
        </w:rPr>
        <w:t>professions</w:t>
      </w:r>
      <w:r w:rsidRPr="009C4A5A">
        <w:rPr>
          <w:sz w:val="16"/>
          <w:highlight w:val="green"/>
        </w:rPr>
        <w:t xml:space="preserve"> </w:t>
      </w:r>
      <w:r w:rsidRPr="00DD2D90">
        <w:rPr>
          <w:rStyle w:val="StyleUnderline"/>
          <w:highlight w:val="green"/>
        </w:rPr>
        <w:t>are</w:t>
      </w:r>
      <w:r w:rsidRPr="009C4A5A">
        <w:rPr>
          <w:sz w:val="16"/>
        </w:rPr>
        <w:t xml:space="preserve"> central to capitalism, </w:t>
      </w:r>
      <w:r w:rsidRPr="00DD2D90">
        <w:rPr>
          <w:rStyle w:val="StyleUnderline"/>
          <w:highlight w:val="green"/>
        </w:rPr>
        <w:t>exploiting ill-health</w:t>
      </w:r>
      <w:r w:rsidRPr="009C4A5A">
        <w:rPr>
          <w:sz w:val="16"/>
        </w:rPr>
        <w:t xml:space="preserve">, and assisting the nation-state through their surveillance of the population, maintaining social order and engaging in various forms of social control. </w:t>
      </w:r>
      <w:r w:rsidRPr="00DD2D90">
        <w:rPr>
          <w:rStyle w:val="StyleUnderline"/>
          <w:highlight w:val="green"/>
        </w:rPr>
        <w:t xml:space="preserve">In developing, applying and credentialing </w:t>
      </w:r>
      <w:r w:rsidRPr="00DD2D90">
        <w:rPr>
          <w:rStyle w:val="StyleUnderline"/>
        </w:rPr>
        <w:t>innovations</w:t>
      </w:r>
      <w:r w:rsidRPr="009C4A5A">
        <w:rPr>
          <w:sz w:val="16"/>
        </w:rPr>
        <w:t xml:space="preserve"> </w:t>
      </w:r>
      <w:r w:rsidRPr="00DD2D90">
        <w:rPr>
          <w:rStyle w:val="StyleUnderline"/>
        </w:rPr>
        <w:t>in</w:t>
      </w:r>
      <w:r w:rsidRPr="009C4A5A">
        <w:rPr>
          <w:sz w:val="16"/>
        </w:rPr>
        <w:t xml:space="preserve"> indus- try sectors such as </w:t>
      </w:r>
      <w:r w:rsidRPr="00DD2D90">
        <w:rPr>
          <w:rStyle w:val="StyleUnderline"/>
          <w:highlight w:val="green"/>
        </w:rPr>
        <w:t>pharmaceuticals</w:t>
      </w:r>
      <w:r w:rsidRPr="009C4A5A">
        <w:rPr>
          <w:sz w:val="16"/>
        </w:rPr>
        <w:t xml:space="preserve">, the </w:t>
      </w:r>
      <w:r w:rsidRPr="00DD2D90">
        <w:rPr>
          <w:rStyle w:val="StyleUnderline"/>
          <w:highlight w:val="green"/>
        </w:rPr>
        <w:t>professions</w:t>
      </w:r>
      <w:r w:rsidRPr="009C4A5A">
        <w:rPr>
          <w:sz w:val="16"/>
        </w:rPr>
        <w:t xml:space="preserve"> also </w:t>
      </w:r>
      <w:r w:rsidRPr="00DD2D90">
        <w:rPr>
          <w:rStyle w:val="StyleUnderline"/>
          <w:highlight w:val="green"/>
        </w:rPr>
        <w:t>assist with the creation</w:t>
      </w:r>
      <w:r w:rsidRPr="00DD2D90">
        <w:rPr>
          <w:rStyle w:val="StyleUnderline"/>
        </w:rPr>
        <w:t xml:space="preserve"> and pursuit </w:t>
      </w:r>
      <w:r w:rsidRPr="00DD2D90">
        <w:rPr>
          <w:rStyle w:val="StyleUnderline"/>
          <w:highlight w:val="green"/>
        </w:rPr>
        <w:t>of</w:t>
      </w:r>
      <w:r w:rsidRPr="00DD2D90">
        <w:rPr>
          <w:rStyle w:val="StyleUnderline"/>
        </w:rPr>
        <w:t xml:space="preserve"> </w:t>
      </w:r>
      <w:r w:rsidRPr="00DD2D90">
        <w:rPr>
          <w:rStyle w:val="StyleUnderline"/>
          <w:highlight w:val="green"/>
        </w:rPr>
        <w:t>corporate profit</w:t>
      </w:r>
      <w:r w:rsidRPr="00DD2D90">
        <w:rPr>
          <w:rStyle w:val="StyleUnderline"/>
        </w:rPr>
        <w:t xml:space="preserve">, </w:t>
      </w:r>
      <w:r w:rsidRPr="00DD2D90">
        <w:rPr>
          <w:rStyle w:val="StyleUnderline"/>
          <w:highlight w:val="green"/>
        </w:rPr>
        <w:t>maintaining the hierarchical structure of soci- ety and the inequalities of health</w:t>
      </w:r>
      <w:r w:rsidRPr="00DD2D90">
        <w:rPr>
          <w:rStyle w:val="StyleUnderline"/>
        </w:rPr>
        <w:t xml:space="preserve"> and perpetuating a form of health system </w:t>
      </w:r>
      <w:r w:rsidRPr="00DD2D90">
        <w:rPr>
          <w:rStyle w:val="StyleUnderline"/>
          <w:highlight w:val="green"/>
        </w:rPr>
        <w:t xml:space="preserve">that favours </w:t>
      </w:r>
      <w:r w:rsidRPr="00DD2D90">
        <w:rPr>
          <w:rStyle w:val="StyleUnderline"/>
        </w:rPr>
        <w:t xml:space="preserve">the </w:t>
      </w:r>
      <w:r w:rsidRPr="00DD2D90">
        <w:rPr>
          <w:rStyle w:val="StyleUnderline"/>
          <w:highlight w:val="green"/>
        </w:rPr>
        <w:t>elites</w:t>
      </w:r>
      <w:r w:rsidRPr="009C4A5A">
        <w:rPr>
          <w:sz w:val="16"/>
        </w:rPr>
        <w:t xml:space="preserve">. Moreover, under a capitalist system, it is the </w:t>
      </w:r>
      <w:r w:rsidRPr="00DD2D90">
        <w:rPr>
          <w:rStyle w:val="StyleUnderline"/>
        </w:rPr>
        <w:t>elites</w:t>
      </w:r>
      <w:r w:rsidRPr="009C4A5A">
        <w:rPr>
          <w:sz w:val="16"/>
        </w:rPr>
        <w:t xml:space="preserve"> and the middle class which </w:t>
      </w:r>
      <w:r w:rsidRPr="00DD2D90">
        <w:rPr>
          <w:rStyle w:val="StyleUnderline"/>
        </w:rPr>
        <w:t xml:space="preserve">benefit most from health services: </w:t>
      </w:r>
      <w:r w:rsidRPr="00DD2D90">
        <w:rPr>
          <w:rStyle w:val="StyleUnderline"/>
          <w:highlight w:val="green"/>
        </w:rPr>
        <w:t>capitalists make profit on the stock exchange</w:t>
      </w:r>
      <w:r w:rsidRPr="00DD2D90">
        <w:rPr>
          <w:rStyle w:val="StyleUnderline"/>
        </w:rPr>
        <w:t xml:space="preserve"> or </w:t>
      </w:r>
      <w:r w:rsidRPr="00DD2D90">
        <w:rPr>
          <w:rStyle w:val="StyleUnderline"/>
          <w:highlight w:val="green"/>
        </w:rPr>
        <w:t>in</w:t>
      </w:r>
      <w:r w:rsidRPr="00DD2D90">
        <w:rPr>
          <w:rStyle w:val="StyleUnderline"/>
        </w:rPr>
        <w:t xml:space="preserve"> the ownership of businesses</w:t>
      </w:r>
      <w:r w:rsidRPr="009C4A5A">
        <w:rPr>
          <w:sz w:val="16"/>
        </w:rPr>
        <w:t xml:space="preserve"> (including </w:t>
      </w:r>
      <w:r w:rsidRPr="00DD2D90">
        <w:rPr>
          <w:rStyle w:val="StyleUnderline"/>
          <w:highlight w:val="green"/>
        </w:rPr>
        <w:t>medical practices and hospitals</w:t>
      </w:r>
      <w:r w:rsidRPr="009C4A5A">
        <w:rPr>
          <w:sz w:val="16"/>
        </w:rPr>
        <w:t xml:space="preserve">), </w:t>
      </w:r>
      <w:r w:rsidRPr="00DD2D90">
        <w:rPr>
          <w:rStyle w:val="StyleUnderline"/>
        </w:rPr>
        <w:t>and</w:t>
      </w:r>
      <w:r w:rsidRPr="009C4A5A">
        <w:rPr>
          <w:sz w:val="16"/>
        </w:rPr>
        <w:t xml:space="preserve"> managers, </w:t>
      </w:r>
      <w:r w:rsidRPr="00DD2D90">
        <w:rPr>
          <w:rStyle w:val="StyleUnderline"/>
        </w:rPr>
        <w:t>doctors</w:t>
      </w:r>
      <w:r w:rsidRPr="009C4A5A">
        <w:rPr>
          <w:sz w:val="16"/>
        </w:rPr>
        <w:t xml:space="preserve">, social workers, politicians and teachers </w:t>
      </w:r>
      <w:r w:rsidRPr="00DD2D90">
        <w:rPr>
          <w:rStyle w:val="StyleUnderline"/>
        </w:rPr>
        <w:t>make a good living from selling their ‘expertise’ as professionals</w:t>
      </w:r>
      <w:r w:rsidRPr="009C4A5A">
        <w:rPr>
          <w:sz w:val="16"/>
        </w:rPr>
        <w:t xml:space="preserve">. From this perspective, </w:t>
      </w:r>
      <w:r w:rsidRPr="00DD2D90">
        <w:rPr>
          <w:rStyle w:val="StyleUnderline"/>
          <w:highlight w:val="green"/>
        </w:rPr>
        <w:t>the central aim of capitalist medicine is profit, not</w:t>
      </w:r>
      <w:r w:rsidRPr="009C4A5A">
        <w:rPr>
          <w:sz w:val="16"/>
        </w:rPr>
        <w:t xml:space="preserve"> the creation of good </w:t>
      </w:r>
      <w:r w:rsidRPr="00DD2D90">
        <w:rPr>
          <w:rStyle w:val="StyleUnderline"/>
          <w:highlight w:val="green"/>
        </w:rPr>
        <w:t>health</w:t>
      </w:r>
      <w:r w:rsidRPr="009C4A5A">
        <w:rPr>
          <w:sz w:val="16"/>
        </w:rPr>
        <w:t xml:space="preserve"> (Mathews 1992). </w:t>
      </w:r>
      <w:r w:rsidRPr="00DD2D90">
        <w:rPr>
          <w:rStyle w:val="StyleUnderline"/>
        </w:rPr>
        <w:t xml:space="preserve">Where better health is the outcome, this is a mere </w:t>
      </w:r>
      <w:r w:rsidRPr="00DD2D90">
        <w:rPr>
          <w:rStyle w:val="Emphasis"/>
        </w:rPr>
        <w:t>coincidence</w:t>
      </w:r>
      <w:r w:rsidRPr="00DD2D90">
        <w:rPr>
          <w:rStyle w:val="StyleUnderline"/>
        </w:rPr>
        <w:t xml:space="preserve"> of opposing interests</w:t>
      </w:r>
      <w:r w:rsidRPr="009C4A5A">
        <w:rPr>
          <w:sz w:val="16"/>
        </w:rPr>
        <w:t xml:space="preserve">. Contemporary Marxian analysis has also focused on the buying and selling of healthcare services and organisations (including hospitals, clinics and diag- nostic laboratories) in both national and international markets. These practices intensified from the 1980s, particularly in the United States, where the state has traditionally taken only a small role in the provision of services. One of the earliest to note this phenomenon was Relman (1980), who described the esca- lation of corporate medical power in terms of a ‘medical industrial complex’. Inspired by Marxian theories of capitalism, other studies of the new industry in the United States rapidly followed (for example, Navarro 1986; Lindorff 1992; Hafferty and Light 1995; Light 2004). Researchers have continued to follow the growth of private, for-profit, corporate medicine, and the threat to public sys- tems of care in countries as diverse as Italy (France and Taroni 2005), South Africa (van den Heever 2011), Australia (White and Collyer 1998; Collyer et al. 2014), Britain (Pollock et al. 2001) Malaysia (Phua and Barraclough 2011), and Chile (Waitzkin et al. 2007). Marx and Engels were writing in the mid-nineteenth century, and since that time there have been very real gains to populations from widespread public health measures and the creation of national healthcare systems. Each such gain has been the outcome of intense and protracted political struggle. For instance, in the case of Victorian Britain, new sanitation measures and systems were produced amidst opposition from medical groups, local and national gov- ernments and economic elites (Hamlin 1998). Likewise, in the Australian case, the establishment of a universal health insurance scheme through the national taxation system in 1975 (initially Medibank, now known as Medicare) was bit- terly opposed by the medical profession and other political and economic elites, and each change of government brings new threats to its continuation (de Voe and Short 2003). However, even as health outcomes generally improve across the populations with the expansion of capitalist healthcare, the rise of new market giants – many of them operating transnationally – are fundamentally altering the basis of these hard-won national healthcare systems. Recent </w:t>
      </w:r>
      <w:r w:rsidRPr="00DD2D90">
        <w:rPr>
          <w:rStyle w:val="StyleUnderline"/>
        </w:rPr>
        <w:t>studies</w:t>
      </w:r>
      <w:r w:rsidRPr="009C4A5A">
        <w:rPr>
          <w:sz w:val="16"/>
        </w:rPr>
        <w:t xml:space="preserve"> have </w:t>
      </w:r>
      <w:r w:rsidRPr="00DD2D90">
        <w:rPr>
          <w:rStyle w:val="StyleUnderline"/>
        </w:rPr>
        <w:t xml:space="preserve">indicated the </w:t>
      </w:r>
      <w:r w:rsidRPr="00DD2D90">
        <w:rPr>
          <w:rStyle w:val="Emphasis"/>
        </w:rPr>
        <w:t>important</w:t>
      </w:r>
      <w:r w:rsidRPr="00DD2D90">
        <w:rPr>
          <w:rStyle w:val="StyleUnderline"/>
        </w:rPr>
        <w:t xml:space="preserve"> role of</w:t>
      </w:r>
      <w:r w:rsidRPr="009C4A5A">
        <w:rPr>
          <w:sz w:val="16"/>
        </w:rPr>
        <w:t xml:space="preserve"> governments and </w:t>
      </w:r>
      <w:r w:rsidRPr="00DD2D90">
        <w:rPr>
          <w:rStyle w:val="StyleUnderline"/>
        </w:rPr>
        <w:t>state-run healthcare</w:t>
      </w:r>
      <w:r w:rsidRPr="009C4A5A">
        <w:rPr>
          <w:sz w:val="16"/>
        </w:rPr>
        <w:t xml:space="preserve"> sys- tems </w:t>
      </w:r>
      <w:r w:rsidRPr="00DD2D90">
        <w:rPr>
          <w:rStyle w:val="StyleUnderline"/>
        </w:rPr>
        <w:t>in</w:t>
      </w:r>
      <w:r w:rsidRPr="009C4A5A">
        <w:rPr>
          <w:sz w:val="16"/>
        </w:rPr>
        <w:t xml:space="preserve"> improving health outcomes and </w:t>
      </w:r>
      <w:r w:rsidRPr="00DD2D90">
        <w:rPr>
          <w:rStyle w:val="StyleUnderline"/>
        </w:rPr>
        <w:t xml:space="preserve">ameliorating the </w:t>
      </w:r>
      <w:r w:rsidRPr="009C4A5A">
        <w:rPr>
          <w:sz w:val="16"/>
        </w:rPr>
        <w:t xml:space="preserve">more </w:t>
      </w:r>
      <w:r w:rsidRPr="00DD2D90">
        <w:rPr>
          <w:rStyle w:val="StyleUnderline"/>
        </w:rPr>
        <w:t>negative effects of market-driven healthcare</w:t>
      </w:r>
      <w:r w:rsidRPr="009C4A5A">
        <w:rPr>
          <w:sz w:val="16"/>
        </w:rPr>
        <w:t xml:space="preserve"> (Esping-Andersen 1990; Coburn 2004). Some of these come down to essential differences between the ‘logics’ of the modern state and the market. </w:t>
      </w:r>
      <w:r w:rsidRPr="00DD2D90">
        <w:rPr>
          <w:rStyle w:val="StyleUnderline"/>
          <w:highlight w:val="green"/>
        </w:rPr>
        <w:t>Where democratic governments have a duty to pro- vide for the citizenry, corporations have legal obligations to their investors, and these take priority over their social obligations to patients</w:t>
      </w:r>
      <w:r w:rsidRPr="009C4A5A">
        <w:rPr>
          <w:sz w:val="16"/>
        </w:rPr>
        <w:t xml:space="preserve"> or customers (Pollock et al. 2001). Hence the replacement of publicly provided or publicly financed services by others owned or run by private, for-profit corporations presents a serious challenge to the governance of the state in its efforts to pro- duce healthcare services on the basis of equity of access, accountability, cost at the point of service and quality of service. Moreover, with several decades of data now available for analysis, </w:t>
      </w:r>
      <w:r w:rsidRPr="00DD2D90">
        <w:rPr>
          <w:rStyle w:val="StyleUnderline"/>
        </w:rPr>
        <w:t>scholars</w:t>
      </w:r>
      <w:r w:rsidRPr="009C4A5A">
        <w:rPr>
          <w:sz w:val="16"/>
        </w:rPr>
        <w:t xml:space="preserve"> have been able to </w:t>
      </w:r>
      <w:r w:rsidRPr="00DD2D90">
        <w:rPr>
          <w:rStyle w:val="StyleUnderline"/>
        </w:rPr>
        <w:t>demonstrate</w:t>
      </w:r>
      <w:r w:rsidRPr="009C4A5A">
        <w:rPr>
          <w:sz w:val="16"/>
        </w:rPr>
        <w:t xml:space="preserve"> the </w:t>
      </w:r>
      <w:r w:rsidRPr="00DD2D90">
        <w:rPr>
          <w:rStyle w:val="StyleUnderline"/>
        </w:rPr>
        <w:t>many problems wrought by private medicine, including escalating costs, a lack of accountability, over-servicing and poor health outcomes</w:t>
      </w:r>
      <w:r w:rsidRPr="009C4A5A">
        <w:rPr>
          <w:sz w:val="16"/>
        </w:rPr>
        <w:t xml:space="preserve">, in stark contrast to </w:t>
      </w:r>
      <w:r w:rsidRPr="00DD2D90">
        <w:rPr>
          <w:rStyle w:val="StyleUnderline"/>
        </w:rPr>
        <w:t>public</w:t>
      </w:r>
      <w:r w:rsidRPr="009C4A5A">
        <w:rPr>
          <w:sz w:val="16"/>
        </w:rPr>
        <w:t xml:space="preserve">ly funded and controlled </w:t>
      </w:r>
      <w:r w:rsidRPr="00DD2D90">
        <w:rPr>
          <w:rStyle w:val="StyleUnderline"/>
        </w:rPr>
        <w:t>systems</w:t>
      </w:r>
      <w:r w:rsidRPr="009C4A5A">
        <w:rPr>
          <w:sz w:val="16"/>
        </w:rPr>
        <w:t xml:space="preserve"> which </w:t>
      </w:r>
      <w:r w:rsidRPr="00DD2D90">
        <w:rPr>
          <w:rStyle w:val="Emphasis"/>
        </w:rPr>
        <w:t>consistently</w:t>
      </w:r>
      <w:r w:rsidRPr="009C4A5A">
        <w:rPr>
          <w:sz w:val="16"/>
        </w:rPr>
        <w:t xml:space="preserve"> </w:t>
      </w:r>
      <w:r w:rsidRPr="00DD2D90">
        <w:rPr>
          <w:rStyle w:val="StyleUnderline"/>
        </w:rPr>
        <w:t>show lower health costs, more accessible services and better health outcomes</w:t>
      </w:r>
      <w:r w:rsidRPr="009C4A5A">
        <w:rPr>
          <w:sz w:val="16"/>
        </w:rPr>
        <w:t xml:space="preserve"> (for example, Shi 1994; Elola et al. 1995; Pollock et al. 2001; Giarelli 2004; France and Taroni 2005; Himmelstein and Woolhandler 2008). Despite the problems of corporate medicine, it is currently the favoured approach to building or maintaining healthcare services in both developing and developed nations: in the former case, governments seek corporate invest- ment to build healthcare systems where none currently exist, and in the latter, to reduce state responsibility for existing public services or improve cost effi- ciency (Collyer and White 2001:4; Nguyen and Peschard 2003:466; Collyer et al. 2014). The prevailing ideology of neo-liberalism – the ‘ruling ideas’ of the epoch (Marx and Engels 1976:67) – works in conjunction with the processes of alienation, helping to explain how it is that researchers find it difficult to counter assertions about the ‘greater efficiencies’ of the private sector, and con- vince others of the social and material consequences of corporate medicine. Instead of explaining the rising costs of healthcare in terms of changing demographics or higher patient demand for expensive technologies, Marxian analysis points to the inclusion of new items in the national healthcare bud- gets, that is, paying not just for services but also a substantial contribution to the cost of corporate profit. Health and illness as commodities</w:t>
      </w:r>
    </w:p>
    <w:p w14:paraId="3B6B95E4" w14:textId="77777777" w:rsidR="00FB2DF4" w:rsidRPr="009C4A5A" w:rsidRDefault="00FB2DF4" w:rsidP="00FB2DF4">
      <w:pPr>
        <w:rPr>
          <w:sz w:val="16"/>
        </w:rPr>
      </w:pPr>
    </w:p>
    <w:p w14:paraId="225BE9CC" w14:textId="77777777" w:rsidR="00F63522" w:rsidRPr="00D05211" w:rsidRDefault="00F63522" w:rsidP="00F63522">
      <w:pPr>
        <w:pStyle w:val="Heading2"/>
        <w:rPr>
          <w:rFonts w:ascii="Arial Black" w:hAnsi="Arial Black"/>
          <w:color w:val="B43E1F"/>
          <w:szCs w:val="44"/>
          <w:u w:val="single"/>
        </w:rPr>
      </w:pPr>
      <w:r w:rsidRPr="00D05211">
        <w:rPr>
          <w:rFonts w:ascii="Arial Black" w:hAnsi="Arial Black"/>
          <w:color w:val="B43E1F"/>
          <w:szCs w:val="44"/>
          <w:u w:val="single"/>
        </w:rPr>
        <w:t>Negative</w:t>
      </w:r>
    </w:p>
    <w:p w14:paraId="38F98761" w14:textId="44BE77F2" w:rsidR="008732A1" w:rsidRPr="00D05211" w:rsidRDefault="00F63522" w:rsidP="00085291">
      <w:pPr>
        <w:pStyle w:val="Heading3"/>
        <w:rPr>
          <w:rFonts w:ascii="Arial Black" w:hAnsi="Arial Black"/>
          <w:color w:val="B43E1F"/>
          <w:szCs w:val="32"/>
        </w:rPr>
      </w:pPr>
      <w:r w:rsidRPr="00D05211">
        <w:rPr>
          <w:rFonts w:ascii="Arial Black" w:hAnsi="Arial Black"/>
          <w:color w:val="B43E1F"/>
          <w:szCs w:val="32"/>
        </w:rPr>
        <w:t xml:space="preserve">Contention 1: </w:t>
      </w:r>
      <w:r w:rsidR="00914260" w:rsidRPr="00D05211">
        <w:rPr>
          <w:rFonts w:ascii="Arial Black" w:hAnsi="Arial Black"/>
          <w:color w:val="B43E1F"/>
          <w:szCs w:val="32"/>
        </w:rPr>
        <w:t>Economy</w:t>
      </w:r>
    </w:p>
    <w:p w14:paraId="284F5D7E" w14:textId="51734DE6" w:rsidR="00C31D8A" w:rsidRPr="009C4A5A" w:rsidRDefault="00855A7D" w:rsidP="00C31D8A">
      <w:pPr>
        <w:pStyle w:val="Heading4"/>
        <w:rPr>
          <w:szCs w:val="26"/>
        </w:rPr>
      </w:pPr>
      <w:r w:rsidRPr="009C4A5A">
        <w:rPr>
          <w:szCs w:val="26"/>
        </w:rPr>
        <w:t>Ending private healthcare destroys the labor market – all other industries are in a recession</w:t>
      </w:r>
    </w:p>
    <w:p w14:paraId="07C267C5" w14:textId="77777777" w:rsidR="00C31D8A" w:rsidRPr="00DD2D90" w:rsidRDefault="00C31D8A" w:rsidP="00C31D8A">
      <w:r w:rsidRPr="009C4A5A">
        <w:rPr>
          <w:b/>
          <w:bCs/>
          <w:sz w:val="26"/>
          <w:szCs w:val="26"/>
        </w:rPr>
        <w:t>Bashir 4-5</w:t>
      </w:r>
      <w:r w:rsidRPr="00DD2D90">
        <w:t xml:space="preserve"> [Kamina Bashir, financial journalist with a </w:t>
      </w:r>
      <w:proofErr w:type="gramStart"/>
      <w:r w:rsidRPr="00DD2D90">
        <w:t>Bachelor’s degree in Journalism</w:t>
      </w:r>
      <w:proofErr w:type="gramEnd"/>
      <w:r w:rsidRPr="00DD2D90">
        <w:t>, 04-05-2026, “US Labor Market Shows Recession-Level Weakness Outside One Sector,” Yahoo Finance, https://finance.yahoo.com/sectors/healthcare/articles/us-labor-market-shows-recession-044408305.html]/Kankee</w:t>
      </w:r>
    </w:p>
    <w:p w14:paraId="48139E7F" w14:textId="77777777" w:rsidR="00C31D8A" w:rsidRPr="009C4A5A" w:rsidRDefault="00C31D8A" w:rsidP="00C31D8A">
      <w:pPr>
        <w:rPr>
          <w:sz w:val="16"/>
        </w:rPr>
      </w:pPr>
      <w:r w:rsidRPr="00DD2D90">
        <w:rPr>
          <w:rStyle w:val="StyleUnderline"/>
        </w:rPr>
        <w:t xml:space="preserve">The US labor market appears increasingly reliant on a </w:t>
      </w:r>
      <w:r w:rsidRPr="00DD2D90">
        <w:rPr>
          <w:rStyle w:val="Emphasis"/>
        </w:rPr>
        <w:t>single driver</w:t>
      </w:r>
      <w:r w:rsidRPr="009C4A5A">
        <w:rPr>
          <w:sz w:val="16"/>
        </w:rPr>
        <w:t xml:space="preserve">. Labor Department data shows that </w:t>
      </w:r>
      <w:r w:rsidRPr="00DD2D90">
        <w:rPr>
          <w:rStyle w:val="StyleUnderline"/>
          <w:highlight w:val="green"/>
        </w:rPr>
        <w:t>healthcare</w:t>
      </w:r>
      <w:r w:rsidRPr="009C4A5A">
        <w:rPr>
          <w:sz w:val="16"/>
        </w:rPr>
        <w:t xml:space="preserve"> and social assistance have </w:t>
      </w:r>
      <w:r w:rsidRPr="00DD2D90">
        <w:rPr>
          <w:rStyle w:val="StyleUnderline"/>
          <w:highlight w:val="green"/>
        </w:rPr>
        <w:t>accounted for</w:t>
      </w:r>
      <w:r w:rsidRPr="00DD2D90">
        <w:rPr>
          <w:rStyle w:val="StyleUnderline"/>
        </w:rPr>
        <w:t xml:space="preserve"> nearly </w:t>
      </w:r>
      <w:r w:rsidRPr="00DD2D90">
        <w:rPr>
          <w:rStyle w:val="StyleUnderline"/>
          <w:highlight w:val="green"/>
        </w:rPr>
        <w:t>all</w:t>
      </w:r>
      <w:r w:rsidRPr="00DD2D90">
        <w:rPr>
          <w:rStyle w:val="StyleUnderline"/>
        </w:rPr>
        <w:t xml:space="preserve"> net </w:t>
      </w:r>
      <w:r w:rsidRPr="00DD2D90">
        <w:rPr>
          <w:rStyle w:val="StyleUnderline"/>
          <w:highlight w:val="green"/>
        </w:rPr>
        <w:t>private</w:t>
      </w:r>
      <w:r w:rsidRPr="00DD2D90">
        <w:rPr>
          <w:rStyle w:val="StyleUnderline"/>
        </w:rPr>
        <w:t xml:space="preserve">-sector </w:t>
      </w:r>
      <w:r w:rsidRPr="00DD2D90">
        <w:rPr>
          <w:rStyle w:val="StyleUnderline"/>
          <w:highlight w:val="green"/>
        </w:rPr>
        <w:t>job</w:t>
      </w:r>
      <w:r w:rsidRPr="00DD2D90">
        <w:rPr>
          <w:rStyle w:val="StyleUnderline"/>
        </w:rPr>
        <w:t xml:space="preserve"> </w:t>
      </w:r>
      <w:r w:rsidRPr="00DD2D90">
        <w:rPr>
          <w:rStyle w:val="StyleUnderline"/>
          <w:highlight w:val="green"/>
        </w:rPr>
        <w:t>growth</w:t>
      </w:r>
      <w:r w:rsidRPr="00DD2D90">
        <w:rPr>
          <w:rStyle w:val="StyleUnderline"/>
        </w:rPr>
        <w:t xml:space="preserve"> since December 2024</w:t>
      </w:r>
      <w:r w:rsidRPr="009C4A5A">
        <w:rPr>
          <w:sz w:val="16"/>
        </w:rPr>
        <w:t xml:space="preserve">, while the rest of </w:t>
      </w:r>
      <w:r w:rsidRPr="00DD2D90">
        <w:rPr>
          <w:rStyle w:val="StyleUnderline"/>
        </w:rPr>
        <w:t>the economy has shed jobs</w:t>
      </w:r>
      <w:r w:rsidRPr="009C4A5A">
        <w:rPr>
          <w:sz w:val="16"/>
        </w:rPr>
        <w:t xml:space="preserve">. A breakdown of the </w:t>
      </w:r>
      <w:r w:rsidRPr="00DD2D90">
        <w:rPr>
          <w:rStyle w:val="StyleUnderline"/>
        </w:rPr>
        <w:t>numbers reveals a</w:t>
      </w:r>
      <w:r w:rsidRPr="009C4A5A">
        <w:rPr>
          <w:sz w:val="16"/>
        </w:rPr>
        <w:t xml:space="preserve"> sharp </w:t>
      </w:r>
      <w:r w:rsidRPr="00DD2D90">
        <w:rPr>
          <w:rStyle w:val="StyleUnderline"/>
        </w:rPr>
        <w:t xml:space="preserve">divide between one </w:t>
      </w:r>
      <w:r w:rsidRPr="00DD2D90">
        <w:rPr>
          <w:rStyle w:val="Emphasis"/>
        </w:rPr>
        <w:t>booming</w:t>
      </w:r>
      <w:r w:rsidRPr="009C4A5A">
        <w:rPr>
          <w:sz w:val="16"/>
        </w:rPr>
        <w:t xml:space="preserve"> </w:t>
      </w:r>
      <w:r w:rsidRPr="00DD2D90">
        <w:rPr>
          <w:rStyle w:val="StyleUnderline"/>
        </w:rPr>
        <w:t xml:space="preserve">sector and widespread weakness across virtually </w:t>
      </w:r>
      <w:r w:rsidRPr="00DD2D90">
        <w:rPr>
          <w:rStyle w:val="Emphasis"/>
        </w:rPr>
        <w:t>every</w:t>
      </w:r>
      <w:r w:rsidRPr="00DD2D90">
        <w:rPr>
          <w:rStyle w:val="StyleUnderline"/>
        </w:rPr>
        <w:t xml:space="preserve"> other industry</w:t>
      </w:r>
      <w:r w:rsidRPr="009C4A5A">
        <w:rPr>
          <w:sz w:val="16"/>
        </w:rPr>
        <w:t xml:space="preserve">. </w:t>
      </w:r>
      <w:r w:rsidRPr="00DD2D90">
        <w:rPr>
          <w:rStyle w:val="StyleUnderline"/>
        </w:rPr>
        <w:t>Healthcare Props Up US Labor Market</w:t>
      </w:r>
      <w:r w:rsidRPr="009C4A5A">
        <w:rPr>
          <w:sz w:val="16"/>
        </w:rPr>
        <w:t xml:space="preserve"> </w:t>
      </w:r>
      <w:r w:rsidRPr="00DD2D90">
        <w:rPr>
          <w:rStyle w:val="StyleUnderline"/>
        </w:rPr>
        <w:t>as Rest of Private Sector Contracts</w:t>
      </w:r>
      <w:r w:rsidRPr="009C4A5A">
        <w:rPr>
          <w:sz w:val="16"/>
        </w:rPr>
        <w:t xml:space="preserve"> The Global Markets Investor noted that the US economy has added an average of just 21,000 jobs each month since the beginning of 2025. This represents an annual pace of roughly 0.2%. The post stated that </w:t>
      </w:r>
      <w:r w:rsidRPr="00DD2D90">
        <w:rPr>
          <w:rStyle w:val="StyleUnderline"/>
        </w:rPr>
        <w:t xml:space="preserve">the </w:t>
      </w:r>
      <w:r w:rsidRPr="00DD2D90">
        <w:rPr>
          <w:rStyle w:val="StyleUnderline"/>
          <w:highlight w:val="green"/>
        </w:rPr>
        <w:t>job creation has “</w:t>
      </w:r>
      <w:r w:rsidRPr="00DD2D90">
        <w:rPr>
          <w:rStyle w:val="Emphasis"/>
          <w:highlight w:val="green"/>
        </w:rPr>
        <w:t>never</w:t>
      </w:r>
      <w:r w:rsidRPr="00DD2D90">
        <w:rPr>
          <w:rStyle w:val="StyleUnderline"/>
          <w:highlight w:val="green"/>
        </w:rPr>
        <w:t xml:space="preserve"> been this weak” outside of a</w:t>
      </w:r>
      <w:r w:rsidRPr="00DD2D90">
        <w:rPr>
          <w:rStyle w:val="StyleUnderline"/>
        </w:rPr>
        <w:t xml:space="preserve"> formal </w:t>
      </w:r>
      <w:r w:rsidRPr="00DD2D90">
        <w:rPr>
          <w:rStyle w:val="StyleUnderline"/>
          <w:highlight w:val="green"/>
        </w:rPr>
        <w:t>recession</w:t>
      </w:r>
      <w:r w:rsidRPr="009C4A5A">
        <w:rPr>
          <w:sz w:val="16"/>
        </w:rPr>
        <w:t xml:space="preserve">. To put this in perspective, annual employment growth averaged about 2.2% between 1948 and 1979, slowed to 1.5% from 1980 to 2007, and dropped further to roughly 0.8% during both 2008–2019 and 2020–2024. At present, </w:t>
      </w:r>
      <w:r w:rsidRPr="00DD2D90">
        <w:rPr>
          <w:rStyle w:val="StyleUnderline"/>
          <w:highlight w:val="green"/>
        </w:rPr>
        <w:t>job growth is</w:t>
      </w:r>
      <w:r w:rsidRPr="00DD2D90">
        <w:rPr>
          <w:rStyle w:val="StyleUnderline"/>
        </w:rPr>
        <w:t xml:space="preserve"> running at a pace nearly </w:t>
      </w:r>
      <w:r w:rsidRPr="00DD2D90">
        <w:rPr>
          <w:rStyle w:val="Emphasis"/>
          <w:highlight w:val="green"/>
        </w:rPr>
        <w:t>four times</w:t>
      </w:r>
      <w:r w:rsidRPr="00DD2D90">
        <w:rPr>
          <w:rStyle w:val="StyleUnderline"/>
          <w:highlight w:val="green"/>
        </w:rPr>
        <w:t xml:space="preserve"> weaker than</w:t>
      </w:r>
      <w:r w:rsidRPr="00DD2D90">
        <w:rPr>
          <w:rStyle w:val="StyleUnderline"/>
        </w:rPr>
        <w:t xml:space="preserve"> during </w:t>
      </w:r>
      <w:r w:rsidRPr="00DD2D90">
        <w:rPr>
          <w:rStyle w:val="StyleUnderline"/>
          <w:highlight w:val="green"/>
        </w:rPr>
        <w:t>the</w:t>
      </w:r>
      <w:r w:rsidRPr="00DD2D90">
        <w:rPr>
          <w:rStyle w:val="StyleUnderline"/>
        </w:rPr>
        <w:t xml:space="preserve"> post-</w:t>
      </w:r>
      <w:r w:rsidRPr="00DD2D90">
        <w:rPr>
          <w:rStyle w:val="StyleUnderline"/>
          <w:highlight w:val="green"/>
        </w:rPr>
        <w:t>financial crisis</w:t>
      </w:r>
      <w:r w:rsidRPr="00DD2D90">
        <w:rPr>
          <w:rStyle w:val="StyleUnderline"/>
        </w:rPr>
        <w:t xml:space="preserve"> period and more than </w:t>
      </w:r>
      <w:r w:rsidRPr="00DD2D90">
        <w:rPr>
          <w:rStyle w:val="Emphasis"/>
        </w:rPr>
        <w:t>ten times</w:t>
      </w:r>
      <w:r w:rsidRPr="00DD2D90">
        <w:rPr>
          <w:rStyle w:val="StyleUnderline"/>
        </w:rPr>
        <w:t xml:space="preserve"> weaker than during the post-war expansion</w:t>
      </w:r>
      <w:r w:rsidRPr="009C4A5A">
        <w:rPr>
          <w:sz w:val="16"/>
        </w:rPr>
        <w:t xml:space="preserve">. Meanwhile, </w:t>
      </w:r>
      <w:r w:rsidRPr="00DD2D90">
        <w:rPr>
          <w:rStyle w:val="StyleUnderline"/>
        </w:rPr>
        <w:t>healthcare and social assistance have added approximately 57,000 jobs per month since December 2024</w:t>
      </w:r>
      <w:r w:rsidRPr="009C4A5A">
        <w:rPr>
          <w:sz w:val="16"/>
        </w:rPr>
        <w:t xml:space="preserve">. That means the rest of </w:t>
      </w:r>
      <w:r w:rsidRPr="00DD2D90">
        <w:rPr>
          <w:rStyle w:val="StyleUnderline"/>
          <w:highlight w:val="green"/>
        </w:rPr>
        <w:t>the private sector has been losing</w:t>
      </w:r>
      <w:r w:rsidRPr="00DD2D90">
        <w:rPr>
          <w:rStyle w:val="StyleUnderline"/>
        </w:rPr>
        <w:t xml:space="preserve"> an estimated </w:t>
      </w:r>
      <w:r w:rsidRPr="00DD2D90">
        <w:rPr>
          <w:rStyle w:val="StyleUnderline"/>
          <w:highlight w:val="green"/>
        </w:rPr>
        <w:t>21,500 jobs per month</w:t>
      </w:r>
      <w:r w:rsidRPr="00DD2D90">
        <w:rPr>
          <w:rStyle w:val="StyleUnderline"/>
        </w:rPr>
        <w:t xml:space="preserve"> over the same stretch</w:t>
      </w:r>
      <w:r w:rsidRPr="009C4A5A">
        <w:rPr>
          <w:sz w:val="16"/>
        </w:rPr>
        <w:t xml:space="preserve">. “Since December 2024, </w:t>
      </w:r>
      <w:r w:rsidRPr="00DD2D90">
        <w:rPr>
          <w:rStyle w:val="StyleUnderline"/>
          <w:highlight w:val="green"/>
        </w:rPr>
        <w:t>healthcare</w:t>
      </w:r>
      <w:r w:rsidRPr="009C4A5A">
        <w:rPr>
          <w:sz w:val="16"/>
        </w:rPr>
        <w:t xml:space="preserve"> and social assistance has </w:t>
      </w:r>
      <w:r w:rsidRPr="00DD2D90">
        <w:rPr>
          <w:rStyle w:val="StyleUnderline"/>
          <w:highlight w:val="green"/>
        </w:rPr>
        <w:t>added ~855,000 jobs, while the rest of the private sector has lost -322,000</w:t>
      </w:r>
      <w:r w:rsidRPr="009C4A5A">
        <w:rPr>
          <w:sz w:val="16"/>
        </w:rPr>
        <w:t xml:space="preserve">. That means </w:t>
      </w:r>
      <w:r w:rsidRPr="00DD2D90">
        <w:rPr>
          <w:rStyle w:val="StyleUnderline"/>
          <w:highlight w:val="green"/>
        </w:rPr>
        <w:t xml:space="preserve">a single sector is </w:t>
      </w:r>
      <w:r w:rsidRPr="00DD2D90">
        <w:rPr>
          <w:rStyle w:val="Emphasis"/>
          <w:highlight w:val="green"/>
        </w:rPr>
        <w:t>masking</w:t>
      </w:r>
      <w:r w:rsidRPr="00DD2D90">
        <w:rPr>
          <w:rStyle w:val="StyleUnderline"/>
          <w:highlight w:val="green"/>
        </w:rPr>
        <w:t xml:space="preserve"> a broad</w:t>
      </w:r>
      <w:r w:rsidRPr="00DD2D90">
        <w:rPr>
          <w:rStyle w:val="StyleUnderline"/>
        </w:rPr>
        <w:t xml:space="preserve">-based </w:t>
      </w:r>
      <w:r w:rsidRPr="00DD2D90">
        <w:rPr>
          <w:rStyle w:val="StyleUnderline"/>
          <w:highlight w:val="green"/>
        </w:rPr>
        <w:t>CONTRACTION</w:t>
      </w:r>
      <w:r w:rsidRPr="00DD2D90">
        <w:rPr>
          <w:rStyle w:val="StyleUnderline"/>
        </w:rPr>
        <w:t xml:space="preserve"> across the rest of the </w:t>
      </w:r>
      <w:r w:rsidRPr="009C4A5A">
        <w:rPr>
          <w:sz w:val="16"/>
        </w:rPr>
        <w:t>world's largest</w:t>
      </w:r>
      <w:r w:rsidRPr="00DD2D90">
        <w:rPr>
          <w:rStyle w:val="StyleUnderline"/>
        </w:rPr>
        <w:t xml:space="preserve"> economy</w:t>
      </w:r>
      <w:r w:rsidRPr="009C4A5A">
        <w:rPr>
          <w:sz w:val="16"/>
        </w:rPr>
        <w:t>,” Global Markets Investor wrote. “</w:t>
      </w:r>
      <w:r w:rsidRPr="00DD2D90">
        <w:rPr>
          <w:rStyle w:val="StyleUnderline"/>
        </w:rPr>
        <w:t>Healthcare</w:t>
      </w:r>
      <w:r w:rsidRPr="009C4A5A">
        <w:rPr>
          <w:sz w:val="16"/>
        </w:rPr>
        <w:t xml:space="preserve"> and social assistance now </w:t>
      </w:r>
      <w:r w:rsidRPr="00DD2D90">
        <w:rPr>
          <w:rStyle w:val="StyleUnderline"/>
        </w:rPr>
        <w:t>represents NEARLY ALL net private-sector job creation</w:t>
      </w:r>
      <w:r w:rsidRPr="009C4A5A">
        <w:rPr>
          <w:sz w:val="16"/>
        </w:rPr>
        <w:t xml:space="preserve"> since the end of 2024.” The March 2026 jobs report reinforced the pattern. The economy added 178,000 nonfarm payrolls, but healthcare alone accounted for 76,000 of those positions. “</w:t>
      </w:r>
      <w:r w:rsidRPr="00DD2D90">
        <w:rPr>
          <w:rStyle w:val="StyleUnderline"/>
          <w:highlight w:val="green"/>
        </w:rPr>
        <w:t>Remove one sector and the labor market is</w:t>
      </w:r>
      <w:r w:rsidRPr="00DD2D90">
        <w:rPr>
          <w:rStyle w:val="StyleUnderline"/>
        </w:rPr>
        <w:t xml:space="preserve"> </w:t>
      </w:r>
      <w:r w:rsidRPr="009C4A5A">
        <w:rPr>
          <w:sz w:val="16"/>
        </w:rPr>
        <w:t>already</w:t>
      </w:r>
      <w:r w:rsidRPr="00DD2D90">
        <w:rPr>
          <w:rStyle w:val="StyleUnderline"/>
        </w:rPr>
        <w:t xml:space="preserve"> </w:t>
      </w:r>
      <w:r w:rsidRPr="00DD2D90">
        <w:rPr>
          <w:rStyle w:val="StyleUnderline"/>
          <w:highlight w:val="green"/>
        </w:rPr>
        <w:t xml:space="preserve">in a </w:t>
      </w:r>
      <w:r w:rsidRPr="00DD2D90">
        <w:rPr>
          <w:rStyle w:val="Emphasis"/>
          <w:highlight w:val="green"/>
        </w:rPr>
        <w:t>RECESSION</w:t>
      </w:r>
      <w:r w:rsidRPr="009C4A5A">
        <w:rPr>
          <w:sz w:val="16"/>
        </w:rPr>
        <w:t xml:space="preserve">,” the post added. This concentration raises a key concern: </w:t>
      </w:r>
      <w:r w:rsidRPr="00DD2D90">
        <w:rPr>
          <w:rStyle w:val="StyleUnderline"/>
        </w:rPr>
        <w:t>without one sector propping up employment, the</w:t>
      </w:r>
      <w:r w:rsidRPr="009C4A5A">
        <w:rPr>
          <w:sz w:val="16"/>
        </w:rPr>
        <w:t xml:space="preserve"> broader </w:t>
      </w:r>
      <w:r w:rsidRPr="00DD2D90">
        <w:rPr>
          <w:rStyle w:val="StyleUnderline"/>
        </w:rPr>
        <w:t>labor market may</w:t>
      </w:r>
      <w:r w:rsidRPr="009C4A5A">
        <w:rPr>
          <w:sz w:val="16"/>
        </w:rPr>
        <w:t xml:space="preserve"> already </w:t>
      </w:r>
      <w:r w:rsidRPr="00DD2D90">
        <w:rPr>
          <w:rStyle w:val="StyleUnderline"/>
        </w:rPr>
        <w:t>resemble recessionary conditions</w:t>
      </w:r>
      <w:r w:rsidRPr="009C4A5A">
        <w:rPr>
          <w:sz w:val="16"/>
        </w:rPr>
        <w:t xml:space="preserve">, even as headline figures suggest continued growth. </w:t>
      </w:r>
    </w:p>
    <w:p w14:paraId="33B4553D" w14:textId="77777777" w:rsidR="00C31D8A" w:rsidRPr="009C4A5A" w:rsidRDefault="00C31D8A" w:rsidP="00C31D8A">
      <w:pPr>
        <w:rPr>
          <w:rFonts w:eastAsiaTheme="majorEastAsia" w:cstheme="majorBidi"/>
          <w:b/>
          <w:iCs/>
          <w:sz w:val="16"/>
        </w:rPr>
      </w:pPr>
      <w:r w:rsidRPr="009C4A5A">
        <w:rPr>
          <w:sz w:val="16"/>
        </w:rPr>
        <w:br w:type="page"/>
      </w:r>
    </w:p>
    <w:p w14:paraId="29FFC8C3" w14:textId="5443E67D" w:rsidR="008732A1" w:rsidRPr="009C4A5A" w:rsidRDefault="008732A1" w:rsidP="008732A1">
      <w:pPr>
        <w:pStyle w:val="Heading4"/>
        <w:rPr>
          <w:szCs w:val="26"/>
        </w:rPr>
      </w:pPr>
      <w:r w:rsidRPr="009C4A5A">
        <w:rPr>
          <w:szCs w:val="26"/>
        </w:rPr>
        <w:t>Healthcare is the lynchpin of the labor market – it’s the only source of jobs growth</w:t>
      </w:r>
      <w:r w:rsidR="00B654A3" w:rsidRPr="009C4A5A">
        <w:rPr>
          <w:szCs w:val="26"/>
        </w:rPr>
        <w:t xml:space="preserve"> and allows easy retraining for </w:t>
      </w:r>
      <w:r w:rsidR="00FA34D6" w:rsidRPr="009C4A5A">
        <w:rPr>
          <w:szCs w:val="26"/>
        </w:rPr>
        <w:t>the unemployed</w:t>
      </w:r>
    </w:p>
    <w:p w14:paraId="54C5AA58" w14:textId="32DDB38C" w:rsidR="008732A1" w:rsidRPr="00DD2D90" w:rsidRDefault="008732A1" w:rsidP="008732A1">
      <w:r w:rsidRPr="009C4A5A">
        <w:rPr>
          <w:b/>
          <w:bCs/>
          <w:sz w:val="26"/>
          <w:szCs w:val="26"/>
        </w:rPr>
        <w:t>Depillis 3-6</w:t>
      </w:r>
      <w:r w:rsidRPr="00DD2D90">
        <w:t xml:space="preserve"> [Lydia Depillis, NYT economics journalist with a BA from Columbia, 3-6-2026, "</w:t>
      </w:r>
      <w:r w:rsidRPr="00DD2D90">
        <w:rPr>
          <w:rStyle w:val="StyleUnderline"/>
        </w:rPr>
        <w:t xml:space="preserve">Health Care Has Become the </w:t>
      </w:r>
      <w:r w:rsidRPr="00DD2D90">
        <w:rPr>
          <w:rStyle w:val="Emphasis"/>
        </w:rPr>
        <w:t>Lifeblood</w:t>
      </w:r>
      <w:r w:rsidRPr="00DD2D90">
        <w:rPr>
          <w:rStyle w:val="StyleUnderline"/>
        </w:rPr>
        <w:t xml:space="preserve"> of the Labor Market</w:t>
      </w:r>
      <w:r w:rsidRPr="00DD2D90">
        <w:t>", NYT, https://www.nytimes.com/2026/03/06/business/economy/health-care-hiring-labor-market.html]/Kankee</w:t>
      </w:r>
    </w:p>
    <w:p w14:paraId="3E24D314" w14:textId="1A89DE6D" w:rsidR="008732A1" w:rsidRPr="009C4A5A" w:rsidRDefault="008732A1" w:rsidP="008E66F8">
      <w:pPr>
        <w:rPr>
          <w:sz w:val="16"/>
        </w:rPr>
      </w:pPr>
      <w:r w:rsidRPr="009C4A5A">
        <w:rPr>
          <w:sz w:val="16"/>
        </w:rPr>
        <w:t xml:space="preserve">It is an exceptionally difficult time to find a job in America, as employers work through a hiring hangover from the pandemic and hesitate to invest in new staff with policy changes coming fast and furious from Washington. But the picture is even worse without one sector: </w:t>
      </w:r>
      <w:r w:rsidRPr="00DD2D90">
        <w:rPr>
          <w:rStyle w:val="StyleUnderline"/>
          <w:highlight w:val="green"/>
        </w:rPr>
        <w:t>health care</w:t>
      </w:r>
      <w:r w:rsidRPr="009C4A5A">
        <w:rPr>
          <w:sz w:val="16"/>
        </w:rPr>
        <w:t xml:space="preserve">. The industry, and related professions in the social assistance category, </w:t>
      </w:r>
      <w:r w:rsidRPr="00DD2D90">
        <w:rPr>
          <w:rStyle w:val="StyleUnderline"/>
          <w:highlight w:val="green"/>
        </w:rPr>
        <w:t>added 693,000 positions last</w:t>
      </w:r>
      <w:r w:rsidRPr="00DD2D90">
        <w:rPr>
          <w:rStyle w:val="StyleUnderline"/>
        </w:rPr>
        <w:t xml:space="preserve"> </w:t>
      </w:r>
      <w:r w:rsidRPr="00DD2D90">
        <w:rPr>
          <w:rStyle w:val="StyleUnderline"/>
          <w:highlight w:val="green"/>
        </w:rPr>
        <w:t>year</w:t>
      </w:r>
      <w:r w:rsidRPr="009C4A5A">
        <w:rPr>
          <w:sz w:val="16"/>
        </w:rPr>
        <w:t xml:space="preserve">. </w:t>
      </w:r>
      <w:r w:rsidRPr="00DD2D90">
        <w:rPr>
          <w:rStyle w:val="StyleUnderline"/>
          <w:highlight w:val="green"/>
        </w:rPr>
        <w:t>Without it, the economy would have lost 570,000</w:t>
      </w:r>
      <w:r w:rsidRPr="00DD2D90">
        <w:rPr>
          <w:rStyle w:val="StyleUnderline"/>
        </w:rPr>
        <w:t xml:space="preserve"> </w:t>
      </w:r>
      <w:r w:rsidRPr="00DD2D90">
        <w:rPr>
          <w:rStyle w:val="StyleUnderline"/>
          <w:highlight w:val="green"/>
        </w:rPr>
        <w:t>jobs</w:t>
      </w:r>
      <w:r w:rsidRPr="00DD2D90">
        <w:rPr>
          <w:rStyle w:val="StyleUnderline"/>
        </w:rPr>
        <w:t xml:space="preserve">, as </w:t>
      </w:r>
      <w:r w:rsidRPr="00DD2D90">
        <w:rPr>
          <w:rStyle w:val="StyleUnderline"/>
          <w:highlight w:val="green"/>
        </w:rPr>
        <w:t>business</w:t>
      </w:r>
      <w:r w:rsidRPr="00DD2D90">
        <w:rPr>
          <w:rStyle w:val="StyleUnderline"/>
        </w:rPr>
        <w:t xml:space="preserve"> and professional services, </w:t>
      </w:r>
      <w:r w:rsidRPr="00DD2D90">
        <w:rPr>
          <w:rStyle w:val="StyleUnderline"/>
          <w:highlight w:val="green"/>
        </w:rPr>
        <w:t>retail</w:t>
      </w:r>
      <w:r w:rsidRPr="00DD2D90">
        <w:rPr>
          <w:rStyle w:val="StyleUnderline"/>
        </w:rPr>
        <w:t xml:space="preserve">, the federal </w:t>
      </w:r>
      <w:r w:rsidRPr="00DD2D90">
        <w:rPr>
          <w:rStyle w:val="StyleUnderline"/>
          <w:highlight w:val="green"/>
        </w:rPr>
        <w:t>government</w:t>
      </w:r>
      <w:r w:rsidRPr="00DD2D90">
        <w:rPr>
          <w:rStyle w:val="StyleUnderline"/>
        </w:rPr>
        <w:t xml:space="preserve"> </w:t>
      </w:r>
      <w:r w:rsidRPr="00DD2D90">
        <w:rPr>
          <w:rStyle w:val="StyleUnderline"/>
          <w:highlight w:val="green"/>
        </w:rPr>
        <w:t>and manufacturing all contracted</w:t>
      </w:r>
      <w:r w:rsidRPr="009C4A5A">
        <w:rPr>
          <w:sz w:val="16"/>
        </w:rPr>
        <w:t xml:space="preserve">. </w:t>
      </w:r>
      <w:r w:rsidRPr="00DD2D90">
        <w:rPr>
          <w:rStyle w:val="StyleUnderline"/>
          <w:highlight w:val="green"/>
        </w:rPr>
        <w:t xml:space="preserve">Health care’s </w:t>
      </w:r>
      <w:r w:rsidRPr="00DD2D90">
        <w:rPr>
          <w:rStyle w:val="Emphasis"/>
          <w:highlight w:val="green"/>
        </w:rPr>
        <w:t>insatiable growth</w:t>
      </w:r>
      <w:r w:rsidRPr="00DD2D90">
        <w:rPr>
          <w:rStyle w:val="StyleUnderline"/>
          <w:highlight w:val="green"/>
        </w:rPr>
        <w:t xml:space="preserve"> is good news</w:t>
      </w:r>
      <w:r w:rsidRPr="009C4A5A">
        <w:rPr>
          <w:sz w:val="16"/>
        </w:rPr>
        <w:t xml:space="preserve"> for people who make it into the profession, offering mobility and options for advancement. It’s why nurses in New York City won pay increases and job protections last month after a weekslong strike that had forced hospitals to spend heavily on traveling staff, and why health care positions offer signing bonuses uncommon for most professions. But it also highlights the sluggishness in the rest of the labor market, where hiring has been glacial. As the unemployment rate has drifted upward, most job postings have attracted qualified candidates quickly — except for medical positions, which are taking longer to fill, said Raj Namboothiry, senior vice president for the United States at Manpower, a staffing company. “</w:t>
      </w:r>
      <w:r w:rsidRPr="00DD2D90">
        <w:rPr>
          <w:rStyle w:val="StyleUnderline"/>
        </w:rPr>
        <w:t xml:space="preserve">Health care has </w:t>
      </w:r>
      <w:r w:rsidRPr="00DD2D90">
        <w:rPr>
          <w:rStyle w:val="Emphasis"/>
        </w:rPr>
        <w:t>constantly</w:t>
      </w:r>
      <w:r w:rsidRPr="00DD2D90">
        <w:rPr>
          <w:rStyle w:val="StyleUnderline"/>
        </w:rPr>
        <w:t xml:space="preserve"> shown gains when the rest of the sectors are on pause</w:t>
      </w:r>
      <w:r w:rsidRPr="009C4A5A">
        <w:rPr>
          <w:sz w:val="16"/>
        </w:rPr>
        <w:t>,” Mr. Namboothiry said. “</w:t>
      </w:r>
      <w:r w:rsidRPr="00DD2D90">
        <w:rPr>
          <w:rStyle w:val="StyleUnderline"/>
          <w:highlight w:val="green"/>
        </w:rPr>
        <w:t xml:space="preserve">This has become America’s </w:t>
      </w:r>
      <w:r w:rsidRPr="00DD2D90">
        <w:rPr>
          <w:rStyle w:val="Emphasis"/>
          <w:highlight w:val="green"/>
        </w:rPr>
        <w:t>most reliable</w:t>
      </w:r>
      <w:r w:rsidRPr="00DD2D90">
        <w:rPr>
          <w:rStyle w:val="StyleUnderline"/>
          <w:highlight w:val="green"/>
        </w:rPr>
        <w:t xml:space="preserve"> job engine</w:t>
      </w:r>
      <w:r w:rsidRPr="009C4A5A">
        <w:rPr>
          <w:sz w:val="16"/>
        </w:rPr>
        <w:t xml:space="preserve">. </w:t>
      </w:r>
      <w:r w:rsidRPr="00DD2D90">
        <w:rPr>
          <w:rStyle w:val="StyleUnderline"/>
          <w:highlight w:val="green"/>
        </w:rPr>
        <w:t>Health care is keeping the lights on</w:t>
      </w:r>
      <w:r w:rsidRPr="009C4A5A">
        <w:rPr>
          <w:sz w:val="16"/>
        </w:rPr>
        <w:t xml:space="preserve">.” Some of the growth is catch-up hiring for a sector that took longer than most to recover from the pandemic after frontline workers burned out and left the field. But the quicker pace could be sustained as the youngest baby boomers retire and need more care, from hospitals to home health aides. “Health care stands out right now because it is doing its natural thing,” said Kosali Simon, a health economist at Indiana University-Bloomington. “What’s not happening is that other sectors are not doing the same. </w:t>
      </w:r>
      <w:r w:rsidRPr="00DD2D90">
        <w:rPr>
          <w:rStyle w:val="StyleUnderline"/>
        </w:rPr>
        <w:t>Health care is not as discretionary — it has to grow</w:t>
      </w:r>
      <w:r w:rsidRPr="009C4A5A">
        <w:rPr>
          <w:sz w:val="16"/>
        </w:rPr>
        <w:t xml:space="preserve">.” An Ever-Stronger Anchor The growth of the health care industry is not new. Driven by changes in consumer spending and expanding access to insurance as well as the aging population, the </w:t>
      </w:r>
      <w:r w:rsidRPr="00DD2D90">
        <w:rPr>
          <w:rStyle w:val="StyleUnderline"/>
        </w:rPr>
        <w:t>health</w:t>
      </w:r>
      <w:r w:rsidRPr="009C4A5A">
        <w:rPr>
          <w:sz w:val="16"/>
        </w:rPr>
        <w:t xml:space="preserve"> and social </w:t>
      </w:r>
      <w:r w:rsidRPr="00DD2D90">
        <w:rPr>
          <w:rStyle w:val="StyleUnderline"/>
        </w:rPr>
        <w:t xml:space="preserve">assistance sector went from 8.3 percent of total employment in 1990 to nearly </w:t>
      </w:r>
      <w:r w:rsidRPr="00DD2D90">
        <w:rPr>
          <w:rStyle w:val="Emphasis"/>
        </w:rPr>
        <w:t>15 percent</w:t>
      </w:r>
      <w:r w:rsidRPr="00DD2D90">
        <w:rPr>
          <w:rStyle w:val="StyleUnderline"/>
        </w:rPr>
        <w:t xml:space="preserve"> today,</w:t>
      </w:r>
      <w:r w:rsidRPr="009C4A5A">
        <w:rPr>
          <w:sz w:val="16"/>
        </w:rPr>
        <w:t xml:space="preserve"> compared with about 8 percent for manufacturing. </w:t>
      </w:r>
      <w:r w:rsidRPr="00DD2D90">
        <w:rPr>
          <w:rStyle w:val="StyleUnderline"/>
          <w:highlight w:val="green"/>
        </w:rPr>
        <w:t>Health care’s dominance</w:t>
      </w:r>
      <w:r w:rsidRPr="00DD2D90">
        <w:rPr>
          <w:rStyle w:val="StyleUnderline"/>
        </w:rPr>
        <w:t xml:space="preserve"> only </w:t>
      </w:r>
      <w:r w:rsidRPr="00DD2D90">
        <w:rPr>
          <w:rStyle w:val="StyleUnderline"/>
          <w:highlight w:val="green"/>
        </w:rPr>
        <w:t xml:space="preserve">grows during recessions </w:t>
      </w:r>
      <w:r w:rsidRPr="00DD2D90">
        <w:rPr>
          <w:rStyle w:val="StyleUnderline"/>
        </w:rPr>
        <w:t>because people</w:t>
      </w:r>
      <w:r w:rsidRPr="009C4A5A">
        <w:rPr>
          <w:sz w:val="16"/>
        </w:rPr>
        <w:t xml:space="preserve"> </w:t>
      </w:r>
      <w:r w:rsidRPr="00DD2D90">
        <w:rPr>
          <w:rStyle w:val="StyleUnderline"/>
        </w:rPr>
        <w:t>still</w:t>
      </w:r>
      <w:r w:rsidRPr="009C4A5A">
        <w:rPr>
          <w:sz w:val="16"/>
        </w:rPr>
        <w:t xml:space="preserve"> have to </w:t>
      </w:r>
      <w:r w:rsidRPr="00DD2D90">
        <w:rPr>
          <w:rStyle w:val="StyleUnderline"/>
        </w:rPr>
        <w:t>go to the doctor</w:t>
      </w:r>
      <w:r w:rsidRPr="009C4A5A">
        <w:rPr>
          <w:sz w:val="16"/>
        </w:rPr>
        <w:t xml:space="preserve"> even if they decide to put off buying a new car. </w:t>
      </w:r>
      <w:r w:rsidRPr="00DD2D90">
        <w:rPr>
          <w:rStyle w:val="StyleUnderline"/>
        </w:rPr>
        <w:t>The sector’s expansion has been good for</w:t>
      </w:r>
      <w:r w:rsidRPr="009C4A5A">
        <w:rPr>
          <w:sz w:val="16"/>
        </w:rPr>
        <w:t xml:space="preserve"> places that have become </w:t>
      </w:r>
      <w:r w:rsidRPr="00DD2D90">
        <w:rPr>
          <w:rStyle w:val="StyleUnderline"/>
        </w:rPr>
        <w:t>medical hubs</w:t>
      </w:r>
      <w:r w:rsidRPr="009C4A5A">
        <w:rPr>
          <w:sz w:val="16"/>
        </w:rPr>
        <w:t xml:space="preserve">, </w:t>
      </w:r>
      <w:r w:rsidRPr="00DD2D90">
        <w:rPr>
          <w:rStyle w:val="StyleUnderline"/>
        </w:rPr>
        <w:t>especially</w:t>
      </w:r>
      <w:r w:rsidRPr="009C4A5A">
        <w:rPr>
          <w:sz w:val="16"/>
        </w:rPr>
        <w:t xml:space="preserve"> outside major metropolitan </w:t>
      </w:r>
      <w:r w:rsidRPr="00DD2D90">
        <w:rPr>
          <w:rStyle w:val="StyleUnderline"/>
        </w:rPr>
        <w:t>areas that</w:t>
      </w:r>
      <w:r w:rsidRPr="009C4A5A">
        <w:rPr>
          <w:sz w:val="16"/>
        </w:rPr>
        <w:t xml:space="preserve"> have </w:t>
      </w:r>
      <w:r w:rsidRPr="00DD2D90">
        <w:rPr>
          <w:rStyle w:val="StyleUnderline"/>
        </w:rPr>
        <w:t>lost</w:t>
      </w:r>
      <w:r w:rsidRPr="009C4A5A">
        <w:rPr>
          <w:sz w:val="16"/>
        </w:rPr>
        <w:t xml:space="preserve"> large </w:t>
      </w:r>
      <w:r w:rsidRPr="00DD2D90">
        <w:rPr>
          <w:rStyle w:val="StyleUnderline"/>
        </w:rPr>
        <w:t>industrial employers</w:t>
      </w:r>
      <w:r w:rsidRPr="009C4A5A">
        <w:rPr>
          <w:sz w:val="16"/>
        </w:rPr>
        <w:t xml:space="preserve">. Take Montour County, Pa., which has the highest density of health care jobs in the country. More than half of its approximately 18,000 workers are employed in the industry, largely at the Danville headquarters of Geisinger Health, a hospital system that has been snapping up smaller clinics around the state. The company is in the middle of an $880 million construction project to add more operating rooms and private beds. Jennifer Wakeman, the economic development director for the five-county region including Danville, said </w:t>
      </w:r>
      <w:r w:rsidRPr="00DD2D90">
        <w:rPr>
          <w:rStyle w:val="StyleUnderline"/>
        </w:rPr>
        <w:t>the industry</w:t>
      </w:r>
      <w:r w:rsidRPr="009C4A5A">
        <w:rPr>
          <w:sz w:val="16"/>
        </w:rPr>
        <w:t xml:space="preserve"> had </w:t>
      </w:r>
      <w:r w:rsidRPr="00DD2D90">
        <w:rPr>
          <w:rStyle w:val="StyleUnderline"/>
        </w:rPr>
        <w:t>expanded</w:t>
      </w:r>
      <w:r w:rsidRPr="009C4A5A">
        <w:rPr>
          <w:sz w:val="16"/>
        </w:rPr>
        <w:t xml:space="preserve"> fairly </w:t>
      </w:r>
      <w:r w:rsidRPr="00DD2D90">
        <w:rPr>
          <w:rStyle w:val="StyleUnderline"/>
        </w:rPr>
        <w:t>consistently in a place without many other large economic</w:t>
      </w:r>
      <w:r w:rsidRPr="009C4A5A">
        <w:rPr>
          <w:sz w:val="16"/>
        </w:rPr>
        <w:t xml:space="preserve"> </w:t>
      </w:r>
      <w:r w:rsidRPr="00DD2D90">
        <w:rPr>
          <w:rStyle w:val="StyleUnderline"/>
        </w:rPr>
        <w:t>drivers</w:t>
      </w:r>
      <w:r w:rsidRPr="009C4A5A">
        <w:rPr>
          <w:sz w:val="16"/>
        </w:rPr>
        <w:t xml:space="preserve">. “If you think about economic development statistics 101, </w:t>
      </w:r>
      <w:r w:rsidRPr="00DD2D90">
        <w:rPr>
          <w:rStyle w:val="StyleUnderline"/>
        </w:rPr>
        <w:t xml:space="preserve">it’s </w:t>
      </w:r>
      <w:r w:rsidRPr="00DD2D90">
        <w:rPr>
          <w:rStyle w:val="Emphasis"/>
        </w:rPr>
        <w:t>job creation</w:t>
      </w:r>
      <w:r w:rsidRPr="00DD2D90">
        <w:rPr>
          <w:rStyle w:val="StyleUnderline"/>
        </w:rPr>
        <w:t xml:space="preserve"> and </w:t>
      </w:r>
      <w:r w:rsidRPr="00DD2D90">
        <w:rPr>
          <w:rStyle w:val="Emphasis"/>
        </w:rPr>
        <w:t>capital investment</w:t>
      </w:r>
      <w:r w:rsidRPr="009C4A5A">
        <w:rPr>
          <w:sz w:val="16"/>
        </w:rPr>
        <w:t>. They do both of those things,” Ms. Wakeman said. “</w:t>
      </w:r>
      <w:r w:rsidRPr="00DD2D90">
        <w:rPr>
          <w:rStyle w:val="StyleUnderline"/>
        </w:rPr>
        <w:t xml:space="preserve">It’s a </w:t>
      </w:r>
      <w:r w:rsidRPr="00DD2D90">
        <w:rPr>
          <w:rStyle w:val="Emphasis"/>
        </w:rPr>
        <w:t>huge benefit</w:t>
      </w:r>
      <w:r w:rsidRPr="00DD2D90">
        <w:rPr>
          <w:rStyle w:val="StyleUnderline"/>
        </w:rPr>
        <w:t xml:space="preserve"> to the community</w:t>
      </w:r>
      <w:r w:rsidRPr="009C4A5A">
        <w:rPr>
          <w:sz w:val="16"/>
        </w:rPr>
        <w:t xml:space="preserve"> to have that kind of player literally in our backyard.” Or look at Morgantown, W.Va., where </w:t>
      </w:r>
      <w:r w:rsidRPr="00DD2D90">
        <w:rPr>
          <w:rStyle w:val="StyleUnderline"/>
        </w:rPr>
        <w:t>losses of steel manufacturing and coal mining</w:t>
      </w:r>
      <w:r w:rsidRPr="009C4A5A">
        <w:rPr>
          <w:sz w:val="16"/>
        </w:rPr>
        <w:t xml:space="preserve"> jobs </w:t>
      </w:r>
      <w:r w:rsidRPr="00DD2D90">
        <w:rPr>
          <w:rStyle w:val="StyleUnderline"/>
        </w:rPr>
        <w:t>have been</w:t>
      </w:r>
      <w:r w:rsidRPr="009C4A5A">
        <w:rPr>
          <w:sz w:val="16"/>
        </w:rPr>
        <w:t xml:space="preserve"> more than </w:t>
      </w:r>
      <w:r w:rsidRPr="00DD2D90">
        <w:rPr>
          <w:rStyle w:val="StyleUnderline"/>
        </w:rPr>
        <w:t>offset by</w:t>
      </w:r>
      <w:r w:rsidRPr="009C4A5A">
        <w:rPr>
          <w:sz w:val="16"/>
        </w:rPr>
        <w:t xml:space="preserve"> the growth of </w:t>
      </w:r>
      <w:r w:rsidRPr="00DD2D90">
        <w:rPr>
          <w:rStyle w:val="StyleUnderline"/>
        </w:rPr>
        <w:t>WVU Medicine</w:t>
      </w:r>
      <w:r w:rsidRPr="009C4A5A">
        <w:rPr>
          <w:sz w:val="16"/>
        </w:rPr>
        <w:t xml:space="preserve">, which started its own insurance plan in 2021 and employs more than 26,000 people. Telehealth services that exploded during the pandemic mean that clinicians can serve more people across the rural, sicker-than-average state, which expanded its Medicaid program in 2014. The institution is strong enough that when Mylan Pharmaceuticals, a generic drug manufacturer, shut down a factory with 1,500 workers in 2021, WVU Medicine took it over and </w:t>
      </w:r>
      <w:r w:rsidRPr="00DD2D90">
        <w:rPr>
          <w:rStyle w:val="StyleUnderline"/>
        </w:rPr>
        <w:t xml:space="preserve">turned it into a health sciences business </w:t>
      </w:r>
      <w:r w:rsidRPr="00DD2D90">
        <w:rPr>
          <w:rStyle w:val="Emphasis"/>
        </w:rPr>
        <w:t>incubator</w:t>
      </w:r>
      <w:r w:rsidRPr="009C4A5A">
        <w:rPr>
          <w:sz w:val="16"/>
        </w:rPr>
        <w:t>. “</w:t>
      </w:r>
      <w:r w:rsidRPr="00DD2D90">
        <w:rPr>
          <w:rStyle w:val="StyleUnderline"/>
        </w:rPr>
        <w:t xml:space="preserve">To most communities, </w:t>
      </w:r>
      <w:r w:rsidRPr="00DD2D90">
        <w:rPr>
          <w:rStyle w:val="StyleUnderline"/>
          <w:highlight w:val="green"/>
        </w:rPr>
        <w:t>losing a big</w:t>
      </w:r>
      <w:r w:rsidRPr="00DD2D90">
        <w:rPr>
          <w:rStyle w:val="StyleUnderline"/>
        </w:rPr>
        <w:t xml:space="preserve"> </w:t>
      </w:r>
      <w:r w:rsidRPr="00DD2D90">
        <w:rPr>
          <w:rStyle w:val="StyleUnderline"/>
          <w:highlight w:val="green"/>
        </w:rPr>
        <w:t>employer</w:t>
      </w:r>
      <w:r w:rsidRPr="00DD2D90">
        <w:rPr>
          <w:rStyle w:val="StyleUnderline"/>
        </w:rPr>
        <w:t xml:space="preserve"> like that </w:t>
      </w:r>
      <w:r w:rsidRPr="00DD2D90">
        <w:rPr>
          <w:rStyle w:val="StyleUnderline"/>
          <w:highlight w:val="green"/>
        </w:rPr>
        <w:t xml:space="preserve">would have had a </w:t>
      </w:r>
      <w:r w:rsidRPr="00DD2D90">
        <w:rPr>
          <w:rStyle w:val="Emphasis"/>
          <w:highlight w:val="green"/>
        </w:rPr>
        <w:t>devastating impact</w:t>
      </w:r>
      <w:r w:rsidRPr="009C4A5A">
        <w:rPr>
          <w:sz w:val="16"/>
        </w:rPr>
        <w:t>,” said Russ Rogerson, president of the Morgantown Area Partnership. “</w:t>
      </w:r>
      <w:r w:rsidRPr="00DD2D90">
        <w:rPr>
          <w:rStyle w:val="StyleUnderline"/>
          <w:highlight w:val="green"/>
        </w:rPr>
        <w:t>But</w:t>
      </w:r>
      <w:r w:rsidRPr="009C4A5A">
        <w:rPr>
          <w:sz w:val="16"/>
        </w:rPr>
        <w:t xml:space="preserve"> </w:t>
      </w:r>
      <w:r w:rsidRPr="00DD2D90">
        <w:rPr>
          <w:rStyle w:val="StyleUnderline"/>
          <w:highlight w:val="green"/>
        </w:rPr>
        <w:t>it</w:t>
      </w:r>
      <w:r w:rsidRPr="009C4A5A">
        <w:rPr>
          <w:sz w:val="16"/>
        </w:rPr>
        <w:t xml:space="preserve"> really </w:t>
      </w:r>
      <w:r w:rsidRPr="00DD2D90">
        <w:rPr>
          <w:rStyle w:val="StyleUnderline"/>
          <w:highlight w:val="green"/>
        </w:rPr>
        <w:t>didn’t have a</w:t>
      </w:r>
      <w:r w:rsidRPr="00DD2D90">
        <w:rPr>
          <w:rStyle w:val="StyleUnderline"/>
        </w:rPr>
        <w:t xml:space="preserve"> major negative </w:t>
      </w:r>
      <w:r w:rsidRPr="00DD2D90">
        <w:rPr>
          <w:rStyle w:val="StyleUnderline"/>
          <w:highlight w:val="green"/>
        </w:rPr>
        <w:t>impact</w:t>
      </w:r>
      <w:r w:rsidRPr="00DD2D90">
        <w:rPr>
          <w:rStyle w:val="StyleUnderline"/>
        </w:rPr>
        <w:t xml:space="preserve"> in Morgantown</w:t>
      </w:r>
      <w:r w:rsidRPr="009C4A5A">
        <w:rPr>
          <w:sz w:val="16"/>
        </w:rPr>
        <w:t xml:space="preserve"> and Monongalia County </w:t>
      </w:r>
      <w:r w:rsidRPr="00DD2D90">
        <w:rPr>
          <w:rStyle w:val="StyleUnderline"/>
          <w:highlight w:val="green"/>
        </w:rPr>
        <w:t>because</w:t>
      </w:r>
      <w:r w:rsidRPr="00DD2D90">
        <w:rPr>
          <w:rStyle w:val="StyleUnderline"/>
        </w:rPr>
        <w:t xml:space="preserve"> the growth of our </w:t>
      </w:r>
      <w:r w:rsidRPr="00DD2D90">
        <w:rPr>
          <w:rStyle w:val="StyleUnderline"/>
          <w:highlight w:val="green"/>
        </w:rPr>
        <w:t xml:space="preserve">health care </w:t>
      </w:r>
      <w:r w:rsidRPr="00DD2D90">
        <w:rPr>
          <w:rStyle w:val="StyleUnderline"/>
        </w:rPr>
        <w:t xml:space="preserve">industry </w:t>
      </w:r>
      <w:r w:rsidRPr="00DD2D90">
        <w:rPr>
          <w:rStyle w:val="StyleUnderline"/>
          <w:highlight w:val="green"/>
        </w:rPr>
        <w:t>absorbed it</w:t>
      </w:r>
      <w:r w:rsidRPr="009C4A5A">
        <w:rPr>
          <w:sz w:val="16"/>
        </w:rPr>
        <w:t xml:space="preserve">.” It’s not just small towns that benefit. </w:t>
      </w:r>
      <w:r w:rsidRPr="00DD2D90">
        <w:rPr>
          <w:rStyle w:val="StyleUnderline"/>
        </w:rPr>
        <w:t>Las Vegas,</w:t>
      </w:r>
      <w:r w:rsidRPr="009C4A5A">
        <w:rPr>
          <w:sz w:val="16"/>
        </w:rPr>
        <w:t xml:space="preserve"> recognizing the cyclical nature of its hospitality industry, committed during the 2009 recession to invest in health care, including a new medical school. </w:t>
      </w:r>
      <w:r w:rsidRPr="00DD2D90">
        <w:rPr>
          <w:rStyle w:val="StyleUnderline"/>
        </w:rPr>
        <w:t>Since 2015, employment</w:t>
      </w:r>
      <w:r w:rsidRPr="009C4A5A">
        <w:rPr>
          <w:sz w:val="16"/>
        </w:rPr>
        <w:t xml:space="preserve"> in the sector </w:t>
      </w:r>
      <w:r w:rsidRPr="00DD2D90">
        <w:rPr>
          <w:rStyle w:val="StyleUnderline"/>
        </w:rPr>
        <w:t xml:space="preserve">has grown 56 percent </w:t>
      </w:r>
      <w:r w:rsidRPr="009C4A5A">
        <w:rPr>
          <w:sz w:val="16"/>
        </w:rPr>
        <w:t xml:space="preserve">across the metropolitan area, </w:t>
      </w:r>
      <w:r w:rsidRPr="00DD2D90">
        <w:rPr>
          <w:rStyle w:val="StyleUnderline"/>
        </w:rPr>
        <w:t>compared with 23 percent overall</w:t>
      </w:r>
      <w:r w:rsidRPr="009C4A5A">
        <w:rPr>
          <w:sz w:val="16"/>
        </w:rPr>
        <w:t xml:space="preserve">. A children’s hospital is slated to break ground this year. Shani Coleman, director of community and economic development for Clark County, which includes Las Vegas, sees the city’s casinos and hospitals as complementary. Patients can come from out of town to have a good time before getting their medical procedure. And although </w:t>
      </w:r>
      <w:r w:rsidRPr="00DD2D90">
        <w:rPr>
          <w:rStyle w:val="StyleUnderline"/>
        </w:rPr>
        <w:t xml:space="preserve">entertainment </w:t>
      </w:r>
      <w:r w:rsidRPr="009C4A5A">
        <w:rPr>
          <w:sz w:val="16"/>
        </w:rPr>
        <w:t xml:space="preserve">industry employment just barely recovered after the pandemic, its </w:t>
      </w:r>
      <w:r w:rsidRPr="00DD2D90">
        <w:rPr>
          <w:rStyle w:val="StyleUnderline"/>
          <w:highlight w:val="green"/>
        </w:rPr>
        <w:t>workers transition naturally to</w:t>
      </w:r>
      <w:r w:rsidRPr="00DD2D90">
        <w:rPr>
          <w:rStyle w:val="StyleUnderline"/>
        </w:rPr>
        <w:t xml:space="preserve"> roles at </w:t>
      </w:r>
      <w:r w:rsidRPr="00DD2D90">
        <w:rPr>
          <w:rStyle w:val="StyleUnderline"/>
          <w:highlight w:val="green"/>
        </w:rPr>
        <w:t>the</w:t>
      </w:r>
      <w:r w:rsidRPr="00DD2D90">
        <w:rPr>
          <w:rStyle w:val="StyleUnderline"/>
        </w:rPr>
        <w:t xml:space="preserve"> </w:t>
      </w:r>
      <w:r w:rsidRPr="00DD2D90">
        <w:rPr>
          <w:rStyle w:val="StyleUnderline"/>
          <w:highlight w:val="green"/>
        </w:rPr>
        <w:t>bedside</w:t>
      </w:r>
      <w:r w:rsidRPr="009C4A5A">
        <w:rPr>
          <w:sz w:val="16"/>
        </w:rPr>
        <w:t xml:space="preserve">. “As a community, our </w:t>
      </w:r>
      <w:r w:rsidRPr="00DD2D90">
        <w:rPr>
          <w:rStyle w:val="StyleUnderline"/>
        </w:rPr>
        <w:t>hospitality</w:t>
      </w:r>
      <w:r w:rsidRPr="009C4A5A">
        <w:rPr>
          <w:sz w:val="16"/>
        </w:rPr>
        <w:t xml:space="preserve"> industry does customer service really well,” Ms. Coleman said. “When you take that and are able to </w:t>
      </w:r>
      <w:r w:rsidRPr="00DD2D90">
        <w:rPr>
          <w:rStyle w:val="StyleUnderline"/>
        </w:rPr>
        <w:t>marry it with health care</w:t>
      </w:r>
      <w:r w:rsidRPr="009C4A5A">
        <w:rPr>
          <w:sz w:val="16"/>
        </w:rPr>
        <w:t xml:space="preserve">, it </w:t>
      </w:r>
      <w:r w:rsidRPr="00DD2D90">
        <w:rPr>
          <w:rStyle w:val="StyleUnderline"/>
        </w:rPr>
        <w:t>creates an opportunity</w:t>
      </w:r>
      <w:r w:rsidRPr="009C4A5A">
        <w:rPr>
          <w:sz w:val="16"/>
        </w:rPr>
        <w:t xml:space="preserve"> where you have a high level of care.” Help Always Wanted It’s not clear that the supply of workers will keep pace with the ever-growing need for care. Although artificial intelligence may cut down administrative positions in billing and marketing, </w:t>
      </w:r>
      <w:r w:rsidRPr="00DD2D90">
        <w:rPr>
          <w:rStyle w:val="StyleUnderline"/>
        </w:rPr>
        <w:t>bedside jobs are not being replaced anytime soon</w:t>
      </w:r>
      <w:r w:rsidRPr="009C4A5A">
        <w:rPr>
          <w:sz w:val="16"/>
        </w:rPr>
        <w:t>. Richard Merchant is the chief executive of the Health Workforce Collaborative of New York, which coordinates employers and training programs to match people with skills in demand, especially as the existing medical corps nears retirement. “It is true that th</w:t>
      </w:r>
      <w:r w:rsidRPr="00DD2D90">
        <w:rPr>
          <w:rStyle w:val="StyleUnderline"/>
        </w:rPr>
        <w:t>e health care industry is going strong</w:t>
      </w:r>
      <w:r w:rsidRPr="009C4A5A">
        <w:rPr>
          <w:sz w:val="16"/>
        </w:rPr>
        <w:t xml:space="preserve">,” Mr. Merchant said. “It would have to be going a lot stronger and the distribution would have to be much better than it is to actually keep up with the vacancies that are increasing.” Filling those vacancies has gotten harder over the past year, Mr. Merchant said, since 35 percent of medical workers in New York State are immigrants. The Trump administration has squeezed avenues for workers to come in from overseas, including doctors on H-1B visas, who are particularly important for rural clinics, as well as the millions of people with temporary protected status, such as Haitians, who have staffed nursing homes and rehabilitation facilities. </w:t>
      </w:r>
    </w:p>
    <w:p w14:paraId="0A57AF91" w14:textId="77777777" w:rsidR="00B0589A" w:rsidRPr="009C4A5A" w:rsidRDefault="00B0589A">
      <w:pPr>
        <w:rPr>
          <w:rFonts w:eastAsiaTheme="majorEastAsia" w:cstheme="majorBidi"/>
          <w:b/>
          <w:iCs/>
          <w:sz w:val="16"/>
        </w:rPr>
      </w:pPr>
      <w:r w:rsidRPr="009C4A5A">
        <w:rPr>
          <w:sz w:val="16"/>
        </w:rPr>
        <w:br w:type="page"/>
      </w:r>
    </w:p>
    <w:p w14:paraId="3290BB59" w14:textId="5788AEF3" w:rsidR="00065821" w:rsidRPr="009C4A5A" w:rsidRDefault="00DE1847" w:rsidP="00065821">
      <w:pPr>
        <w:pStyle w:val="Heading4"/>
        <w:rPr>
          <w:szCs w:val="26"/>
        </w:rPr>
      </w:pPr>
      <w:r w:rsidRPr="009C4A5A">
        <w:rPr>
          <w:szCs w:val="26"/>
        </w:rPr>
        <w:t xml:space="preserve">Healthcare avoids all other </w:t>
      </w:r>
      <w:r w:rsidR="00065821" w:rsidRPr="009C4A5A">
        <w:rPr>
          <w:szCs w:val="26"/>
        </w:rPr>
        <w:t xml:space="preserve">thumpers </w:t>
      </w:r>
      <w:r w:rsidRPr="009C4A5A">
        <w:rPr>
          <w:szCs w:val="26"/>
        </w:rPr>
        <w:t xml:space="preserve">except for </w:t>
      </w:r>
      <w:proofErr w:type="gramStart"/>
      <w:r w:rsidRPr="009C4A5A">
        <w:rPr>
          <w:szCs w:val="26"/>
        </w:rPr>
        <w:t>changes</w:t>
      </w:r>
      <w:proofErr w:type="gramEnd"/>
      <w:r w:rsidRPr="009C4A5A">
        <w:rPr>
          <w:szCs w:val="26"/>
        </w:rPr>
        <w:t xml:space="preserve"> structural payment changes</w:t>
      </w:r>
      <w:r w:rsidR="00065821" w:rsidRPr="009C4A5A">
        <w:rPr>
          <w:szCs w:val="26"/>
        </w:rPr>
        <w:t xml:space="preserve"> </w:t>
      </w:r>
    </w:p>
    <w:p w14:paraId="75700325" w14:textId="77777777" w:rsidR="00065821" w:rsidRPr="00DD2D90" w:rsidRDefault="00065821" w:rsidP="00065821">
      <w:r w:rsidRPr="009C4A5A">
        <w:rPr>
          <w:b/>
          <w:bCs/>
          <w:sz w:val="26"/>
          <w:szCs w:val="26"/>
        </w:rPr>
        <w:t>Torry and Putzier 2-11</w:t>
      </w:r>
      <w:r w:rsidRPr="00DD2D90">
        <w:t xml:space="preserve"> [Harriet Torry, economics reporter at WSJ, and Konrad Putzier, economics reporter at WSJ and graduate from Yale, 2-11-2026, "Healthcare Jobs Have Become the Engine of America’s Labor Market", Wall Street Journal, https://www.wsj.com/economy/jobs/healthcare-jobs-have-become-the-engine-of-americas-labor-market-114ffd34]/Kankee</w:t>
      </w:r>
    </w:p>
    <w:p w14:paraId="65359D06" w14:textId="77777777" w:rsidR="00065821" w:rsidRPr="009C4A5A" w:rsidRDefault="00065821" w:rsidP="00065821">
      <w:pPr>
        <w:rPr>
          <w:sz w:val="16"/>
        </w:rPr>
      </w:pPr>
      <w:r w:rsidRPr="009C4A5A">
        <w:rPr>
          <w:sz w:val="16"/>
        </w:rPr>
        <w:t xml:space="preserve">Over the past year, </w:t>
      </w:r>
      <w:r w:rsidRPr="00DD2D90">
        <w:rPr>
          <w:rStyle w:val="StyleUnderline"/>
        </w:rPr>
        <w:t xml:space="preserve">demand for </w:t>
      </w:r>
      <w:r w:rsidRPr="00DD2D90">
        <w:rPr>
          <w:rStyle w:val="StyleUnderline"/>
          <w:highlight w:val="green"/>
        </w:rPr>
        <w:t>healthcare workers</w:t>
      </w:r>
      <w:r w:rsidRPr="00DD2D90">
        <w:rPr>
          <w:rStyle w:val="StyleUnderline"/>
        </w:rPr>
        <w:t xml:space="preserve"> has quietly </w:t>
      </w:r>
      <w:r w:rsidRPr="00DD2D90">
        <w:rPr>
          <w:rStyle w:val="StyleUnderline"/>
          <w:highlight w:val="green"/>
        </w:rPr>
        <w:t>propped up the labor market as other sectors</w:t>
      </w:r>
      <w:r w:rsidRPr="00DD2D90">
        <w:rPr>
          <w:rStyle w:val="StyleUnderline"/>
        </w:rPr>
        <w:t xml:space="preserve"> reined in hiring or even </w:t>
      </w:r>
      <w:r w:rsidRPr="00DD2D90">
        <w:rPr>
          <w:rStyle w:val="StyleUnderline"/>
          <w:highlight w:val="green"/>
        </w:rPr>
        <w:t>shed jobs</w:t>
      </w:r>
      <w:r w:rsidRPr="009C4A5A">
        <w:rPr>
          <w:sz w:val="16"/>
        </w:rPr>
        <w:t xml:space="preserve">. On Wednesday, the full power of healthcare’s role burst into full view, and marked a clear shift in a labor market now geared toward the hard, often physical, work of caring for America’s aging population. Nearly </w:t>
      </w:r>
      <w:r w:rsidRPr="00DD2D90">
        <w:rPr>
          <w:rStyle w:val="StyleUnderline"/>
        </w:rPr>
        <w:t xml:space="preserve">all </w:t>
      </w:r>
      <w:r w:rsidRPr="00DD2D90">
        <w:rPr>
          <w:rStyle w:val="StyleUnderline"/>
          <w:highlight w:val="green"/>
        </w:rPr>
        <w:t>of</w:t>
      </w:r>
      <w:r w:rsidRPr="00DD2D90">
        <w:rPr>
          <w:rStyle w:val="StyleUnderline"/>
        </w:rPr>
        <w:t xml:space="preserve"> the 130,000 </w:t>
      </w:r>
      <w:r w:rsidRPr="00DD2D90">
        <w:rPr>
          <w:rStyle w:val="StyleUnderline"/>
          <w:highlight w:val="green"/>
        </w:rPr>
        <w:t>new jobs</w:t>
      </w:r>
      <w:r w:rsidRPr="00DD2D90">
        <w:rPr>
          <w:rStyle w:val="StyleUnderline"/>
        </w:rPr>
        <w:t xml:space="preserve"> added in January </w:t>
      </w:r>
      <w:r w:rsidRPr="00DD2D90">
        <w:rPr>
          <w:rStyle w:val="StyleUnderline"/>
          <w:highlight w:val="green"/>
        </w:rPr>
        <w:t>were</w:t>
      </w:r>
      <w:r w:rsidRPr="00DD2D90">
        <w:rPr>
          <w:rStyle w:val="StyleUnderline"/>
        </w:rPr>
        <w:t xml:space="preserve"> </w:t>
      </w:r>
      <w:r w:rsidRPr="00DD2D90">
        <w:rPr>
          <w:rStyle w:val="StyleUnderline"/>
          <w:highlight w:val="green"/>
        </w:rPr>
        <w:t>healthcare</w:t>
      </w:r>
      <w:r w:rsidRPr="00DD2D90">
        <w:rPr>
          <w:rStyle w:val="StyleUnderline"/>
        </w:rPr>
        <w:t xml:space="preserve"> jobs</w:t>
      </w:r>
      <w:r w:rsidRPr="009C4A5A">
        <w:rPr>
          <w:sz w:val="16"/>
        </w:rPr>
        <w:t xml:space="preserve"> or positions related to healthcare. The construction and manufacturing sectors also took on new workers, while </w:t>
      </w:r>
      <w:r w:rsidRPr="00DD2D90">
        <w:rPr>
          <w:rStyle w:val="StyleUnderline"/>
        </w:rPr>
        <w:t>employers cut jobs in government, finance, information and transportation and warehousing</w:t>
      </w:r>
      <w:r w:rsidRPr="009C4A5A">
        <w:rPr>
          <w:sz w:val="16"/>
        </w:rPr>
        <w:t xml:space="preserve">. </w:t>
      </w:r>
      <w:r w:rsidRPr="00DD2D90">
        <w:rPr>
          <w:rStyle w:val="StyleUnderline"/>
          <w:highlight w:val="green"/>
        </w:rPr>
        <w:t>Healthcare is “way outperforming</w:t>
      </w:r>
      <w:r w:rsidRPr="009C4A5A">
        <w:rPr>
          <w:sz w:val="16"/>
        </w:rPr>
        <w:t xml:space="preserve"> most of </w:t>
      </w:r>
      <w:r w:rsidRPr="00DD2D90">
        <w:rPr>
          <w:rStyle w:val="StyleUnderline"/>
          <w:highlight w:val="green"/>
        </w:rPr>
        <w:t>the rest of the economy</w:t>
      </w:r>
      <w:r w:rsidRPr="009C4A5A">
        <w:rPr>
          <w:sz w:val="16"/>
        </w:rPr>
        <w:t xml:space="preserve">,” said Laura Ullrich, director of economic research at jobs website Indeed. Adding jobs is good news for economic growth, but economists say </w:t>
      </w:r>
      <w:r w:rsidRPr="00DD2D90">
        <w:rPr>
          <w:rStyle w:val="StyleUnderline"/>
          <w:highlight w:val="green"/>
        </w:rPr>
        <w:t>there is risk in</w:t>
      </w:r>
      <w:r w:rsidRPr="00DD2D90">
        <w:rPr>
          <w:rStyle w:val="StyleUnderline"/>
        </w:rPr>
        <w:t xml:space="preserve"> such </w:t>
      </w:r>
      <w:r w:rsidRPr="00DD2D90">
        <w:rPr>
          <w:rStyle w:val="Emphasis"/>
        </w:rPr>
        <w:t xml:space="preserve">heavy </w:t>
      </w:r>
      <w:r w:rsidRPr="00DD2D90">
        <w:rPr>
          <w:rStyle w:val="Emphasis"/>
          <w:highlight w:val="green"/>
        </w:rPr>
        <w:t>reliance</w:t>
      </w:r>
      <w:r w:rsidRPr="00DD2D90">
        <w:rPr>
          <w:rStyle w:val="StyleUnderline"/>
          <w:highlight w:val="green"/>
        </w:rPr>
        <w:t xml:space="preserve"> on one industry if that sector sees a slowdown</w:t>
      </w:r>
      <w:r w:rsidRPr="009C4A5A">
        <w:rPr>
          <w:sz w:val="16"/>
        </w:rPr>
        <w:t xml:space="preserve">. Plus, not everyone has the skills or desire to work in the field, Ullrich said. Jed Kolko, a senior fellow at the Peterson Institute for International Economics, said the fact that healthcare jobs are spread around the country and relatively stable no matter how the economy is performing is favorable in this case. “It would be a bigger risk if a very geographically concentrated sector were driving growth in the economy,” or a more volatile sector like manufacturing, he said. Parts of the healthcare industry have become increasingly reliant on an immigrant workforce: The U.S. has long offered special visas for highly skilled foreign doctors willing to move to rural America, where the need for medical care is great. A surge of young immigrants and immigrants who arrived as part of resettlement programs filled nursing jobs and home health-aide jobs as demand for those positions continued to rise. </w:t>
      </w:r>
      <w:r w:rsidRPr="00DD2D90">
        <w:rPr>
          <w:rStyle w:val="StyleUnderline"/>
        </w:rPr>
        <w:t>Foreign-born workers are</w:t>
      </w:r>
      <w:r w:rsidRPr="009C4A5A">
        <w:rPr>
          <w:sz w:val="16"/>
        </w:rPr>
        <w:t xml:space="preserve"> particularly concentrated at the upper and lower ends of the skill ladder in healthcare. By 2024, they accounted for less than 15% of the U.S. population but </w:t>
      </w:r>
      <w:r w:rsidRPr="00DD2D90">
        <w:rPr>
          <w:rStyle w:val="StyleUnderline"/>
        </w:rPr>
        <w:t>39% of home health aides, 28% of physicians and 24% of dentists</w:t>
      </w:r>
      <w:r w:rsidRPr="009C4A5A">
        <w:rPr>
          <w:sz w:val="16"/>
        </w:rPr>
        <w:t xml:space="preserve">, according to census data aggregated by IPUMS, a population database. The rise of healthcare and construction jobs—because of the nation’s massive data center build-out—presents a puzzle in the job market: Since President </w:t>
      </w:r>
      <w:r w:rsidRPr="00DD2D90">
        <w:rPr>
          <w:rStyle w:val="StyleUnderline"/>
        </w:rPr>
        <w:t>Trump</w:t>
      </w:r>
      <w:r w:rsidRPr="009C4A5A">
        <w:rPr>
          <w:sz w:val="16"/>
        </w:rPr>
        <w:t xml:space="preserve"> has severely </w:t>
      </w:r>
      <w:r w:rsidRPr="00DD2D90">
        <w:rPr>
          <w:rStyle w:val="StyleUnderline"/>
        </w:rPr>
        <w:t xml:space="preserve">restricted </w:t>
      </w:r>
      <w:r w:rsidRPr="00DD2D90">
        <w:rPr>
          <w:rStyle w:val="StyleUnderline"/>
          <w:highlight w:val="green"/>
        </w:rPr>
        <w:t>immigration</w:t>
      </w:r>
      <w:r w:rsidRPr="009C4A5A">
        <w:rPr>
          <w:sz w:val="16"/>
        </w:rPr>
        <w:t xml:space="preserve"> and ramped up deportations, who is filling these jobs now? Around one-quarter of workers in the construction industry are foreign-born, census data show. But </w:t>
      </w:r>
      <w:r w:rsidRPr="00DD2D90">
        <w:rPr>
          <w:rStyle w:val="StyleUnderline"/>
        </w:rPr>
        <w:t xml:space="preserve">the ratio </w:t>
      </w:r>
      <w:r w:rsidRPr="00DD2D90">
        <w:rPr>
          <w:rStyle w:val="StyleUnderline"/>
          <w:highlight w:val="green"/>
        </w:rPr>
        <w:t xml:space="preserve">is </w:t>
      </w:r>
      <w:r w:rsidRPr="00DD2D90">
        <w:rPr>
          <w:rStyle w:val="Emphasis"/>
          <w:highlight w:val="green"/>
        </w:rPr>
        <w:t>much higher</w:t>
      </w:r>
      <w:r w:rsidRPr="00DD2D90">
        <w:rPr>
          <w:rStyle w:val="StyleUnderline"/>
          <w:highlight w:val="green"/>
        </w:rPr>
        <w:t xml:space="preserve"> in</w:t>
      </w:r>
      <w:r w:rsidRPr="009C4A5A">
        <w:rPr>
          <w:sz w:val="16"/>
        </w:rPr>
        <w:t xml:space="preserve"> certain </w:t>
      </w:r>
      <w:r w:rsidRPr="00DD2D90">
        <w:rPr>
          <w:rStyle w:val="StyleUnderline"/>
          <w:highlight w:val="green"/>
        </w:rPr>
        <w:t>construction</w:t>
      </w:r>
      <w:r w:rsidRPr="009C4A5A">
        <w:rPr>
          <w:sz w:val="16"/>
        </w:rPr>
        <w:t xml:space="preserve"> </w:t>
      </w:r>
      <w:r w:rsidRPr="00DD2D90">
        <w:rPr>
          <w:rStyle w:val="StyleUnderline"/>
        </w:rPr>
        <w:t xml:space="preserve">specialties, with immigrants making up around </w:t>
      </w:r>
      <w:r w:rsidRPr="00DD2D90">
        <w:rPr>
          <w:rStyle w:val="Emphasis"/>
        </w:rPr>
        <w:t>half</w:t>
      </w:r>
      <w:r w:rsidRPr="00DD2D90">
        <w:rPr>
          <w:rStyle w:val="StyleUnderline"/>
        </w:rPr>
        <w:t xml:space="preserve"> of all drywall installers and roofers, 45% of painters, and 39% of general laborers.</w:t>
      </w:r>
      <w:r w:rsidRPr="009C4A5A">
        <w:rPr>
          <w:sz w:val="16"/>
        </w:rPr>
        <w:t xml:space="preserve"> Immigration raids are starting to take an economic toll on the construction industry, making workers harder to come by and slowing building projects. “You just don’t have the access to the labor that you normally have,” said Joe Brusuelas, chief economist at RSM. The labor shortage is pushing up construction costs, making it harder to build badly needed housing. “It’s a hard supply constraint,” he said. Demand is strong for data centers and high-end hospitality and residential projects, according to John Fish, CEO of Suffolk Construction Company. Hiring, he said, has become more difficult for mechanical, electrical, and plumbing trades because of retirements and immigration policy. “</w:t>
      </w:r>
      <w:r w:rsidRPr="00DD2D90">
        <w:rPr>
          <w:rStyle w:val="StyleUnderline"/>
        </w:rPr>
        <w:t xml:space="preserve">There’s a </w:t>
      </w:r>
      <w:r w:rsidRPr="00DD2D90">
        <w:rPr>
          <w:rStyle w:val="Emphasis"/>
        </w:rPr>
        <w:t>complete misalignment</w:t>
      </w:r>
      <w:r w:rsidRPr="00DD2D90">
        <w:rPr>
          <w:rStyle w:val="StyleUnderline"/>
        </w:rPr>
        <w:t xml:space="preserve"> between demand and supply</w:t>
      </w:r>
      <w:r w:rsidRPr="009C4A5A">
        <w:rPr>
          <w:sz w:val="16"/>
        </w:rPr>
        <w:t xml:space="preserve">,” he said. </w:t>
      </w:r>
      <w:r w:rsidRPr="00DD2D90">
        <w:rPr>
          <w:rStyle w:val="StyleUnderline"/>
        </w:rPr>
        <w:t xml:space="preserve">In the healthcare sector, </w:t>
      </w:r>
      <w:r w:rsidRPr="00DD2D90">
        <w:rPr>
          <w:rStyle w:val="StyleUnderline"/>
          <w:highlight w:val="green"/>
        </w:rPr>
        <w:t>demand for nurses</w:t>
      </w:r>
      <w:r w:rsidRPr="00DD2D90">
        <w:rPr>
          <w:rStyle w:val="StyleUnderline"/>
        </w:rPr>
        <w:t xml:space="preserve"> and nurse practitioners </w:t>
      </w:r>
      <w:r w:rsidRPr="00DD2D90">
        <w:rPr>
          <w:rStyle w:val="StyleUnderline"/>
          <w:highlight w:val="green"/>
        </w:rPr>
        <w:t>is so strong</w:t>
      </w:r>
      <w:r w:rsidRPr="00DD2D90">
        <w:rPr>
          <w:rStyle w:val="StyleUnderline"/>
        </w:rPr>
        <w:t xml:space="preserve"> that healthcare </w:t>
      </w:r>
      <w:r w:rsidRPr="00DD2D90">
        <w:rPr>
          <w:rStyle w:val="StyleUnderline"/>
          <w:highlight w:val="green"/>
        </w:rPr>
        <w:t>providers</w:t>
      </w:r>
      <w:r w:rsidRPr="00DD2D90">
        <w:rPr>
          <w:rStyle w:val="StyleUnderline"/>
        </w:rPr>
        <w:t xml:space="preserve"> have to </w:t>
      </w:r>
      <w:r w:rsidRPr="00DD2D90">
        <w:rPr>
          <w:rStyle w:val="StyleUnderline"/>
          <w:highlight w:val="green"/>
        </w:rPr>
        <w:t>outbid each other</w:t>
      </w:r>
      <w:r w:rsidRPr="00DD2D90">
        <w:rPr>
          <w:rStyle w:val="StyleUnderline"/>
        </w:rPr>
        <w:t>, offering five-figure signing bonuses and generous paid time</w:t>
      </w:r>
      <w:r w:rsidRPr="009C4A5A">
        <w:rPr>
          <w:sz w:val="16"/>
        </w:rPr>
        <w:t xml:space="preserve"> </w:t>
      </w:r>
      <w:r w:rsidRPr="00DD2D90">
        <w:rPr>
          <w:rStyle w:val="StyleUnderline"/>
        </w:rPr>
        <w:t>off</w:t>
      </w:r>
      <w:r w:rsidRPr="009C4A5A">
        <w:rPr>
          <w:sz w:val="16"/>
        </w:rPr>
        <w:t xml:space="preserve">, said Sari Gillen, a Houston-based healthcare recruiter at Goodwin Recruiting. Many job candidates are juggling several offers, and she makes a habit of checking in on them every day to make sure they don’t jump to the competition. “It’s a race to the finish line,” she said. </w:t>
      </w:r>
      <w:r w:rsidRPr="00DD2D90">
        <w:rPr>
          <w:rStyle w:val="StyleUnderline"/>
          <w:highlight w:val="green"/>
        </w:rPr>
        <w:t>Healthcare</w:t>
      </w:r>
      <w:r w:rsidRPr="00DD2D90">
        <w:rPr>
          <w:rStyle w:val="StyleUnderline"/>
        </w:rPr>
        <w:t xml:space="preserve"> jobs </w:t>
      </w:r>
      <w:r w:rsidRPr="00DD2D90">
        <w:rPr>
          <w:rStyle w:val="StyleUnderline"/>
          <w:highlight w:val="green"/>
        </w:rPr>
        <w:t>can be</w:t>
      </w:r>
      <w:r w:rsidRPr="00DD2D90">
        <w:rPr>
          <w:rStyle w:val="StyleUnderline"/>
        </w:rPr>
        <w:t xml:space="preserve"> labor</w:t>
      </w:r>
      <w:r w:rsidRPr="009C4A5A">
        <w:rPr>
          <w:sz w:val="16"/>
        </w:rPr>
        <w:t>-</w:t>
      </w:r>
      <w:r w:rsidRPr="00DD2D90">
        <w:rPr>
          <w:rStyle w:val="StyleUnderline"/>
        </w:rPr>
        <w:t xml:space="preserve">intensive and </w:t>
      </w:r>
      <w:r w:rsidRPr="00DD2D90">
        <w:rPr>
          <w:rStyle w:val="StyleUnderline"/>
          <w:highlight w:val="green"/>
        </w:rPr>
        <w:t>less susceptible to automation</w:t>
      </w:r>
      <w:r w:rsidRPr="00DD2D90">
        <w:rPr>
          <w:rStyle w:val="StyleUnderline"/>
        </w:rPr>
        <w:t xml:space="preserve"> than other skilled professions</w:t>
      </w:r>
      <w:r w:rsidRPr="009C4A5A">
        <w:rPr>
          <w:sz w:val="16"/>
        </w:rPr>
        <w:t xml:space="preserve">. </w:t>
      </w:r>
      <w:r w:rsidRPr="00DD2D90">
        <w:rPr>
          <w:rStyle w:val="StyleUnderline"/>
          <w:highlight w:val="green"/>
        </w:rPr>
        <w:t>Demand</w:t>
      </w:r>
      <w:r w:rsidRPr="00DD2D90">
        <w:rPr>
          <w:rStyle w:val="StyleUnderline"/>
        </w:rPr>
        <w:t xml:space="preserve"> for healthcare workers </w:t>
      </w:r>
      <w:r w:rsidRPr="00DD2D90">
        <w:rPr>
          <w:rStyle w:val="StyleUnderline"/>
          <w:highlight w:val="green"/>
        </w:rPr>
        <w:t xml:space="preserve">is expected to remain </w:t>
      </w:r>
      <w:r w:rsidRPr="00DD2D90">
        <w:rPr>
          <w:rStyle w:val="Emphasis"/>
          <w:highlight w:val="green"/>
        </w:rPr>
        <w:t>strong</w:t>
      </w:r>
      <w:r w:rsidRPr="00DD2D90">
        <w:rPr>
          <w:rStyle w:val="StyleUnderline"/>
          <w:highlight w:val="green"/>
        </w:rPr>
        <w:t xml:space="preserve"> as</w:t>
      </w:r>
      <w:r w:rsidRPr="00DD2D90">
        <w:rPr>
          <w:rStyle w:val="StyleUnderline"/>
        </w:rPr>
        <w:t xml:space="preserve"> </w:t>
      </w:r>
      <w:r w:rsidRPr="00DD2D90">
        <w:rPr>
          <w:rStyle w:val="StyleUnderline"/>
          <w:highlight w:val="green"/>
        </w:rPr>
        <w:t>the</w:t>
      </w:r>
      <w:r w:rsidRPr="00DD2D90">
        <w:rPr>
          <w:rStyle w:val="StyleUnderline"/>
        </w:rPr>
        <w:t xml:space="preserve"> U.S. </w:t>
      </w:r>
      <w:r w:rsidRPr="00DD2D90">
        <w:rPr>
          <w:rStyle w:val="StyleUnderline"/>
          <w:highlight w:val="green"/>
        </w:rPr>
        <w:t>population ages</w:t>
      </w:r>
      <w:r w:rsidRPr="00DD2D90">
        <w:rPr>
          <w:rStyle w:val="StyleUnderline"/>
        </w:rPr>
        <w:t>,</w:t>
      </w:r>
      <w:r w:rsidRPr="009C4A5A">
        <w:rPr>
          <w:sz w:val="16"/>
        </w:rPr>
        <w:t xml:space="preserve"> although </w:t>
      </w:r>
      <w:r w:rsidRPr="00DD2D90">
        <w:rPr>
          <w:rStyle w:val="StyleUnderline"/>
          <w:highlight w:val="green"/>
        </w:rPr>
        <w:t xml:space="preserve">changes to Medicare payment rates pose a </w:t>
      </w:r>
      <w:r w:rsidRPr="00DD2D90">
        <w:rPr>
          <w:rStyle w:val="Emphasis"/>
          <w:highlight w:val="green"/>
        </w:rPr>
        <w:t>risk</w:t>
      </w:r>
      <w:r w:rsidRPr="009C4A5A">
        <w:rPr>
          <w:sz w:val="16"/>
        </w:rPr>
        <w:t xml:space="preserve"> in the short term, companies say. Some young people are drawn to healthcare careers in part because they offer high pay and relative job security. “It can definitely provide for you and your family,” said Savannah Grant, 28, an emergency department technician at a hospital in Sacramento, Calif. Grant recently graduated with a degree in registered nursing and is optimistic about finding a job in her new field. Registered nurses in California often earn $70 or more an hour, which would help put a dent in her $100,000 student debt and pay for travel. “I am looking forward to being able to take trips and explore the world,” she said. Ballad Health, a rural health system in Appalachia, currently has 500 positions in nursing it is trying to fill, due largely to higher demand from patients as they age into Medicare in their 60s. In the six months starting in July, Ballad saw 7% growth in the number of people visiting its hospitals year-over-year. “It creates a huge demand for labor,” said CEO Alan Levine. Guy Berger, senior fellow at labor-market think tank Burning Glass Institute, said he is less concerned than others about the economy’s reliance on healthcare for jobs. “</w:t>
      </w:r>
      <w:r w:rsidRPr="00DD2D90">
        <w:rPr>
          <w:rStyle w:val="StyleUnderline"/>
        </w:rPr>
        <w:t>Old people are not going away</w:t>
      </w:r>
      <w:r w:rsidRPr="009C4A5A">
        <w:rPr>
          <w:sz w:val="16"/>
        </w:rPr>
        <w:t>.” While healthcare jobs have long been a jobs driver as the U.S. population ages, in recent years other sectors rapidly added jobs to meet demand for services like dining out and travel after the Covid-19 pandemic. Low borrowing costs after the brief 2020 recession also helped boost demand for jobs in the information sector—which includes roles like software developer—and the finance sector. Demand for those jobs has mostly dried up now. The number of workers in professional and business services, finance, retail and information ticked down over the year through January. Federal-government payrolls declined sharply. “</w:t>
      </w:r>
      <w:r w:rsidRPr="00DD2D90">
        <w:rPr>
          <w:rStyle w:val="StyleUnderline"/>
        </w:rPr>
        <w:t xml:space="preserve">I worry that </w:t>
      </w:r>
      <w:r w:rsidRPr="00DD2D90">
        <w:rPr>
          <w:rStyle w:val="StyleUnderline"/>
          <w:highlight w:val="green"/>
        </w:rPr>
        <w:t>the rest of the economy is shrinking</w:t>
      </w:r>
      <w:r w:rsidRPr="009C4A5A">
        <w:rPr>
          <w:sz w:val="16"/>
        </w:rPr>
        <w:t xml:space="preserve">,” said Justin Wolfers, professor of economics at the University of Michigan. </w:t>
      </w:r>
    </w:p>
    <w:p w14:paraId="54D5CF50" w14:textId="77777777" w:rsidR="00065821" w:rsidRPr="009C4A5A" w:rsidRDefault="00065821" w:rsidP="00065821">
      <w:pPr>
        <w:rPr>
          <w:sz w:val="16"/>
        </w:rPr>
      </w:pPr>
    </w:p>
    <w:p w14:paraId="297F0BA0" w14:textId="77777777" w:rsidR="00065821" w:rsidRPr="009C4A5A" w:rsidRDefault="00065821" w:rsidP="00065821">
      <w:pPr>
        <w:rPr>
          <w:rFonts w:eastAsiaTheme="majorEastAsia" w:cstheme="majorBidi"/>
          <w:b/>
          <w:iCs/>
          <w:sz w:val="16"/>
        </w:rPr>
      </w:pPr>
      <w:r w:rsidRPr="009C4A5A">
        <w:rPr>
          <w:sz w:val="16"/>
        </w:rPr>
        <w:br w:type="page"/>
      </w:r>
    </w:p>
    <w:p w14:paraId="7A77C144" w14:textId="27762646" w:rsidR="00F73458" w:rsidRPr="009C4A5A" w:rsidRDefault="00F73458" w:rsidP="00F73458">
      <w:pPr>
        <w:pStyle w:val="Heading4"/>
        <w:rPr>
          <w:szCs w:val="26"/>
        </w:rPr>
      </w:pPr>
      <w:r w:rsidRPr="009C4A5A">
        <w:rPr>
          <w:szCs w:val="26"/>
        </w:rPr>
        <w:t>The healthcare industry is key to the middle class</w:t>
      </w:r>
      <w:r w:rsidR="00FF2C62" w:rsidRPr="009C4A5A">
        <w:rPr>
          <w:szCs w:val="26"/>
        </w:rPr>
        <w:t>, employment,</w:t>
      </w:r>
      <w:r w:rsidRPr="009C4A5A">
        <w:rPr>
          <w:szCs w:val="26"/>
        </w:rPr>
        <w:t xml:space="preserve"> and wages growth</w:t>
      </w:r>
    </w:p>
    <w:p w14:paraId="5F3E38B3" w14:textId="77777777" w:rsidR="00F73458" w:rsidRPr="00DD2D90" w:rsidRDefault="00F73458" w:rsidP="00F73458">
      <w:r w:rsidRPr="009C4A5A">
        <w:rPr>
          <w:b/>
          <w:bCs/>
          <w:sz w:val="26"/>
          <w:szCs w:val="26"/>
        </w:rPr>
        <w:t>Gottlieb et al. 25</w:t>
      </w:r>
      <w:r w:rsidRPr="00DD2D90">
        <w:t xml:space="preserve"> [Joshua D. Gottlieb, researcher at the University of Chicago, Kevin Rinz, researcher at the Washington Center for Equitable Growth, Neale Mahoney, researcher at Stanford University, and Victoria Udalova, researcher at the Census Bureau 10-2025, “The Rise of Healthcare Jobs,” NBER, https://gottlieb.ca/papers/HealthCareJobs.pdf]/Kankee</w:t>
      </w:r>
    </w:p>
    <w:p w14:paraId="7112138D" w14:textId="77777777" w:rsidR="00F73458" w:rsidRPr="009C4A5A" w:rsidRDefault="00F73458" w:rsidP="00F73458">
      <w:pPr>
        <w:rPr>
          <w:sz w:val="16"/>
        </w:rPr>
      </w:pPr>
      <w:r w:rsidRPr="00DD2D90">
        <w:rPr>
          <w:rStyle w:val="StyleUnderline"/>
          <w:highlight w:val="green"/>
        </w:rPr>
        <w:t>Healthcare employment has</w:t>
      </w:r>
      <w:r w:rsidRPr="00DD2D90">
        <w:rPr>
          <w:rStyle w:val="StyleUnderline"/>
        </w:rPr>
        <w:t xml:space="preserve"> </w:t>
      </w:r>
      <w:r w:rsidRPr="00DD2D90">
        <w:rPr>
          <w:rStyle w:val="StyleUnderline"/>
          <w:highlight w:val="green"/>
        </w:rPr>
        <w:t>grown</w:t>
      </w:r>
      <w:r w:rsidRPr="00DD2D90">
        <w:rPr>
          <w:rStyle w:val="StyleUnderline"/>
        </w:rPr>
        <w:t xml:space="preserve"> more than </w:t>
      </w:r>
      <w:r w:rsidRPr="00DD2D90">
        <w:rPr>
          <w:rStyle w:val="Emphasis"/>
          <w:highlight w:val="green"/>
        </w:rPr>
        <w:t>twice</w:t>
      </w:r>
      <w:r w:rsidRPr="00DD2D90">
        <w:rPr>
          <w:rStyle w:val="StyleUnderline"/>
          <w:highlight w:val="green"/>
        </w:rPr>
        <w:t xml:space="preserve"> as fast as the labor force</w:t>
      </w:r>
      <w:r w:rsidRPr="00DD2D90">
        <w:rPr>
          <w:rStyle w:val="StyleUnderline"/>
        </w:rPr>
        <w:t xml:space="preserve"> since 1980</w:t>
      </w:r>
      <w:r w:rsidRPr="009C4A5A">
        <w:rPr>
          <w:sz w:val="16"/>
        </w:rPr>
        <w:t xml:space="preserve">, </w:t>
      </w:r>
      <w:r w:rsidRPr="00DD2D90">
        <w:rPr>
          <w:rStyle w:val="StyleUnderline"/>
        </w:rPr>
        <w:t>overtaking retail</w:t>
      </w:r>
      <w:r w:rsidRPr="009C4A5A">
        <w:rPr>
          <w:sz w:val="16"/>
        </w:rPr>
        <w:t xml:space="preserve"> trade </w:t>
      </w:r>
      <w:r w:rsidRPr="00DD2D90">
        <w:rPr>
          <w:rStyle w:val="StyleUnderline"/>
        </w:rPr>
        <w:t>to become the largest industry by employment</w:t>
      </w:r>
      <w:r w:rsidRPr="009C4A5A">
        <w:rPr>
          <w:sz w:val="16"/>
        </w:rPr>
        <w:t xml:space="preserve"> in 2009. We document key facts about the rise of healthcare jobs. </w:t>
      </w:r>
      <w:r w:rsidRPr="00DD2D90">
        <w:rPr>
          <w:rStyle w:val="StyleUnderline"/>
          <w:highlight w:val="green"/>
        </w:rPr>
        <w:t>Earnings</w:t>
      </w:r>
      <w:r w:rsidRPr="00DD2D90">
        <w:rPr>
          <w:rStyle w:val="StyleUnderline"/>
        </w:rPr>
        <w:t xml:space="preserve"> for healthcare workers </w:t>
      </w:r>
      <w:r w:rsidRPr="00DD2D90">
        <w:rPr>
          <w:rStyle w:val="StyleUnderline"/>
          <w:highlight w:val="green"/>
        </w:rPr>
        <w:t xml:space="preserve">have risen </w:t>
      </w:r>
      <w:r w:rsidRPr="00DD2D90">
        <w:rPr>
          <w:rStyle w:val="StyleUnderline"/>
        </w:rPr>
        <w:t xml:space="preserve">nearly </w:t>
      </w:r>
      <w:r w:rsidRPr="00DD2D90">
        <w:rPr>
          <w:rStyle w:val="Emphasis"/>
          <w:highlight w:val="green"/>
        </w:rPr>
        <w:t>twice</w:t>
      </w:r>
      <w:r w:rsidRPr="00DD2D90">
        <w:rPr>
          <w:rStyle w:val="StyleUnderline"/>
        </w:rPr>
        <w:t xml:space="preserve"> </w:t>
      </w:r>
      <w:r w:rsidRPr="00DD2D90">
        <w:rPr>
          <w:rStyle w:val="StyleUnderline"/>
          <w:highlight w:val="green"/>
        </w:rPr>
        <w:t>as fast</w:t>
      </w:r>
      <w:r w:rsidRPr="00DD2D90">
        <w:rPr>
          <w:rStyle w:val="StyleUnderline"/>
        </w:rPr>
        <w:t xml:space="preserve"> </w:t>
      </w:r>
      <w:r w:rsidRPr="00DD2D90">
        <w:rPr>
          <w:rStyle w:val="StyleUnderline"/>
          <w:highlight w:val="green"/>
        </w:rPr>
        <w:t>as</w:t>
      </w:r>
      <w:r w:rsidRPr="00DD2D90">
        <w:rPr>
          <w:rStyle w:val="StyleUnderline"/>
        </w:rPr>
        <w:t xml:space="preserve"> those in </w:t>
      </w:r>
      <w:r w:rsidRPr="00DD2D90">
        <w:rPr>
          <w:rStyle w:val="StyleUnderline"/>
          <w:highlight w:val="green"/>
        </w:rPr>
        <w:t>other industries</w:t>
      </w:r>
      <w:r w:rsidRPr="009C4A5A">
        <w:rPr>
          <w:sz w:val="16"/>
        </w:rPr>
        <w:t xml:space="preserve">, with relatively large increases in the middle and upper-middle parts of the earnings distribution. Healthcare workers have remained predominantly female, with increases in the share of female doctors offsetting increases in the shares of male nurses and aides. Despite a few high- profile examples to the contrary, regions experiencing manufacturing job losses have not systematically reinvented themselves by pivoting from “manufacturing to meds.” 1 Introduction The United States has experienced rapid growth in healthcare jobs over the past 30 years. As Figure 1 shows, </w:t>
      </w:r>
      <w:r w:rsidRPr="00DD2D90">
        <w:rPr>
          <w:rStyle w:val="StyleUnderline"/>
        </w:rPr>
        <w:t>employment in the healthcare industry grew from 9.3 million in 1990 to 18.1 million in 2022</w:t>
      </w:r>
      <w:r w:rsidRPr="009C4A5A">
        <w:rPr>
          <w:sz w:val="16"/>
        </w:rPr>
        <w:t xml:space="preserve">. </w:t>
      </w:r>
      <w:r w:rsidRPr="00DD2D90">
        <w:rPr>
          <w:rStyle w:val="StyleUnderline"/>
          <w:highlight w:val="green"/>
        </w:rPr>
        <w:t>Healthcare</w:t>
      </w:r>
      <w:r w:rsidRPr="00DD2D90">
        <w:rPr>
          <w:rStyle w:val="StyleUnderline"/>
        </w:rPr>
        <w:t xml:space="preserve"> employment </w:t>
      </w:r>
      <w:r w:rsidRPr="00DD2D90">
        <w:rPr>
          <w:rStyle w:val="StyleUnderline"/>
          <w:highlight w:val="green"/>
        </w:rPr>
        <w:t>overtook</w:t>
      </w:r>
      <w:r w:rsidRPr="00DD2D90">
        <w:rPr>
          <w:rStyle w:val="StyleUnderline"/>
        </w:rPr>
        <w:t xml:space="preserve"> </w:t>
      </w:r>
      <w:r w:rsidRPr="00DD2D90">
        <w:rPr>
          <w:rStyle w:val="StyleUnderline"/>
          <w:highlight w:val="green"/>
        </w:rPr>
        <w:t>manufacturing</w:t>
      </w:r>
      <w:r w:rsidRPr="00DD2D90">
        <w:rPr>
          <w:rStyle w:val="StyleUnderline"/>
        </w:rPr>
        <w:t xml:space="preserve"> in 2006, </w:t>
      </w:r>
      <w:r w:rsidRPr="00DD2D90">
        <w:rPr>
          <w:rStyle w:val="StyleUnderline"/>
          <w:highlight w:val="green"/>
        </w:rPr>
        <w:t>and retail</w:t>
      </w:r>
      <w:r w:rsidRPr="00DD2D90">
        <w:rPr>
          <w:rStyle w:val="StyleUnderline"/>
        </w:rPr>
        <w:t xml:space="preserve"> trade in 2009, </w:t>
      </w:r>
      <w:r w:rsidRPr="00DD2D90">
        <w:rPr>
          <w:rStyle w:val="StyleUnderline"/>
          <w:highlight w:val="green"/>
        </w:rPr>
        <w:t xml:space="preserve">becoming the </w:t>
      </w:r>
      <w:r w:rsidRPr="00DD2D90">
        <w:rPr>
          <w:rStyle w:val="Emphasis"/>
          <w:highlight w:val="green"/>
        </w:rPr>
        <w:t>largest industry</w:t>
      </w:r>
      <w:r w:rsidRPr="00DD2D90">
        <w:rPr>
          <w:rStyle w:val="StyleUnderline"/>
        </w:rPr>
        <w:t xml:space="preserve"> by employment in the U.S</w:t>
      </w:r>
      <w:r w:rsidRPr="009C4A5A">
        <w:rPr>
          <w:sz w:val="16"/>
        </w:rPr>
        <w:t xml:space="preserve">. This paper documents key facts about the rise of healthcare jobs. Our motivation is sim- ple: Despite the industry’s size and growth, healthcare workers as a whole have not received as much attention as those in other industries or occupations—most notably manufactur- ing. We use the Census Bureau’s internal versions of the Decennial Census and American Community Survey (ACS) from 1980 to 2022, which provide us with a large sample, more detailed geographic identifiers, and less earnings top-coding than public data. The first half of the paper documents trends in healthcare employment and earnings through the lens of clinical occupations, focusing on physicians, nurses, and aides. We show that employment growth has been fairly uniform across these categories. The exception is a group known as “midlevels,” which includes physician assistants and nurse practitioners, whose employment has recently surged. This category was too small to be consistently measured prior to 2010 but has grown from 227,000 to 505,000 workers since then. As of 2022, there were more midlevels than primary care physicians, and midlevels provided more than half of primary care services in the U.S. (HRSA, 2023). This employment growth was accompanied by strong earnings growth, especially for nurses and midlevels in the middle and upper-middle parts of the clinical occupational dis- tribution. </w:t>
      </w:r>
      <w:r w:rsidRPr="00DD2D90">
        <w:rPr>
          <w:rStyle w:val="StyleUnderline"/>
        </w:rPr>
        <w:t>Earnings grew nearly twice as fast for healthcare workers as for non-healthcare workers from 1980 to 2022</w:t>
      </w:r>
      <w:r w:rsidRPr="009C4A5A">
        <w:rPr>
          <w:sz w:val="16"/>
        </w:rPr>
        <w:t xml:space="preserve">; during this window, </w:t>
      </w:r>
      <w:r w:rsidRPr="00DD2D90">
        <w:rPr>
          <w:rStyle w:val="StyleUnderline"/>
        </w:rPr>
        <w:t xml:space="preserve">average healthcare </w:t>
      </w:r>
      <w:r w:rsidRPr="00DD2D90">
        <w:rPr>
          <w:rStyle w:val="StyleUnderline"/>
          <w:highlight w:val="green"/>
        </w:rPr>
        <w:t>earnings rose</w:t>
      </w:r>
      <w:r w:rsidRPr="00DD2D90">
        <w:rPr>
          <w:rStyle w:val="StyleUnderline"/>
        </w:rPr>
        <w:t xml:space="preserve"> from 4% below </w:t>
      </w:r>
      <w:r w:rsidRPr="00DD2D90">
        <w:rPr>
          <w:rStyle w:val="StyleUnderline"/>
          <w:highlight w:val="green"/>
        </w:rPr>
        <w:t>to</w:t>
      </w:r>
      <w:r w:rsidRPr="00DD2D90">
        <w:rPr>
          <w:rStyle w:val="StyleUnderline"/>
        </w:rPr>
        <w:t xml:space="preserve"> over </w:t>
      </w:r>
      <w:r w:rsidRPr="00DD2D90">
        <w:rPr>
          <w:rStyle w:val="StyleUnderline"/>
          <w:highlight w:val="green"/>
        </w:rPr>
        <w:t>14% above</w:t>
      </w:r>
      <w:r w:rsidRPr="00DD2D90">
        <w:rPr>
          <w:rStyle w:val="StyleUnderline"/>
        </w:rPr>
        <w:t xml:space="preserve"> the non-healthcare </w:t>
      </w:r>
      <w:r w:rsidRPr="00DD2D90">
        <w:rPr>
          <w:rStyle w:val="StyleUnderline"/>
          <w:highlight w:val="green"/>
        </w:rPr>
        <w:t>average</w:t>
      </w:r>
      <w:r w:rsidRPr="009C4A5A">
        <w:rPr>
          <w:sz w:val="16"/>
        </w:rPr>
        <w:t xml:space="preserve">. While the top percentile of the wage distribution has fared better outside of healthcare, </w:t>
      </w:r>
      <w:r w:rsidRPr="00DD2D90">
        <w:rPr>
          <w:rStyle w:val="StyleUnderline"/>
        </w:rPr>
        <w:t>healthcare wages have grown faster for the rest of the distribution, and are particularly strong between the middle and the 95th percentiles</w:t>
      </w:r>
      <w:r w:rsidRPr="009C4A5A">
        <w:rPr>
          <w:sz w:val="16"/>
        </w:rPr>
        <w:t xml:space="preserve">. Indeed, with strong </w:t>
      </w:r>
      <w:r w:rsidRPr="00DD2D90">
        <w:rPr>
          <w:rStyle w:val="StyleUnderline"/>
          <w:highlight w:val="green"/>
        </w:rPr>
        <w:t>employment</w:t>
      </w:r>
      <w:r w:rsidRPr="00DD2D90">
        <w:rPr>
          <w:rStyle w:val="StyleUnderline"/>
        </w:rPr>
        <w:t xml:space="preserve"> growth </w:t>
      </w:r>
      <w:r w:rsidRPr="00DD2D90">
        <w:rPr>
          <w:rStyle w:val="StyleUnderline"/>
          <w:highlight w:val="green"/>
        </w:rPr>
        <w:t>and earnings</w:t>
      </w:r>
      <w:r w:rsidRPr="00DD2D90">
        <w:rPr>
          <w:rStyle w:val="StyleUnderline"/>
        </w:rPr>
        <w:t xml:space="preserve"> growth that </w:t>
      </w:r>
      <w:r w:rsidRPr="00DD2D90">
        <w:rPr>
          <w:rStyle w:val="StyleUnderline"/>
          <w:highlight w:val="green"/>
        </w:rPr>
        <w:t>outpaced the</w:t>
      </w:r>
      <w:r w:rsidRPr="00DD2D90">
        <w:rPr>
          <w:rStyle w:val="StyleUnderline"/>
        </w:rPr>
        <w:t xml:space="preserve"> rest of the </w:t>
      </w:r>
      <w:r w:rsidRPr="00DD2D90">
        <w:rPr>
          <w:rStyle w:val="StyleUnderline"/>
          <w:highlight w:val="green"/>
        </w:rPr>
        <w:t>economy</w:t>
      </w:r>
      <w:r w:rsidRPr="009C4A5A">
        <w:rPr>
          <w:sz w:val="16"/>
        </w:rPr>
        <w:t xml:space="preserve"> outside the very top, </w:t>
      </w:r>
      <w:r w:rsidRPr="00DD2D90">
        <w:rPr>
          <w:rStyle w:val="StyleUnderline"/>
          <w:highlight w:val="green"/>
        </w:rPr>
        <w:t xml:space="preserve">healthcare has been a </w:t>
      </w:r>
      <w:r w:rsidRPr="00DD2D90">
        <w:rPr>
          <w:rStyle w:val="StyleUnderline"/>
        </w:rPr>
        <w:t xml:space="preserve">modern </w:t>
      </w:r>
      <w:r w:rsidRPr="00DD2D90">
        <w:rPr>
          <w:rStyle w:val="StyleUnderline"/>
          <w:highlight w:val="green"/>
        </w:rPr>
        <w:t>middle-class “jobs</w:t>
      </w:r>
      <w:r w:rsidRPr="00DD2D90">
        <w:rPr>
          <w:rStyle w:val="StyleUnderline"/>
        </w:rPr>
        <w:t xml:space="preserve"> </w:t>
      </w:r>
      <w:r w:rsidRPr="00DD2D90">
        <w:rPr>
          <w:rStyle w:val="Emphasis"/>
          <w:highlight w:val="green"/>
        </w:rPr>
        <w:t>engine</w:t>
      </w:r>
      <w:r w:rsidRPr="009C4A5A">
        <w:rPr>
          <w:sz w:val="16"/>
        </w:rPr>
        <w:t xml:space="preserve">.” The second half of the paper investigates the types of people and places most involved in healthcare employment growth. Our demographic analysis focuses on female and foreign- born workers, two groups whose share of the overall labor force swelled during our time period. Our geographic analysis focuses on whether growth in healthcare jobs has offset the much-discussed decline in manufacturing employment. The female share of the healthcare workforce remained nearly constant at 76% between 1980 and 2022, but there was considerable convergence between men and women within occupations. Although physicians remain majority male, the female share increased sub- stantially. Nurses and aides remain overwhelmingly female, but the male share increased. While the foreign-born share of healthcare workers has on average risen in line with that of the broader economy, this differs by occupation: foreign-born shares are well above the broader economy for physicians and aides, but below average for nurses and midlevels. Demographic changes in the overall labor force have been accompanied by major shifts in the geography of employment, with notable declines in the Rust Belt’s employment and population shares during our time period. A policy-focused literature has argued that cities and regions where manufacturing has declined could reinvent themselves by pivoting from “manufacturing to meds,” and Autor et al. (2025) argue that this has occurred in response to the China trade shock. This literature emphasizes the role of hospitals as anchor institu- tions and the recession-proof nature of healthcare employment (e.g., Katz, 2006; Bartik and Erickcek, 2008; Kulkarni and Ross, 2013; Harker, Diamond and Reed, 2022; Rolland, 2012).1 Prominent examples include Pittsburgh, Cleveland, and Rochester. We systematically test for a manufacturing-to-meds transition during our time period, examining whether regions that lost more manufacturing jobs disproportionately gained more healthcare jobs. We predict declines in manufacturing employment using manufactur- ing’s share of the prime-age population in each region in 1980. These baseline shares are highly predictive, with a 10 percentage point increase in baseline share corresponding to a 6 percentage point decrease in manufacturing’s share of the prime-age population from 1980–2022 (R2 = 0.7).2 However, these places with more baseline manufacturing only ex- perienced modestly higher healthcare employment growth, with each 10 percentage point increase in baseline manufacturing associated with 0.64 percentage point additional growth in healthcare employment as a share of the prime-age population. As we show with a simple model, a natural benchmark is that industries absorb manu- facturing workers in proportion to their sizes. Our estimates imply that healthcare growth counteracted roughly 11% of manufacturing job losses, not much more than would be ex- pected given its 9.8% population share. Our conclusion contrasts with that of Autor et al. (2025), who estimate a substantial increase in healthcare employment in areas exposed to trade with China. A key difference is that Autor et al.’s outcome variable is healthcare employment relative to the base year working-age population, whereas our outcome is nor- malized by the contemporaneous working-age population. As we show, Autor et al.’s “China shock” causes a sizable increase in the working-age population, which—combined with the modest increase we find in healthcare employment relative to prime-age population—yields their larger effects.3 Healthcare acts as a larger counteracting force for women and college- educated workers; this latter result is consistent with Glaeser’s (2005) argument that </w:t>
      </w:r>
      <w:r w:rsidRPr="00DD2D90">
        <w:rPr>
          <w:rStyle w:val="StyleUnderline"/>
        </w:rPr>
        <w:t>high human capital levels enabled Boston to overcome its manufacturing decline</w:t>
      </w:r>
      <w:r w:rsidRPr="009C4A5A">
        <w:rPr>
          <w:sz w:val="16"/>
        </w:rPr>
        <w:t xml:space="preserve">. Nevertheless, in the aggregate, our analysis shows that the few high-profile examples of the manufacturing- to-meds pivot are outliers that do not represent a systematic trend. Our research is related to recent work that examines trends for individual healthcare occupations. Skinner et al. (2019), Staiger, Auerbach and Buerhaus (2012), and Auerbach, Staiger and Buerhaus (2018) have studied the demographics of the physician, nursing, and midlevel workforces, respectively, focusing on age and region. Chan and Chen (2022), Dil- lender et al. (2022), Alexander and Schnell (2024), Traczynski and Udalova (2018), and others have studied the impacts of growing use of nurse practitioners for patients’ access and quality of care. Gottlieb et al. (2023, 2025) document some policy and market forces driving physicians’ labor market outcomes. Bald (2024) comprehensively describes the rise of nursing during the early 20th century, while Friedrich and Hackmann (2021) and Got- tlieb and Zenilman (forthcoming) study the nursing labor market more recently. Hackmann et al. (2025) examine the equilibrium impacts of long-term care employment. Chandra and Heizlsperger (2023) discuss healthcare employment during the Covid-19 pandemic, while Bronsoler, Doyle and Van Reenen (2022) examine how information technology may affect the healthcare workforce. Our contribution is to provide a holistic perspective on the healthcare labor market over the decades that the industry has become increasingly central to the U.S. economy. This industry-level perspective allows us to, for example, document strong growth in the middle of the healthcare workers earnings distribution, chronicle convergence in gender ratios across occupations, and compare patterns in healthcare to those in other industries. We focus on describing healthcare employment and wages, and do not take a normative view about these trends. On this topic, Baicker and Chandra (2012) highlight a key tension between making care affordable and healthcare as a jobs program. Chan and Dickstein (2019) and Cooper et al. (2024) explore whether healthcare policy is motivated by political economy considerations around the disbursement of rents and jobs. The paper proceeds with Section 2, which briefly describes our data; additional details are in the appendix. Section 3 presents the results on the rise of middle-class healthcare obs through an occupational lens. Section 4 investigates the types of people and places that benefited from these trends. Section 5 briefly discusses these results and implications for future work. 2 Data We analyze employment and earnings using microdata from the long-form Decennial Census and American Community Survey (ACS) from 1980 to 2022. These data are repeated cross- sections drawn from nationally representative surveys of the U.S. population. Respondents report earnings, occupation, weeks worked, weekly hours worked, geographic location, edu- cational attainment, and demographic characteristics, among other variables. We use Census data from 1980, 1990, and 2000, and switch to annual ACS data for 2010 and 2022. We start our sample in 1980, immediately after the 1979 peak in manufacturing employment (Harris, 2020), and end with the latest data available in 2022. Our 1980–2022 window covers much of </w:t>
      </w:r>
      <w:r w:rsidRPr="00DD2D90">
        <w:rPr>
          <w:rStyle w:val="StyleUnderline"/>
          <w:highlight w:val="green"/>
        </w:rPr>
        <w:t>healthcare</w:t>
      </w:r>
      <w:r w:rsidRPr="009C4A5A">
        <w:rPr>
          <w:sz w:val="16"/>
        </w:rPr>
        <w:t xml:space="preserve">’s expansion—it </w:t>
      </w:r>
      <w:r w:rsidRPr="00DD2D90">
        <w:rPr>
          <w:rStyle w:val="StyleUnderline"/>
        </w:rPr>
        <w:t xml:space="preserve">grew </w:t>
      </w:r>
      <w:r w:rsidRPr="00DD2D90">
        <w:rPr>
          <w:rStyle w:val="StyleUnderline"/>
          <w:highlight w:val="green"/>
        </w:rPr>
        <w:t>from</w:t>
      </w:r>
      <w:r w:rsidRPr="00DD2D90">
        <w:rPr>
          <w:rStyle w:val="StyleUnderline"/>
        </w:rPr>
        <w:t xml:space="preserve"> 8.9% </w:t>
      </w:r>
      <w:r w:rsidRPr="00DD2D90">
        <w:rPr>
          <w:rStyle w:val="StyleUnderline"/>
          <w:highlight w:val="green"/>
        </w:rPr>
        <w:t xml:space="preserve">to </w:t>
      </w:r>
      <w:r w:rsidRPr="00DD2D90">
        <w:rPr>
          <w:rStyle w:val="Emphasis"/>
          <w:highlight w:val="green"/>
        </w:rPr>
        <w:t xml:space="preserve">17.3% </w:t>
      </w:r>
      <w:r w:rsidRPr="00DD2D90">
        <w:rPr>
          <w:rStyle w:val="StyleUnderline"/>
          <w:highlight w:val="green"/>
        </w:rPr>
        <w:t>of GDP</w:t>
      </w:r>
      <w:r w:rsidRPr="00DD2D90">
        <w:rPr>
          <w:rStyle w:val="StyleUnderline"/>
        </w:rPr>
        <w:t xml:space="preserve"> during our period</w:t>
      </w:r>
      <w:r w:rsidRPr="009C4A5A">
        <w:rPr>
          <w:sz w:val="16"/>
        </w:rPr>
        <w:t xml:space="preserve"> (CMS, 2023). We inflation-adjust all monetary values to 2022 dollars using the CPI-U. We use the Census Bureau’s internal versions of these data, which have a larger sample, more granular geographic location, and less earnings top-coding than the public microdata. We define earnings as the sum of wage and salary income, business income, and farm income. While self-reported earnings in the Census and ACS suffer from some underreporting, espe- cially for the highest earners, </w:t>
      </w:r>
      <w:r w:rsidRPr="00DD2D90">
        <w:rPr>
          <w:rStyle w:val="StyleUnderline"/>
        </w:rPr>
        <w:t xml:space="preserve">they are the </w:t>
      </w:r>
      <w:r w:rsidRPr="00DD2D90">
        <w:rPr>
          <w:rStyle w:val="Emphasis"/>
        </w:rPr>
        <w:t xml:space="preserve">best </w:t>
      </w:r>
      <w:r w:rsidRPr="009C4A5A">
        <w:rPr>
          <w:sz w:val="16"/>
        </w:rPr>
        <w:t>available</w:t>
      </w:r>
      <w:r w:rsidRPr="00DD2D90">
        <w:rPr>
          <w:rStyle w:val="Emphasis"/>
        </w:rPr>
        <w:t xml:space="preserve"> data</w:t>
      </w:r>
      <w:r w:rsidRPr="00DD2D90">
        <w:rPr>
          <w:rStyle w:val="StyleUnderline"/>
        </w:rPr>
        <w:t xml:space="preserve"> for analyzing occupation- and demographic-related labor market trends consistently over this time period</w:t>
      </w:r>
      <w:r w:rsidRPr="009C4A5A">
        <w:rPr>
          <w:sz w:val="16"/>
        </w:rPr>
        <w:t xml:space="preserve">. To the extent any underreporting is consistent over time, it will not affect our analysis of earnings growth. Still, due to these issues, we will use caution when interpreting earnings growth for the very highest earners. Appendix A provides more details. 3 The rise of middle-class occupations 3.1 Clinical occupations Occupations are a natural lens for examining trends in healthcare labor markets. Clinical occupations are commonly known, codified in state and federal regulations, and well-ordered in terms of training and earnings. We analyze trends over our entire 1980–2022 period and over the more recent 2010–2022 window, where information on midlevels is consistently recorded. We focus on four clinical occupational groups, which span the range from some of the highest-earning to lowest-earning occupations in the economy. • Physicians have a medical degree (MD) or doctor of osteopathic medicine (DO) degree. They have generally attended 4 years of college and 4 years of medical school, and have completed 3 or more years of residency and fellowship training, depending on specialty. • Midlevels (also known as “mid-level practitioners” or “advanced practice providers”) include Nurse Practitioners (NPs), Physician Assistants, Certified Registered Nurse Anesthetists (CRNAs), and Certified Nurse Midwives. They generally study nursing for 2–4 years and complete an additional 1–2 years of training. The classifications, regulations, and training for midlevels have changed rapidly in the past decade. The Nurse Practitioner occupation was too small to be recorded separately in the Census until 2010. For consistency, we restrict our analysis of midlevels to 2010–2022. • Nurses include Registered Nurses (RNs) and Licensed Practical Nurses (LPNs). In the early part of our sample, they typically had an associates degree. More recently, a bachelor’s degree in nursing (BSN) or even a master’s degree has become common. • Aides include nursing, psychiatric, and home health aides, medical assistants, phar- macy aides, and similar supporting occupations. Most aides are not required to have any postsecondary education, but many employers require or strongly encourage some vocational training for certification (BLS, 2024).4 Beyond these four categories, we report statistics on two other occupation groups. The first is “other clinical” workers, comprising anyone who provides patient care outside the four categories above (e.g., technicians and therapists). The second is “non-clinical” work- ers, including anyone employed in a healthcare industry who does not report a clinical job (e.g. managers, billing specialists, janitors, and security). Some workers in clinical healthcare occupations work outside the healthcare industry. For instance, nurses and aides working in assisted living facilities are coded as working in the social services industry, and nurses working at schools are coded as working in the edu- cation industry. For completeness, we also report statistics for this “clinical, non-healthcare industry” category. The number of employees in the healthcare industry is the sum of those in the six occupation groups above minus “clinical, non-healthcare” workers. 3.2 Trends in employment and earnings We begin in Table 1 by examining trends in employment and earnings over 1980–2022 for the healthcare industry and by occupation group. In 1980, the healthcare industry employed 7.3 million workers or 6.8% of the labor force. Healthcare workers earned an inflation-adjusted $44,000 on average, slightly less than the $46,000 average for non-healthcare workers. In this baseline period, there were 430,000 physicians, 1.7 million nurses, and 1.6 million aides.5 Average annual earnings across the clinical occupation groups ranged from $187,000 for physicians to $38,000 for nurses and $23,000 for aides. Figure 2(a) shows the changes in total employment by occupation group. The arrows show the change from 1980–2022, and the right column shows the annual growth rate. For midlevels, we show the change and annual growth over 2010–2022, since we do not have comprehensive data before 2010. Employment has grown roughly twice as fast for healthcare as for non-healthcare workers (2.1% versus 1.1% per year) since 1980. </w:t>
      </w:r>
      <w:r w:rsidRPr="00DD2D90">
        <w:rPr>
          <w:rStyle w:val="StyleUnderline"/>
        </w:rPr>
        <w:t>By 2022, the healthcare industry employed 17.8 million workers and accounted for 10.4% of the labor force, a 3.6 percentage point increase from 1980</w:t>
      </w:r>
      <w:r w:rsidRPr="009C4A5A">
        <w:rPr>
          <w:sz w:val="16"/>
        </w:rPr>
        <w:t xml:space="preserve">. Employment growth was broad-based across clinical healthcare occupations, with fairly similar annual growth rates for physicians (2.0%), nurses (2.1%), and slightly higher growth for aides (2.7%). The outlier is midlevels, where employment has exploded in recent years. Over 2010–2022, </w:t>
      </w:r>
      <w:r w:rsidRPr="00DD2D90">
        <w:rPr>
          <w:rStyle w:val="StyleUnderline"/>
        </w:rPr>
        <w:t xml:space="preserve">midlevel employment more than </w:t>
      </w:r>
      <w:r w:rsidRPr="00DD2D90">
        <w:rPr>
          <w:rStyle w:val="Emphasis"/>
        </w:rPr>
        <w:t>doubled</w:t>
      </w:r>
      <w:r w:rsidRPr="009C4A5A">
        <w:rPr>
          <w:sz w:val="16"/>
        </w:rPr>
        <w:t xml:space="preserve"> (from 227,000 to 505,000), and the ratio of physicians to midlevels fell by half (from 3.9 to 1.9 times as many physicians as midlevels).6 </w:t>
      </w:r>
      <w:r w:rsidRPr="00DD2D90">
        <w:rPr>
          <w:rStyle w:val="StyleUnderline"/>
        </w:rPr>
        <w:t xml:space="preserve">The growth in healthcare employment was accompanied by </w:t>
      </w:r>
      <w:r w:rsidRPr="00DD2D90">
        <w:rPr>
          <w:rStyle w:val="Emphasis"/>
        </w:rPr>
        <w:t>rapid growth</w:t>
      </w:r>
      <w:r w:rsidRPr="00DD2D90">
        <w:rPr>
          <w:rStyle w:val="StyleUnderline"/>
        </w:rPr>
        <w:t xml:space="preserve"> in healthcare earnings</w:t>
      </w:r>
      <w:r w:rsidRPr="009C4A5A">
        <w:rPr>
          <w:sz w:val="16"/>
        </w:rPr>
        <w:t xml:space="preserve">. Panel (b) shows an analogous graph for real earnings. These rose nearly twice as fast for healthcare as for non-healthcare workers (1.1% versus 0.7% per year) since 1980. By 2022, the </w:t>
      </w:r>
      <w:r w:rsidRPr="00DD2D90">
        <w:rPr>
          <w:rStyle w:val="StyleUnderline"/>
        </w:rPr>
        <w:t>average healthcare worker earned $71,000 per year, or 14% more than the average non-healthcare worker</w:t>
      </w:r>
      <w:r w:rsidRPr="009C4A5A">
        <w:rPr>
          <w:sz w:val="16"/>
        </w:rPr>
        <w:t xml:space="preserve"> (compared to 4% less in 1980). Healthcare earnings grew markedly faster for midlevels and nurses near the middle of the distribution. From 1980–2022, real earnings grew twice as fast for nurses (1.4%) as for aides (0.7% per year) and physicians (0.7% per year). Over 2010–2022, midlevels were the outlier, with real earnings growth of 0.9% per year, compared to declines for nurses and physicians, and modest growth for aides (0.4% per year).7 Appendix Figure C.1 shows the 1980 and 2022 earnings distributions for each of these occupations. Part of the faster earnings growth could reflect changes in human capital, as nurses and aides have become more educated over time. To investigate this channel, we conduct a DiNardo, Fortin and Lemieux (1996) decomposition, comparing unadjusted earnings growth with earnings growth reweighted to hold the education distribution fixed at its base period level. Appendix Table C.3 shows that earnings grew approximately one-eighth slower for nurses and aides when we adjust for changes in education. In other words, the vast majority of the earnings growth is not explained by changes in education, at least in an accounting sense.8 The disproportionately fast earnings growth for nurses and midlevels has striking impli- cations for the overall healthcare wage distribution. Figure 2(c) shows real annual hourly wage growth by percentile of the distribution separately for clinical healthcare workers, all healthcare workers, and non-healthcare workers. To construct this plot, we compute real hourly wages at each percentile of the wage distributions in 1980 and 2022. We then take the difference between these values and annualize that difference.9 We restrict this analysis to full-time workers, dropping those who work fewer than 14 weeks or fewer than 20 hours per week on average.10 For non-healthcare workers, real wage growth exhibits the sharply increasing pattern documented in Piketty, Saez and Zucman (2018), with average real wage growth below 0.5% until the 76th percentile and then rising from 1.05% at the 95th percentile to 1.55% at the 99th percentile. For healthcare workers, the wage growth is more equally distributed, although the plot is still upward-sloping across most of the distribution. For healthcare workers overall, real annual wage growth exceeds 0.5% per year for all percentiles above the bottom 7, and peaks at 1.77% at the 95th percentile. For clinical healthcare workers, growth exceeds 1% for all percentiles above the bottom 20, and peaks at 2.07% at the 92nd percentile.11 These distributions reinforce the lesson from the occupational comparisons. </w:t>
      </w:r>
      <w:r w:rsidRPr="00DD2D90">
        <w:rPr>
          <w:rStyle w:val="StyleUnderline"/>
        </w:rPr>
        <w:t>Employment has grown faster for healthcare than for non-healthcare workers, with the fastest growth for midlevels over 2010–2022. Real wages have grown faster for healthcare (clinical and overall) than non-health workers across the entire distribution except the top 1%</w:t>
      </w:r>
      <w:r w:rsidRPr="009C4A5A">
        <w:rPr>
          <w:sz w:val="16"/>
        </w:rPr>
        <w:t xml:space="preserve">.12 Indeed, the gap between healthcare (clinical or all) and non-healthcare is largest between the 45th and 95th percentiles of the wage distributions (Appendix Figure C.2(a)). 4 Implications for people and places Who has benefited most from the rise of healthcare jobs? Where has this job growth been largest? This section investigates the implications of healthcare’s dramatic employment growth for major demographic groups and geographic areas. 4.1 Demographic patterns Two prominent trends in the labor market during our time period have been increases in women and immigrants in the labor force. These developments are particularly salient in healthcare; nursing is a classic pink-collar job, and the role of immigrants in the physician workforce is the subject of ongoing policy debates. This section examines trends in healthcare employment through the lens of gender and immigrant status (measured as being foreign born).13 Figure 3(a) shows trends in the female share of employment by industry and occupation, with the arrows depicting changes from 1980–2022. Across the entire economy, the female employment share rose from 42% to 47%. In the healthcare industry, the female share remained unchanged at 76% over the period. The stable female share in healthcare masks considerable, if incomplete, convergence across clinical occupations. From 1980–2022, the female share of physicians nearly tripled (from 13.3% to 39.8%), although remaining majority male, while the female shares of nurses and aides declined (from 96.1% to 87.7% and 87.2% to 83.7%, respectively), although re- maining predominantly female. Although healthcare’s female share remained constant, because of the industry’s rapid employment growth and high baseline female share, healthcare absorbed a significant por- tion of the aggregate increase in female employment. Relative to a counterfactual where healthcare employment remains a constant share of the working-age population, and assign- ing industries their observed changes in female employment, the increase in healthcare from 7.3% to 10.9% of employment accounts for 3.3 million of the 13.1 million women who entered employment due to the rise in female labor force participation.14 Figure 3(b) examines trends in the share of foreign-born employment by industry and occupation, displayed in the same manner as Panel (a). Across the entire economy, the share of foreign-born workers nearly tripled from 6.7% to 17.3% over this period. The trend in healthcare is similar, growing from 7.7% to 16.3% of the workforce. As before, the industry-wide trend masks considerable occupation-level variation. Physi- cians started the period with a 21.2% foreign-born share, or nearly four times the economy- wide average, and grew by another 7.2 percentage points to 28.4% in 2022. In contrast, midlevels’ foreign-born share reached only 12.3% in 2022, nearly one-third less than the economy-wide average and 57% below physicians’. Nurses and aides both started the period with around a 7% foreign-born share, similar to the overall economy, but have since diverged, with the foreign-born share of aides increasing by nearly twice as much as nurses (16.5 versus 8.8 percentage points). Taken together, this analysis paints a nuanced picture. While the female share of overall healthcare employment has held steady at 76%, there has been significant but incomplete convergence across occupations. While growth in the foreign-born share of healthcare workers has tracked that for the entire economy, foreign-born shares are well above the economy-wide average for physicians and aides and below average for nurses and midlevels. 4.2 Geographic patterns Another important change during our time period has been the decline in employment and population in the United States’ historical manufacturing regions. A policy-focused liter- ature has argued that these Rust Belt cities could reinvent themselves by pivoting from manufacturing to meds. Policymakers and the press have highlighted Pittsburgh, Cleveland, and Rochester as exemplars of this transition (DePillis and Zhang, 2025). There is plausible economic logic for this sort of pivot: demand for healthcare services may be particularly resilient to local economic decline. If factory closures reduce overall demand in a region, local demand for healthcare may grow relative to the demand for other goods and services because healthcare spending is supported by government transfers through Medicare and Medicaid. Beyond this natural reallocation, local efforts to encourage healthcare exports could spur a pivot from manufacturing to healthcare (Katz, 2006; Bartik and Erickcek, 2008; Kulkarni and Ross, 2013). To investigate whether regions that lost more manufacturing jobs disproportionately gained jobs in healthcare, we partition the country into 428 geographic units, defined as the 381 MSAs (2013 vintage) and the 47 non-MSA regions of states. Unlike our prior analysis, which focused on healthcare workers as a share of all workers, we now compute healthcare workers as a share of the prime-age population, defined as persons aged 25–54.15 This definition is appropriate for this analysis because people can transition from manufacturing to other industries, to unemployment, or leave the labor force. From 1980 to 2022, healthcare grew by 4.4 percentage points—from 5.4% to 9.8% of the prime-age population.16 An analysis that simply examines the correlation between healthcare jobs growth and manufacturing job declines could be contaminated by reverse causality and omitted variables. The reverse causality concern is that positive shocks to the healthcare industry could draw workers away from manufacturing. An omitted variables concern is unobserved regional productivity shocks affecting the productivity of both healthcare and manufacturing. To address these issues, we use the baseline manufacturing share to predict manufacturing declines. We then ask whether places with high predicted declines had disproportionately strong healthcare growth. Econometrically, one can think of baseline manufacturing as an instrument for manu- facturing job declines. That said, while our approach is useful in addressing the concerns above, our aim is not to recover the “causal effect” of manufacturing declines on healthcare employment growth. Our approach does not address bias from unobserved factors that are correlated with both healthcare employment growth and the baseline manufacturing share. For instance, if scale economies used to give large cities an advantage in manufacturing, and since 1980 have generated an advantage in healthcare production, our instrument would not address this. We thus view our analysis as documenting what happened to healthcare em- ployment in places that were highly exposed to manufacturing—and, as a result, lost more manufacturing jobs—rather than demonstrating a causal impact of this job loss. Figure 4(a) plots the change in manufacturing share of the prime-age workforce from 1980 to 2022 against the baseline manufacturing share across our geographic units.17 The slope of −0.559 and small intercept means that regions lost on average 56% of their manufacturing workforce between 1980 and 2022. The tight relationship (R2 = 0.7) indicates that the pattern is fairly consistent, with relatively few regions far from this trend. Figure 4(b) examines whether healthcare employment disproportionately rose in the areas hardest hit by the loss of manufacturing jobs. The slope of 0.064 indicates that healthcare jobs grew faster in places that lost more manufacturing jobs, although the magnitude of the slope is hard to interpret in isolation. What is a reasonable benchmark for the increase in healthcare jobs? Appendix D presents a stylized model of an economy with three industries: manufacturing, healthcare, and “other.” We assume the industries face isoelastic demand curves that are identical ex- cept for an industry-specific demand shifter and have Cobb-Douglas production functions that are identical except for industry-specific total factor productivity. Labor and capital are perfectly transferable across industries. In this model, shocks that generate declines in manufacturing employment—due to a reduction in either manufacturing demand or man- ufacturing productivity—cause workers to reallocate to other industries in proportion to those industries’ sizes. Based on this logic, we consider the healthcare employment share as a benchmark for the share of manufacturing job losses that we would expect healthcare to absorb. Returning to the data, Figure 4(c) plots the change in healthcare employment against the change in manufacturing employment predicted from the 1980 manufacturing share. This regression line shows the ratio of 11.5%, as 0.064 healthcare jobs were gained for every 0.559 manufacturing jobs lost. Since healthcare workers comprise 9.8% of the prime age population in 2022, this indicates that the healthcare industry absorbed manufacturing jobs at a rate only slightly higher than the benchmark in which workers flow to other industries in proportion to their size. In contemporaneous work, Autor et al. (2025) study changes in employment relative to the baseline (i.e. year 2000) working-age population in each area. They find that the growth in healthcare and education employment more than offsets the decline in manufacturing employment due to import competition from China. Yet they also show that population increases in highly exposed areas.18 Appendix B shows that these results are consistent with our finding: in areas where manufacturing employment falls, a modest increase in healthcare employment, plus a sizable increase in the working- age population, combine to yield a larger increase in healthcare employment relative to the baseline working-age population. In Appendix Table C.5, we examine this relationship between the decline in manufac- turing employment and healthcare employment growth separately by demographic group.19 Panel (a) reports the relationships discussed above for the entire sample. Panel (b) through (e) show these facts separately for samples defined by the interaction of race (white and non- white) and sex. For this analysis, the statistics are calculated separately at the demographic group level. For example, the 0.228 manufacturing share for white males in 1980 means that 22.8% of white prime-age males worked in manufacturing in 1980. Panels (b) and (c) show these patterns for white males and females. In 1980, 22.8% of white males and 9.5% of white females worked in manufacturing. For white males, the regression coefficients (column 3) indicate that for each 10% increase in baseline manufac- turing employment, white males lost 7.1 percentage points of their manufacturing jobs while gaining only 0.3 percentage points in healthcare employment, or a roughly 1-to-30 ratio of healthcare job gains per manufacturing loss. For white females, the ratio is much larger. For each 10% increase in baseline manufacturing employment, white females lost 4.0 percentage points of manufacturing jobs while gaining 1.4 percentage points in healthcare, a 1-to-3 ratio. Indeed, for white women, healthcare jobs are offsetting nearly twice as many manufacturing jobs as would be expected based on healthcare’s 13% employment share. For nonwhite men and women, healthcare jobs play less of an offsetting role. In 1980, 21% of nonwhite males and 11% of nonwhite females were employed in manufacturing. For each 10% increase in manufacturing employment at baseline, nonwhite men lost 8.6 percentage points of manufacturing employment while gaining just 0.01 percentage points in healthcare. For each 10% increase in baseline manufacturing employment, nonwhite females lost 5.8 percentage points of manufacturing jobs while gaining 0.5 percentage points in healthcare. The 1-to-12 ratio is less than healthcare’s 13% employment share for nonwhite females and contrasts with the 1-to-3 ratio for white females. Appendix Table C.6 repeats this exercise on samples split by education. Among those with less than a bachelor’s degree, for each 10% increase in baseline manufacturing employ- ment, there was an additional 5.6 percentage points in manufacturing jobs losses, compared with only 0.7 percentage points in healthcare job gains (a 1-to-8 ratio). For those with a bachelor’s degree or greater, a 10% increase in baseline manufacturing employment was associated with an additional 2.9 percentage points in manufacturing job losses and 0.8 per- centage points in healthcare job gains, a ratio of about three-tenths—or almost three times as large as would be expected based on healthcare’s 11% employment share for this group. Thus, healthcare jobs played a much larger role in offsetting college-educated workers’ manu- facturing job losses. This lines up with Glaeser’s (2005) argument that education was critical to reinventing Boston after its manufacturing decline. In summary, healthcare employment did not play an outsized role in stabilizing the labor markets suffering from manufacturing decline. On average healthcare offsets about 11% of job losses, or only slightly more than would be expected based on healthcare’s 9.8% population share. Digging in, we find that healthcare “punches above its weight” for white women and the college-educated. For white women, healthcare offsets roughly 1 in 3 manufacturing job losses, and for the college-educated, it offsets 3 in 10 manufacturing job losses; both of these ratios are two to three times what would be expected based on the healthcare employment shares for these groups. For nonwhites and the non-college-educated, on the other hand, healthcare jobs have not been an important stabilizing factor. 5 Discussion The descriptive analysis in this paper offers three key findings about the rise of healthcare jobs: the relatively strong growth of earnings in the middle and upper-middle parts of the distribution, including for nurses and midlevels; the partial convergence in gender ratios across clinical occupations; and the scant evidence of a systematic manufacturing-to-meds transition, despite high-profile examples. </w:t>
      </w:r>
      <w:r w:rsidRPr="00DD2D90">
        <w:rPr>
          <w:rStyle w:val="StyleUnderline"/>
        </w:rPr>
        <w:t>There are several potential explanations for the strong employment and earnings growth of middle-class healthcare jobs</w:t>
      </w:r>
      <w:r w:rsidRPr="009C4A5A">
        <w:rPr>
          <w:sz w:val="16"/>
        </w:rPr>
        <w:t xml:space="preserve">. Entry barriers that limit the supply of doctors may have increased labor demand for midlevels and nurses, who sometimes substitute for doctors, including by providing more than half of primary care (HRSA, 2023).20 Technological in- novation may have differentially benefited workers in the middle of the distribution. For instance, improvements in diagnostic technology may reduce the demand for doctors with sophisticated diagnostic skill in favor of midlevels and nurses who can administer tests and prescribe treatment based on technologically-determined diagnoses. More research is needed to assess the quantitative importance of these and other theories. The convergence in gender ratios across occupations is consistent with broader evidence on gender dynamics in U.S. labor force. Like many other elite professions (Ferreira and Gyourko, 2014; Wolfers, 2006; Goldin, 2014; Hsieh et al., 2019), there has been a large increase in the female share of physicians. The increasing male share of nurses and aides is consistent with relaxation of gender sorting across occupations. Why do the high-profile examples of manufacturing-to-meds transitions not reflect a systemic trend? One possibility is that efforts to pivot were largely superficial. Despite policy white papers and political speeches, limited resources were invested in building up the healthcare industry in declining manufacturing regions. Another potential explanation is that any resources that were dedicated to these efforts had lackluster effects. This could reflect the difficulty of breaking into a new industry, especially one where scale effects and reputation are so important (Dingel et al., 2023). Stepping back, </w:t>
      </w:r>
      <w:r w:rsidRPr="00DD2D90">
        <w:rPr>
          <w:rStyle w:val="StyleUnderline"/>
          <w:highlight w:val="green"/>
        </w:rPr>
        <w:t>the rise of healthcare</w:t>
      </w:r>
      <w:r w:rsidRPr="00DD2D90">
        <w:rPr>
          <w:rStyle w:val="StyleUnderline"/>
        </w:rPr>
        <w:t xml:space="preserve"> jobs </w:t>
      </w:r>
      <w:r w:rsidRPr="00DD2D90">
        <w:rPr>
          <w:rStyle w:val="StyleUnderline"/>
          <w:highlight w:val="green"/>
        </w:rPr>
        <w:t xml:space="preserve">is one of the </w:t>
      </w:r>
      <w:r w:rsidRPr="00DD2D90">
        <w:rPr>
          <w:rStyle w:val="Emphasis"/>
          <w:highlight w:val="green"/>
        </w:rPr>
        <w:t>largest trends</w:t>
      </w:r>
      <w:r w:rsidRPr="00DD2D90">
        <w:rPr>
          <w:rStyle w:val="StyleUnderline"/>
        </w:rPr>
        <w:t xml:space="preserve"> </w:t>
      </w:r>
      <w:r w:rsidRPr="00DD2D90">
        <w:rPr>
          <w:rStyle w:val="StyleUnderline"/>
          <w:highlight w:val="green"/>
        </w:rPr>
        <w:t>in</w:t>
      </w:r>
      <w:r w:rsidRPr="00DD2D90">
        <w:rPr>
          <w:rStyle w:val="StyleUnderline"/>
        </w:rPr>
        <w:t xml:space="preserve"> the U.S. labor market in </w:t>
      </w:r>
      <w:r w:rsidRPr="00DD2D90">
        <w:rPr>
          <w:rStyle w:val="StyleUnderline"/>
          <w:highlight w:val="green"/>
        </w:rPr>
        <w:t xml:space="preserve">a </w:t>
      </w:r>
      <w:r w:rsidRPr="00DD2D90">
        <w:rPr>
          <w:rStyle w:val="Emphasis"/>
          <w:highlight w:val="green"/>
        </w:rPr>
        <w:t>generation</w:t>
      </w:r>
      <w:r w:rsidRPr="009C4A5A">
        <w:rPr>
          <w:sz w:val="16"/>
        </w:rPr>
        <w:t xml:space="preserve">. This shift has been accompanied by patterns that sometimes contrast with, and sometimes reinforce, conventional views. Given the size of the healthcare industry, analysis of the U.S. labor force requires understanding the trends in this industry. This paper provides an initial descriptive analysis of these patterns and raises questions for future work. Understanding why </w:t>
      </w:r>
      <w:r w:rsidRPr="00DD2D90">
        <w:rPr>
          <w:rStyle w:val="StyleUnderline"/>
          <w:highlight w:val="green"/>
        </w:rPr>
        <w:t>healthcare</w:t>
      </w:r>
      <w:r w:rsidRPr="009C4A5A">
        <w:rPr>
          <w:sz w:val="16"/>
        </w:rPr>
        <w:t xml:space="preserve"> has </w:t>
      </w:r>
      <w:r w:rsidRPr="00DD2D90">
        <w:rPr>
          <w:rStyle w:val="Emphasis"/>
          <w:highlight w:val="green"/>
        </w:rPr>
        <w:t>bucked</w:t>
      </w:r>
      <w:r w:rsidRPr="009C4A5A">
        <w:rPr>
          <w:sz w:val="16"/>
          <w:highlight w:val="green"/>
        </w:rPr>
        <w:t xml:space="preserve"> </w:t>
      </w:r>
      <w:r w:rsidRPr="00DD2D90">
        <w:rPr>
          <w:rStyle w:val="StyleUnderline"/>
          <w:highlight w:val="green"/>
        </w:rPr>
        <w:t>broader trends toward wage polarization</w:t>
      </w:r>
      <w:r w:rsidRPr="009C4A5A">
        <w:rPr>
          <w:sz w:val="16"/>
        </w:rPr>
        <w:t xml:space="preserve">, and whether it will maintain this pattern of broad-based growth, </w:t>
      </w:r>
      <w:r w:rsidRPr="00DD2D90">
        <w:rPr>
          <w:rStyle w:val="StyleUnderline"/>
        </w:rPr>
        <w:t xml:space="preserve">will be crucial as the industry continues to expand </w:t>
      </w:r>
      <w:r w:rsidRPr="009C4A5A">
        <w:rPr>
          <w:sz w:val="16"/>
        </w:rPr>
        <w:t xml:space="preserve">and technology changes. </w:t>
      </w:r>
    </w:p>
    <w:p w14:paraId="5D84F0F9" w14:textId="77777777" w:rsidR="00F73458" w:rsidRPr="009C4A5A" w:rsidRDefault="00F73458" w:rsidP="00F73458">
      <w:pPr>
        <w:rPr>
          <w:rFonts w:eastAsiaTheme="majorEastAsia" w:cstheme="majorBidi"/>
          <w:b/>
          <w:iCs/>
          <w:sz w:val="16"/>
        </w:rPr>
      </w:pPr>
      <w:r w:rsidRPr="009C4A5A">
        <w:rPr>
          <w:sz w:val="16"/>
        </w:rPr>
        <w:br w:type="page"/>
      </w:r>
    </w:p>
    <w:p w14:paraId="1AD55C62" w14:textId="51B115EB" w:rsidR="007C1D60" w:rsidRPr="009C4A5A" w:rsidRDefault="007C1D60" w:rsidP="007C1D60">
      <w:pPr>
        <w:pStyle w:val="Heading4"/>
        <w:rPr>
          <w:szCs w:val="26"/>
        </w:rPr>
      </w:pPr>
      <w:r w:rsidRPr="009C4A5A">
        <w:rPr>
          <w:szCs w:val="26"/>
        </w:rPr>
        <w:t xml:space="preserve">Public healthcare would remove millions of jobs currently supporting the American middle class </w:t>
      </w:r>
    </w:p>
    <w:p w14:paraId="0645DA18" w14:textId="77777777" w:rsidR="007C1D60" w:rsidRPr="00DD2D90" w:rsidRDefault="007C1D60" w:rsidP="007C1D60">
      <w:r w:rsidRPr="009C4A5A">
        <w:rPr>
          <w:rStyle w:val="Style13ptBold"/>
          <w:szCs w:val="26"/>
        </w:rPr>
        <w:t>Pradhan 19</w:t>
      </w:r>
      <w:r w:rsidRPr="00DD2D90">
        <w:t xml:space="preserve"> [Rachana Pradhan, Healthcare Reporter B.A. JMU, 11-25-2019, "Medicare for All’s jobs problem," POLITICO, https://www.politico.com/news/agenda/2019/11/25/medicare-for-all-jobs-067781]/Kankee</w:t>
      </w:r>
    </w:p>
    <w:p w14:paraId="40CC90ED" w14:textId="77777777" w:rsidR="007C1D60" w:rsidRPr="009C4A5A" w:rsidRDefault="007C1D60" w:rsidP="007C1D60">
      <w:pPr>
        <w:rPr>
          <w:sz w:val="16"/>
        </w:rPr>
      </w:pPr>
      <w:r w:rsidRPr="00DD2D90">
        <w:rPr>
          <w:u w:val="single"/>
        </w:rPr>
        <w:t xml:space="preserve">Initial </w:t>
      </w:r>
      <w:r w:rsidRPr="00DD2D90">
        <w:rPr>
          <w:highlight w:val="green"/>
          <w:u w:val="single"/>
        </w:rPr>
        <w:t>research from U</w:t>
      </w:r>
      <w:r w:rsidRPr="00DD2D90">
        <w:rPr>
          <w:u w:val="single"/>
        </w:rPr>
        <w:t xml:space="preserve">niversity </w:t>
      </w:r>
      <w:r w:rsidRPr="00DD2D90">
        <w:rPr>
          <w:highlight w:val="green"/>
          <w:u w:val="single"/>
        </w:rPr>
        <w:t>of M</w:t>
      </w:r>
      <w:r w:rsidRPr="00DD2D90">
        <w:rPr>
          <w:u w:val="single"/>
        </w:rPr>
        <w:t xml:space="preserve">assachusetts economists who have consulted with multiple 2020 campaigns has </w:t>
      </w:r>
      <w:r w:rsidRPr="00DD2D90">
        <w:rPr>
          <w:highlight w:val="green"/>
          <w:u w:val="single"/>
        </w:rPr>
        <w:t xml:space="preserve">estimated </w:t>
      </w:r>
      <w:r w:rsidRPr="00DD2D90">
        <w:rPr>
          <w:u w:val="single"/>
        </w:rPr>
        <w:t xml:space="preserve">that </w:t>
      </w:r>
      <w:r w:rsidRPr="00DD2D90">
        <w:rPr>
          <w:b/>
          <w:bCs/>
          <w:highlight w:val="green"/>
          <w:u w:val="single"/>
        </w:rPr>
        <w:t>1.8 million</w:t>
      </w:r>
      <w:r w:rsidRPr="00DD2D90">
        <w:rPr>
          <w:highlight w:val="green"/>
          <w:u w:val="single"/>
        </w:rPr>
        <w:t xml:space="preserve"> health care jobs</w:t>
      </w:r>
      <w:r w:rsidRPr="00DD2D90">
        <w:rPr>
          <w:u w:val="single"/>
        </w:rPr>
        <w:t xml:space="preserve"> nationwide </w:t>
      </w:r>
      <w:r w:rsidRPr="00DD2D90">
        <w:rPr>
          <w:highlight w:val="green"/>
          <w:u w:val="single"/>
        </w:rPr>
        <w:t>would no longer be needed if Medicare for All became law</w:t>
      </w:r>
      <w:r w:rsidRPr="00DD2D90">
        <w:rPr>
          <w:u w:val="single"/>
        </w:rPr>
        <w:t xml:space="preserve">, upending health insurance companies and </w:t>
      </w:r>
      <w:r w:rsidRPr="00DD2D90">
        <w:rPr>
          <w:b/>
          <w:bCs/>
          <w:highlight w:val="green"/>
          <w:u w:val="single"/>
        </w:rPr>
        <w:t>thousands of middle class workers</w:t>
      </w:r>
      <w:r w:rsidRPr="00DD2D90">
        <w:rPr>
          <w:highlight w:val="green"/>
          <w:u w:val="single"/>
        </w:rPr>
        <w:t xml:space="preserve"> whose jobs</w:t>
      </w:r>
      <w:r w:rsidRPr="00DD2D90">
        <w:rPr>
          <w:u w:val="single"/>
        </w:rPr>
        <w:t xml:space="preserve"> largely </w:t>
      </w:r>
      <w:r w:rsidRPr="00DD2D90">
        <w:rPr>
          <w:highlight w:val="green"/>
          <w:u w:val="single"/>
        </w:rPr>
        <w:t>deal with</w:t>
      </w:r>
      <w:r w:rsidRPr="00DD2D90">
        <w:rPr>
          <w:u w:val="single"/>
        </w:rPr>
        <w:t xml:space="preserve"> them, including </w:t>
      </w:r>
      <w:r w:rsidRPr="00DD2D90">
        <w:rPr>
          <w:highlight w:val="green"/>
          <w:u w:val="single"/>
        </w:rPr>
        <w:t>insurance</w:t>
      </w:r>
      <w:r w:rsidRPr="00DD2D90">
        <w:rPr>
          <w:u w:val="single"/>
        </w:rPr>
        <w:t xml:space="preserve"> brokers</w:t>
      </w:r>
      <w:r w:rsidRPr="00DD2D90">
        <w:rPr>
          <w:highlight w:val="green"/>
          <w:u w:val="single"/>
        </w:rPr>
        <w:t>,</w:t>
      </w:r>
      <w:r w:rsidRPr="00DD2D90">
        <w:rPr>
          <w:u w:val="single"/>
        </w:rPr>
        <w:t xml:space="preserve"> medical </w:t>
      </w:r>
      <w:r w:rsidRPr="00DD2D90">
        <w:rPr>
          <w:highlight w:val="green"/>
          <w:u w:val="single"/>
        </w:rPr>
        <w:t>billing</w:t>
      </w:r>
      <w:r w:rsidRPr="00DD2D90">
        <w:rPr>
          <w:u w:val="single"/>
        </w:rPr>
        <w:t xml:space="preserve"> workers </w:t>
      </w:r>
      <w:r w:rsidRPr="00DD2D90">
        <w:rPr>
          <w:highlight w:val="green"/>
          <w:u w:val="single"/>
        </w:rPr>
        <w:t xml:space="preserve">and </w:t>
      </w:r>
      <w:r w:rsidRPr="00DD2D90">
        <w:rPr>
          <w:u w:val="single"/>
        </w:rPr>
        <w:t xml:space="preserve">other </w:t>
      </w:r>
      <w:r w:rsidRPr="00DD2D90">
        <w:rPr>
          <w:highlight w:val="green"/>
          <w:u w:val="single"/>
        </w:rPr>
        <w:t>admin</w:t>
      </w:r>
      <w:r w:rsidRPr="00DD2D90">
        <w:rPr>
          <w:u w:val="single"/>
        </w:rPr>
        <w:t>istrative employees.</w:t>
      </w:r>
      <w:r w:rsidRPr="009C4A5A">
        <w:rPr>
          <w:sz w:val="16"/>
        </w:rPr>
        <w:t xml:space="preserve"> One widely cited study published in the New England Journal of Medicine estimated that administration accounted for nearly a third of the U.S.’ health care expenses. </w:t>
      </w:r>
      <w:r w:rsidRPr="00DD2D90">
        <w:rPr>
          <w:highlight w:val="green"/>
          <w:u w:val="single"/>
        </w:rPr>
        <w:t>Even if</w:t>
      </w:r>
      <w:r w:rsidRPr="00DD2D90">
        <w:rPr>
          <w:u w:val="single"/>
        </w:rPr>
        <w:t xml:space="preserve"> a bigger </w:t>
      </w:r>
      <w:r w:rsidRPr="00DD2D90">
        <w:rPr>
          <w:highlight w:val="green"/>
          <w:u w:val="single"/>
        </w:rPr>
        <w:t>government expansion into health care left</w:t>
      </w:r>
      <w:r w:rsidRPr="00DD2D90">
        <w:rPr>
          <w:u w:val="single"/>
        </w:rPr>
        <w:t xml:space="preserve"> doctors, nurses, and other </w:t>
      </w:r>
      <w:r w:rsidRPr="00DD2D90">
        <w:rPr>
          <w:highlight w:val="green"/>
          <w:u w:val="single"/>
        </w:rPr>
        <w:t>medical professionals’ jobs intact, it would</w:t>
      </w:r>
      <w:r w:rsidRPr="00DD2D90">
        <w:rPr>
          <w:u w:val="single"/>
        </w:rPr>
        <w:t xml:space="preserve"> still </w:t>
      </w:r>
      <w:r w:rsidRPr="00DD2D90">
        <w:rPr>
          <w:highlight w:val="green"/>
          <w:u w:val="single"/>
        </w:rPr>
        <w:t>cause a restructuring of a</w:t>
      </w:r>
      <w:r w:rsidRPr="00DD2D90">
        <w:rPr>
          <w:u w:val="single"/>
        </w:rPr>
        <w:t xml:space="preserve"> sprawling </w:t>
      </w:r>
      <w:r w:rsidRPr="00DD2D90">
        <w:rPr>
          <w:highlight w:val="green"/>
          <w:u w:val="single"/>
        </w:rPr>
        <w:t>system that employs millions</w:t>
      </w:r>
      <w:r w:rsidRPr="00DD2D90">
        <w:rPr>
          <w:u w:val="single"/>
        </w:rPr>
        <w:t xml:space="preserve"> of middle-class Americans.</w:t>
      </w:r>
      <w:r w:rsidRPr="009C4A5A">
        <w:rPr>
          <w:sz w:val="16"/>
        </w:rPr>
        <w:t xml:space="preserve"> Claire Cohen, a Pittsburgh-based child psychiatrist, voted for Bernie Sanders, the architect of the most sweeping version of Medicare for All, in the 2016 Democratic presidential primary. She says the national discussion about single payer and its overwhelming focus on paying higher taxes or losing private insurance misses the point ― she argues individuals would see greater benefit from a health care system without premiums, copays and other costs that increasingly make health care out of reach. But the question about jobs, she says, is a “legitimate” issue ― one she says people haven’t completely thought through. “You don’t want to leave all these people in the lurch without jobs,” Cohen said. Having it both ways The idea of one national health plan covering all Americans has steadily grown more popular in public opinion polls over time, a sea change that coincides with Medicare for All becoming near orthodoxy for progressive Democrats. Prior to 2016, when Sanders made it the linchpin of his insurgent run for president, less than half of Americans supported setting up a such a system, according to Kaiser Family Foundation polling. Now, just over half of the public backs it. Claire Cohen, a child psychiatrist in Pittsburgh, supports the idea of Medicare for All but calls the question of how many workers might lose their jobs a “legitimate” issue. When it comes to the costs of reform, taxes are the headline issue, and the movement’s advocates on the national stage ― Sanders and fellow Democratic presidential contender Elizabeth Warren, among others ― have largely had to defend Medicare for All against charges that middle-class taxes would have to go up to finance a new government-run system. </w:t>
      </w:r>
      <w:r w:rsidRPr="00DD2D90">
        <w:rPr>
          <w:u w:val="single"/>
        </w:rPr>
        <w:t xml:space="preserve">But the question of </w:t>
      </w:r>
      <w:r w:rsidRPr="00DD2D90">
        <w:rPr>
          <w:highlight w:val="green"/>
          <w:u w:val="single"/>
        </w:rPr>
        <w:t>what single-payer</w:t>
      </w:r>
      <w:r w:rsidRPr="00DD2D90">
        <w:rPr>
          <w:u w:val="single"/>
        </w:rPr>
        <w:t xml:space="preserve"> health care </w:t>
      </w:r>
      <w:r w:rsidRPr="00DD2D90">
        <w:rPr>
          <w:highlight w:val="green"/>
          <w:u w:val="single"/>
        </w:rPr>
        <w:t>would do to jobs</w:t>
      </w:r>
      <w:r w:rsidRPr="00DD2D90">
        <w:rPr>
          <w:u w:val="single"/>
        </w:rPr>
        <w:t xml:space="preserve"> and the economy </w:t>
      </w:r>
      <w:r w:rsidRPr="00DD2D90">
        <w:rPr>
          <w:highlight w:val="green"/>
          <w:u w:val="single"/>
        </w:rPr>
        <w:t>has</w:t>
      </w:r>
      <w:r w:rsidRPr="00DD2D90">
        <w:rPr>
          <w:u w:val="single"/>
        </w:rPr>
        <w:t xml:space="preserve"> largely </w:t>
      </w:r>
      <w:r w:rsidRPr="00DD2D90">
        <w:rPr>
          <w:highlight w:val="green"/>
          <w:u w:val="single"/>
        </w:rPr>
        <w:t xml:space="preserve">been </w:t>
      </w:r>
      <w:r w:rsidRPr="00DD2D90">
        <w:rPr>
          <w:b/>
          <w:bCs/>
          <w:highlight w:val="green"/>
          <w:u w:val="single"/>
        </w:rPr>
        <w:t>overlooked</w:t>
      </w:r>
      <w:r w:rsidRPr="00DD2D90">
        <w:rPr>
          <w:u w:val="single"/>
        </w:rPr>
        <w:t xml:space="preserve">. In the past, </w:t>
      </w:r>
      <w:r w:rsidRPr="00DD2D90">
        <w:rPr>
          <w:highlight w:val="green"/>
          <w:u w:val="single"/>
        </w:rPr>
        <w:t>Sanders</w:t>
      </w:r>
      <w:r w:rsidRPr="00DD2D90">
        <w:rPr>
          <w:u w:val="single"/>
        </w:rPr>
        <w:t xml:space="preserve"> has </w:t>
      </w:r>
      <w:r w:rsidRPr="00DD2D90">
        <w:rPr>
          <w:highlight w:val="green"/>
          <w:u w:val="single"/>
        </w:rPr>
        <w:t>answered questions</w:t>
      </w:r>
      <w:r w:rsidRPr="00DD2D90">
        <w:rPr>
          <w:u w:val="single"/>
        </w:rPr>
        <w:t xml:space="preserve"> about the economic ramifications </w:t>
      </w:r>
      <w:r w:rsidRPr="00DD2D90">
        <w:rPr>
          <w:highlight w:val="green"/>
          <w:u w:val="single"/>
        </w:rPr>
        <w:t xml:space="preserve">with </w:t>
      </w:r>
      <w:r w:rsidRPr="00DD2D90">
        <w:rPr>
          <w:b/>
          <w:bCs/>
          <w:highlight w:val="green"/>
          <w:u w:val="single"/>
        </w:rPr>
        <w:t>vague claims</w:t>
      </w:r>
      <w:r w:rsidRPr="00DD2D90">
        <w:rPr>
          <w:highlight w:val="green"/>
          <w:u w:val="single"/>
        </w:rPr>
        <w:t xml:space="preserve"> about transitioning to other jobs </w:t>
      </w:r>
      <w:r w:rsidRPr="00DD2D90">
        <w:rPr>
          <w:u w:val="single"/>
        </w:rPr>
        <w:t>in the health sector.</w:t>
      </w:r>
      <w:r w:rsidRPr="009C4A5A">
        <w:rPr>
          <w:sz w:val="16"/>
        </w:rPr>
        <w:t xml:space="preserve"> “When we provide insurance to 29 million people who today don’t have it, when we deal with the problems of high deductibles and copayments and more people get the health care that they want and they need, weʼre going to have all kinds of jobs opened up in health care,” Sanders claimed during a 2016 CNN town hall when asked by a retired health insurance worker what would happen to jobs in the industry. “And the first people in line should be those people who are currently in the private health insurance industry.” </w:t>
      </w:r>
      <w:r w:rsidRPr="00DD2D90">
        <w:rPr>
          <w:u w:val="single"/>
        </w:rPr>
        <w:t xml:space="preserve">Economists dispute the extent to which this would occur. Robert </w:t>
      </w:r>
      <w:r w:rsidRPr="00DD2D90">
        <w:rPr>
          <w:highlight w:val="green"/>
          <w:u w:val="single"/>
        </w:rPr>
        <w:t>Pollin, co-director of the P</w:t>
      </w:r>
      <w:r w:rsidRPr="00DD2D90">
        <w:rPr>
          <w:u w:val="single"/>
        </w:rPr>
        <w:t xml:space="preserve">olitical </w:t>
      </w:r>
      <w:r w:rsidRPr="00DD2D90">
        <w:rPr>
          <w:highlight w:val="green"/>
          <w:u w:val="single"/>
        </w:rPr>
        <w:t>E</w:t>
      </w:r>
      <w:r w:rsidRPr="00DD2D90">
        <w:rPr>
          <w:u w:val="single"/>
        </w:rPr>
        <w:t xml:space="preserve">conomy </w:t>
      </w:r>
      <w:r w:rsidRPr="00DD2D90">
        <w:rPr>
          <w:highlight w:val="green"/>
          <w:u w:val="single"/>
        </w:rPr>
        <w:t>R</w:t>
      </w:r>
      <w:r w:rsidRPr="00DD2D90">
        <w:rPr>
          <w:u w:val="single"/>
        </w:rPr>
        <w:t xml:space="preserve">esearch </w:t>
      </w:r>
      <w:r w:rsidRPr="00DD2D90">
        <w:rPr>
          <w:highlight w:val="green"/>
          <w:u w:val="single"/>
        </w:rPr>
        <w:t>I</w:t>
      </w:r>
      <w:r w:rsidRPr="00DD2D90">
        <w:rPr>
          <w:u w:val="single"/>
        </w:rPr>
        <w:t xml:space="preserve">nstitute </w:t>
      </w:r>
      <w:r w:rsidRPr="00DD2D90">
        <w:rPr>
          <w:highlight w:val="green"/>
          <w:u w:val="single"/>
        </w:rPr>
        <w:t>at</w:t>
      </w:r>
      <w:r w:rsidRPr="00DD2D90">
        <w:rPr>
          <w:u w:val="single"/>
        </w:rPr>
        <w:t xml:space="preserve"> the </w:t>
      </w:r>
      <w:r w:rsidRPr="00DD2D90">
        <w:rPr>
          <w:highlight w:val="green"/>
          <w:u w:val="single"/>
        </w:rPr>
        <w:t>U</w:t>
      </w:r>
      <w:r w:rsidRPr="00DD2D90">
        <w:rPr>
          <w:u w:val="single"/>
        </w:rPr>
        <w:t xml:space="preserve">niversity </w:t>
      </w:r>
      <w:r w:rsidRPr="00DD2D90">
        <w:rPr>
          <w:highlight w:val="green"/>
          <w:u w:val="single"/>
        </w:rPr>
        <w:t>of M</w:t>
      </w:r>
      <w:r w:rsidRPr="00DD2D90">
        <w:rPr>
          <w:u w:val="single"/>
        </w:rPr>
        <w:t xml:space="preserve">assachusetts-Amherst who has consulted with Sanders’ and Warren’s teams over Medicare for All, </w:t>
      </w:r>
      <w:r w:rsidRPr="00DD2D90">
        <w:rPr>
          <w:highlight w:val="green"/>
          <w:u w:val="single"/>
        </w:rPr>
        <w:t>says</w:t>
      </w:r>
      <w:r w:rsidRPr="00DD2D90">
        <w:rPr>
          <w:u w:val="single"/>
        </w:rPr>
        <w:t xml:space="preserve"> that </w:t>
      </w:r>
      <w:r w:rsidRPr="00DD2D90">
        <w:rPr>
          <w:highlight w:val="green"/>
          <w:u w:val="single"/>
        </w:rPr>
        <w:t>while people could be retrained</w:t>
      </w:r>
      <w:r w:rsidRPr="00DD2D90">
        <w:rPr>
          <w:u w:val="single"/>
        </w:rPr>
        <w:t xml:space="preserve"> for different jobs, </w:t>
      </w:r>
      <w:r w:rsidRPr="00DD2D90">
        <w:rPr>
          <w:b/>
          <w:bCs/>
          <w:highlight w:val="green"/>
          <w:u w:val="single"/>
        </w:rPr>
        <w:t>there</w:t>
      </w:r>
      <w:r w:rsidRPr="00DD2D90">
        <w:rPr>
          <w:b/>
          <w:bCs/>
          <w:u w:val="single"/>
        </w:rPr>
        <w:t xml:space="preserve"> are </w:t>
      </w:r>
      <w:r w:rsidRPr="00DD2D90">
        <w:rPr>
          <w:b/>
          <w:bCs/>
          <w:highlight w:val="green"/>
          <w:u w:val="single"/>
        </w:rPr>
        <w:t>no guarantees</w:t>
      </w:r>
      <w:r w:rsidRPr="00DD2D90">
        <w:rPr>
          <w:highlight w:val="green"/>
          <w:u w:val="single"/>
        </w:rPr>
        <w:t xml:space="preserve"> they’d work in the new</w:t>
      </w:r>
      <w:r w:rsidRPr="00DD2D90">
        <w:rPr>
          <w:u w:val="single"/>
        </w:rPr>
        <w:t xml:space="preserve">ly created </w:t>
      </w:r>
      <w:r w:rsidRPr="00DD2D90">
        <w:rPr>
          <w:highlight w:val="green"/>
          <w:u w:val="single"/>
        </w:rPr>
        <w:t>government</w:t>
      </w:r>
      <w:r w:rsidRPr="00DD2D90">
        <w:rPr>
          <w:u w:val="single"/>
        </w:rPr>
        <w:t xml:space="preserve"> health care </w:t>
      </w:r>
      <w:r w:rsidRPr="00DD2D90">
        <w:rPr>
          <w:highlight w:val="green"/>
          <w:u w:val="single"/>
        </w:rPr>
        <w:t>system, since</w:t>
      </w:r>
      <w:r w:rsidRPr="00DD2D90">
        <w:rPr>
          <w:u w:val="single"/>
        </w:rPr>
        <w:t xml:space="preserve"> one of </w:t>
      </w:r>
      <w:r w:rsidRPr="00DD2D90">
        <w:rPr>
          <w:highlight w:val="green"/>
          <w:u w:val="single"/>
        </w:rPr>
        <w:t>the goal</w:t>
      </w:r>
      <w:r w:rsidRPr="00DD2D90">
        <w:rPr>
          <w:u w:val="single"/>
        </w:rPr>
        <w:t xml:space="preserve">s </w:t>
      </w:r>
      <w:r w:rsidRPr="00DD2D90">
        <w:rPr>
          <w:highlight w:val="green"/>
          <w:u w:val="single"/>
        </w:rPr>
        <w:t>is to cut down on admin</w:t>
      </w:r>
      <w:r w:rsidRPr="00DD2D90">
        <w:rPr>
          <w:u w:val="single"/>
        </w:rPr>
        <w:t>istrative overhead. “</w:t>
      </w:r>
      <w:r w:rsidRPr="00DD2D90">
        <w:rPr>
          <w:b/>
          <w:bCs/>
          <w:u w:val="single"/>
        </w:rPr>
        <w:t>You can’t have it both</w:t>
      </w:r>
      <w:r w:rsidRPr="00DD2D90">
        <w:rPr>
          <w:u w:val="single"/>
        </w:rPr>
        <w:t xml:space="preserve"> ways. </w:t>
      </w:r>
      <w:r w:rsidRPr="00DD2D90">
        <w:rPr>
          <w:highlight w:val="green"/>
          <w:u w:val="single"/>
        </w:rPr>
        <w:t>You can’t have savings</w:t>
      </w:r>
      <w:r w:rsidRPr="00DD2D90">
        <w:rPr>
          <w:u w:val="single"/>
        </w:rPr>
        <w:t xml:space="preserve"> through administrative simplicity </w:t>
      </w:r>
      <w:r w:rsidRPr="00DD2D90">
        <w:rPr>
          <w:highlight w:val="green"/>
          <w:u w:val="single"/>
        </w:rPr>
        <w:t xml:space="preserve">and more jobs. </w:t>
      </w:r>
      <w:r w:rsidRPr="00DD2D90">
        <w:rPr>
          <w:b/>
          <w:bCs/>
          <w:highlight w:val="green"/>
          <w:u w:val="single"/>
        </w:rPr>
        <w:t>The government won’t need these people</w:t>
      </w:r>
      <w:r w:rsidRPr="009C4A5A">
        <w:rPr>
          <w:sz w:val="16"/>
        </w:rPr>
        <w:t>,” Pollin said.</w:t>
      </w:r>
    </w:p>
    <w:p w14:paraId="3A6A849C" w14:textId="77777777" w:rsidR="00B0589A" w:rsidRPr="009C4A5A" w:rsidRDefault="00B0589A">
      <w:pPr>
        <w:rPr>
          <w:rFonts w:eastAsiaTheme="majorEastAsia" w:cstheme="majorBidi"/>
          <w:b/>
          <w:iCs/>
          <w:sz w:val="16"/>
        </w:rPr>
      </w:pPr>
      <w:r w:rsidRPr="009C4A5A">
        <w:rPr>
          <w:sz w:val="16"/>
        </w:rPr>
        <w:br w:type="page"/>
      </w:r>
    </w:p>
    <w:p w14:paraId="1A0F140D" w14:textId="77777777" w:rsidR="00F73458" w:rsidRPr="009C4A5A" w:rsidRDefault="00F73458" w:rsidP="00F73458">
      <w:pPr>
        <w:pStyle w:val="Heading4"/>
        <w:rPr>
          <w:szCs w:val="26"/>
        </w:rPr>
      </w:pPr>
      <w:r w:rsidRPr="009C4A5A">
        <w:rPr>
          <w:szCs w:val="26"/>
        </w:rPr>
        <w:t>The middle class is uniquely key for economic growth</w:t>
      </w:r>
    </w:p>
    <w:p w14:paraId="4F80FB48" w14:textId="77777777" w:rsidR="00F73458" w:rsidRPr="00DD2D90" w:rsidRDefault="00F73458" w:rsidP="00F73458">
      <w:r w:rsidRPr="009C4A5A">
        <w:rPr>
          <w:rStyle w:val="Style13ptBold"/>
          <w:szCs w:val="26"/>
        </w:rPr>
        <w:t>Boushey and Hersh 12</w:t>
      </w:r>
      <w:r w:rsidRPr="00DD2D90">
        <w:rPr>
          <w:rStyle w:val="Style13ptBold"/>
          <w:sz w:val="22"/>
        </w:rPr>
        <w:t xml:space="preserve"> </w:t>
      </w:r>
      <w:r w:rsidRPr="00DD2D90">
        <w:t>[Heather Boushey, Ph.D. New School for Social Research, and Adam Hersh, 5-17-2012, "The American Middle Class, Income Inequality, and the Strength of Our Economy," Center for American Progress, https://www.americanprogress.org/article/the-american-middle-class-income-inequality-and-the-strength-of-our-economy/]/Kankee</w:t>
      </w:r>
    </w:p>
    <w:p w14:paraId="2234DAB7" w14:textId="77777777" w:rsidR="00F73458" w:rsidRPr="009C4A5A" w:rsidRDefault="00F73458" w:rsidP="00F73458">
      <w:pPr>
        <w:rPr>
          <w:sz w:val="16"/>
        </w:rPr>
      </w:pPr>
      <w:r w:rsidRPr="00DD2D90">
        <w:rPr>
          <w:highlight w:val="green"/>
          <w:u w:val="single"/>
        </w:rPr>
        <w:t>Strong empirical evidence</w:t>
      </w:r>
      <w:r w:rsidRPr="00DD2D90">
        <w:rPr>
          <w:u w:val="single"/>
        </w:rPr>
        <w:t xml:space="preserve"> in economics and other social sciences </w:t>
      </w:r>
      <w:r w:rsidRPr="00DD2D90">
        <w:rPr>
          <w:highlight w:val="green"/>
          <w:u w:val="single"/>
        </w:rPr>
        <w:t>suggests</w:t>
      </w:r>
      <w:r w:rsidRPr="00DD2D90">
        <w:rPr>
          <w:u w:val="single"/>
        </w:rPr>
        <w:t xml:space="preserve"> that </w:t>
      </w:r>
      <w:r w:rsidRPr="00DD2D90">
        <w:rPr>
          <w:highlight w:val="green"/>
          <w:u w:val="single"/>
        </w:rPr>
        <w:t>the strength of the middle class</w:t>
      </w:r>
      <w:r w:rsidRPr="00DD2D90">
        <w:rPr>
          <w:u w:val="single"/>
        </w:rPr>
        <w:t xml:space="preserve"> and the level of income inequality </w:t>
      </w:r>
      <w:r w:rsidRPr="00DD2D90">
        <w:rPr>
          <w:highlight w:val="green"/>
          <w:u w:val="single"/>
        </w:rPr>
        <w:t>have</w:t>
      </w:r>
      <w:r w:rsidRPr="00DD2D90">
        <w:rPr>
          <w:u w:val="single"/>
        </w:rPr>
        <w:t xml:space="preserve"> an </w:t>
      </w:r>
      <w:r w:rsidRPr="00DD2D90">
        <w:rPr>
          <w:highlight w:val="green"/>
          <w:u w:val="single"/>
        </w:rPr>
        <w:t>important role</w:t>
      </w:r>
      <w:r w:rsidRPr="00DD2D90">
        <w:rPr>
          <w:u w:val="single"/>
        </w:rPr>
        <w:t xml:space="preserve"> to play </w:t>
      </w:r>
      <w:r w:rsidRPr="00DD2D90">
        <w:rPr>
          <w:highlight w:val="green"/>
          <w:u w:val="single"/>
        </w:rPr>
        <w:t>for</w:t>
      </w:r>
      <w:r w:rsidRPr="00DD2D90">
        <w:rPr>
          <w:u w:val="single"/>
        </w:rPr>
        <w:t xml:space="preserve"> each of these five factors boosting </w:t>
      </w:r>
      <w:r w:rsidRPr="00DD2D90">
        <w:rPr>
          <w:highlight w:val="green"/>
          <w:u w:val="single"/>
        </w:rPr>
        <w:t>productivity and</w:t>
      </w:r>
      <w:r w:rsidRPr="00DD2D90">
        <w:rPr>
          <w:u w:val="single"/>
        </w:rPr>
        <w:t xml:space="preserve"> spurring </w:t>
      </w:r>
      <w:r w:rsidRPr="00DD2D90">
        <w:rPr>
          <w:highlight w:val="green"/>
          <w:u w:val="single"/>
        </w:rPr>
        <w:t>investment</w:t>
      </w:r>
      <w:r w:rsidRPr="00DD2D90">
        <w:rPr>
          <w:u w:val="single"/>
        </w:rPr>
        <w:t>.</w:t>
      </w:r>
      <w:r w:rsidRPr="009C4A5A">
        <w:rPr>
          <w:sz w:val="16"/>
        </w:rPr>
        <w:t xml:space="preserve"> The research for this project began with a series of interviews and a national conference with leading U.S. economists to learn their views about the mechanisms through which income inequality and the strength of the middle class affect economic growth and economic stability. This paper summarizes what we have learned from these conversations, alongside our analysis of the economic research in the academic arena. We have identified four areas where literature points to ways that the strength of the middle class and the level of inequality affect economic growth and stability: </w:t>
      </w:r>
      <w:r w:rsidRPr="00DD2D90">
        <w:rPr>
          <w:u w:val="single"/>
        </w:rPr>
        <w:t xml:space="preserve">A </w:t>
      </w:r>
      <w:r w:rsidRPr="00DD2D90">
        <w:rPr>
          <w:highlight w:val="green"/>
          <w:u w:val="single"/>
        </w:rPr>
        <w:t>strong middle class promotes</w:t>
      </w:r>
      <w:r w:rsidRPr="00DD2D90">
        <w:rPr>
          <w:u w:val="single"/>
        </w:rPr>
        <w:t xml:space="preserve"> the development of </w:t>
      </w:r>
      <w:r w:rsidRPr="00DD2D90">
        <w:rPr>
          <w:highlight w:val="green"/>
          <w:u w:val="single"/>
        </w:rPr>
        <w:t>human capital</w:t>
      </w:r>
      <w:r w:rsidRPr="00DD2D90">
        <w:rPr>
          <w:u w:val="single"/>
        </w:rPr>
        <w:t xml:space="preserve"> and a well-educated population. A strong middle class creates a stable source of demand for goods and services. A strong middle class incubates the next generation of entrepreneurs. A strong middle class supports inclusive political and economic institutions, which underpin economic growth.</w:t>
      </w:r>
      <w:r w:rsidRPr="009C4A5A">
        <w:rPr>
          <w:sz w:val="16"/>
        </w:rPr>
        <w:t xml:space="preserve"> We detail the evidence for these four points in the main pages of our paper, but briefly we encapsulate the economic research here. </w:t>
      </w:r>
      <w:r w:rsidRPr="00DD2D90">
        <w:rPr>
          <w:u w:val="single"/>
        </w:rPr>
        <w:t>As we will demonstrate, the ways in which a strong middle class is important for economic growth are both interrelated and mutually reinforcing. A strong middle class promotes the development of human capital and a well-educated population Economists agree that human capital—knowledge, skills,</w:t>
      </w:r>
      <w:r w:rsidRPr="009C4A5A">
        <w:rPr>
          <w:sz w:val="16"/>
        </w:rPr>
        <w:t xml:space="preserve"> and the health to put those to work—is a key component of growth. </w:t>
      </w:r>
      <w:r w:rsidRPr="00DD2D90">
        <w:rPr>
          <w:highlight w:val="green"/>
          <w:u w:val="single"/>
        </w:rPr>
        <w:t>To be</w:t>
      </w:r>
      <w:r w:rsidRPr="00DD2D90">
        <w:rPr>
          <w:u w:val="single"/>
        </w:rPr>
        <w:t xml:space="preserve"> most </w:t>
      </w:r>
      <w:r w:rsidRPr="00DD2D90">
        <w:rPr>
          <w:highlight w:val="green"/>
          <w:u w:val="single"/>
        </w:rPr>
        <w:t>effective</w:t>
      </w:r>
      <w:r w:rsidRPr="00DD2D90">
        <w:rPr>
          <w:u w:val="single"/>
        </w:rPr>
        <w:t xml:space="preserve">, opportunities to build </w:t>
      </w:r>
      <w:r w:rsidRPr="00DD2D90">
        <w:rPr>
          <w:highlight w:val="green"/>
          <w:u w:val="single"/>
        </w:rPr>
        <w:t>human capital must be broadly available</w:t>
      </w:r>
      <w:r w:rsidRPr="00DD2D90">
        <w:rPr>
          <w:u w:val="single"/>
        </w:rPr>
        <w:t xml:space="preserve"> in the population.</w:t>
      </w:r>
      <w:r w:rsidRPr="009C4A5A">
        <w:rPr>
          <w:sz w:val="16"/>
        </w:rPr>
        <w:t xml:space="preserve"> For the nation to make the most of its human potential, a child from a low- or moderate-income background needs his or her talents and abilities to be nurtured and matched to the most suitable occupation. The evidence is fairly clear that inequality and </w:t>
      </w:r>
      <w:r w:rsidRPr="00DD2D90">
        <w:rPr>
          <w:u w:val="single"/>
        </w:rPr>
        <w:t xml:space="preserve">the </w:t>
      </w:r>
      <w:r w:rsidRPr="00DD2D90">
        <w:rPr>
          <w:highlight w:val="green"/>
          <w:u w:val="single"/>
        </w:rPr>
        <w:t>strength of the middle class have direct</w:t>
      </w:r>
      <w:r w:rsidRPr="00DD2D90">
        <w:rPr>
          <w:u w:val="single"/>
        </w:rPr>
        <w:t xml:space="preserve"> </w:t>
      </w:r>
      <w:r w:rsidRPr="00DD2D90">
        <w:rPr>
          <w:highlight w:val="green"/>
          <w:u w:val="single"/>
        </w:rPr>
        <w:t>effect</w:t>
      </w:r>
      <w:r w:rsidRPr="00DD2D90">
        <w:rPr>
          <w:u w:val="single"/>
        </w:rPr>
        <w:t xml:space="preserve">s </w:t>
      </w:r>
      <w:r w:rsidRPr="00DD2D90">
        <w:rPr>
          <w:highlight w:val="green"/>
          <w:u w:val="single"/>
        </w:rPr>
        <w:t>on</w:t>
      </w:r>
      <w:r w:rsidRPr="00DD2D90">
        <w:rPr>
          <w:u w:val="single"/>
        </w:rPr>
        <w:t xml:space="preserve"> access and use of </w:t>
      </w:r>
      <w:r w:rsidRPr="00DD2D90">
        <w:rPr>
          <w:highlight w:val="green"/>
          <w:u w:val="single"/>
        </w:rPr>
        <w:t>human capital</w:t>
      </w:r>
      <w:r w:rsidRPr="009C4A5A">
        <w:rPr>
          <w:sz w:val="16"/>
        </w:rPr>
        <w:t xml:space="preserve">: As the United States has grown more unequal in terms of income, there has been both a decrease in the rate of improvement in educational outcomes and these outcomes have become more unequal. The data point to the conclusion that human capital, and the higher incomes that go along with it, are increasingly passed from parents to offspring through social (not biological) channels. This means that individuals are being rewarded for privileges conveyed by their parents’ socioeconomic status, not just their productivity characteristics, which will pull U.S. economic growth down. The contribution of human capital to growth is not only about access to education: Individuals also must be able to make use of their skills, matching talent to appropriate occupations. If inequality stands in the way of those matches, then it is having a pernicious effect on our nation’s growth path. A strong middle class creates a stable source of demand for goods and services </w:t>
      </w:r>
      <w:r w:rsidRPr="00DD2D90">
        <w:rPr>
          <w:highlight w:val="green"/>
          <w:u w:val="single"/>
        </w:rPr>
        <w:t>A strong middle class gives certainty to</w:t>
      </w:r>
      <w:r w:rsidRPr="00DD2D90">
        <w:rPr>
          <w:u w:val="single"/>
        </w:rPr>
        <w:t xml:space="preserve"> business </w:t>
      </w:r>
      <w:r w:rsidRPr="00DD2D90">
        <w:rPr>
          <w:highlight w:val="green"/>
          <w:u w:val="single"/>
        </w:rPr>
        <w:t>investors that they will have a market</w:t>
      </w:r>
      <w:r w:rsidRPr="00DD2D90">
        <w:rPr>
          <w:u w:val="single"/>
        </w:rPr>
        <w:t xml:space="preserve"> for their goods and services.</w:t>
      </w:r>
      <w:r w:rsidRPr="009C4A5A">
        <w:rPr>
          <w:sz w:val="16"/>
        </w:rPr>
        <w:t xml:space="preserve"> Supply-side thinkers argue that light tax and regulatory policies will lead to high investment, employment, and economic growth. But many economists acknowledge that an </w:t>
      </w:r>
      <w:r w:rsidRPr="00DD2D90">
        <w:rPr>
          <w:u w:val="single"/>
        </w:rPr>
        <w:t>increase in supply does not automatically lead to an increase in aggregate demand. Rather, economies may have prolonged periods of unemployment and underutilized capital, which can be both the cause and the result of depressed and unstable demand.</w:t>
      </w:r>
      <w:r w:rsidRPr="009C4A5A">
        <w:rPr>
          <w:sz w:val="16"/>
        </w:rPr>
        <w:t xml:space="preserve"> If demand matters for economic growth, the question is then, how do high inequality and the strength of the middle class impact demand? Economists have developed a number of theories about how inequality affects demand: As more of the nation’s economic gains go to those at the top of the income distribution—and if those families have a lower propensity to consume—then this will pull down demand from potentially higher levels given more equitable distribution. Heightened inequality and a squeezed middle class leads families to either consume less, lowering demand, or put in place short-term coping strategies, such as borrowing more, which has long-term implications for growth and stability. </w:t>
      </w:r>
      <w:r w:rsidRPr="00DD2D90">
        <w:rPr>
          <w:highlight w:val="green"/>
          <w:u w:val="single"/>
        </w:rPr>
        <w:t>A strong middle class incubates</w:t>
      </w:r>
      <w:r w:rsidRPr="00DD2D90">
        <w:rPr>
          <w:u w:val="single"/>
        </w:rPr>
        <w:t xml:space="preserve"> the next generation of </w:t>
      </w:r>
      <w:r w:rsidRPr="00DD2D90">
        <w:rPr>
          <w:highlight w:val="green"/>
          <w:u w:val="single"/>
        </w:rPr>
        <w:t>entrepreneurs</w:t>
      </w:r>
      <w:r w:rsidRPr="009C4A5A">
        <w:rPr>
          <w:sz w:val="16"/>
        </w:rPr>
        <w:t xml:space="preserve"> Entrepreneurship is a matter of taking risks, and there are a variety of ways that </w:t>
      </w:r>
      <w:r w:rsidRPr="00DD2D90">
        <w:rPr>
          <w:highlight w:val="green"/>
          <w:u w:val="single"/>
        </w:rPr>
        <w:t>a strong middle class</w:t>
      </w:r>
      <w:r w:rsidRPr="00DD2D90">
        <w:rPr>
          <w:u w:val="single"/>
        </w:rPr>
        <w:t xml:space="preserve"> and less inequality </w:t>
      </w:r>
      <w:r w:rsidRPr="00DD2D90">
        <w:rPr>
          <w:highlight w:val="green"/>
          <w:u w:val="single"/>
        </w:rPr>
        <w:t>can create</w:t>
      </w:r>
      <w:r w:rsidRPr="00DD2D90">
        <w:rPr>
          <w:u w:val="single"/>
        </w:rPr>
        <w:t xml:space="preserve"> the kinds of </w:t>
      </w:r>
      <w:r w:rsidRPr="00DD2D90">
        <w:rPr>
          <w:highlight w:val="green"/>
          <w:u w:val="single"/>
        </w:rPr>
        <w:t>conditions that reduce</w:t>
      </w:r>
      <w:r w:rsidRPr="00DD2D90">
        <w:rPr>
          <w:u w:val="single"/>
        </w:rPr>
        <w:t xml:space="preserve"> the </w:t>
      </w:r>
      <w:r w:rsidRPr="00DD2D90">
        <w:rPr>
          <w:highlight w:val="green"/>
          <w:u w:val="single"/>
        </w:rPr>
        <w:t>risks of innovators</w:t>
      </w:r>
      <w:r w:rsidRPr="00DD2D90">
        <w:rPr>
          <w:u w:val="single"/>
        </w:rPr>
        <w:t xml:space="preserve"> and give them the skills to start up a business: </w:t>
      </w:r>
      <w:r w:rsidRPr="00DD2D90">
        <w:rPr>
          <w:highlight w:val="green"/>
          <w:u w:val="single"/>
        </w:rPr>
        <w:t>Middle-class families</w:t>
      </w:r>
      <w:r w:rsidRPr="00DD2D90">
        <w:rPr>
          <w:u w:val="single"/>
        </w:rPr>
        <w:t xml:space="preserve"> can </w:t>
      </w:r>
      <w:r w:rsidRPr="00DD2D90">
        <w:rPr>
          <w:highlight w:val="green"/>
          <w:u w:val="single"/>
        </w:rPr>
        <w:t>provide entrepreneurs with</w:t>
      </w:r>
      <w:r w:rsidRPr="00DD2D90">
        <w:rPr>
          <w:u w:val="single"/>
        </w:rPr>
        <w:t xml:space="preserve"> the financial security and </w:t>
      </w:r>
      <w:r w:rsidRPr="00DD2D90">
        <w:rPr>
          <w:highlight w:val="green"/>
          <w:u w:val="single"/>
        </w:rPr>
        <w:t>access to credit</w:t>
      </w:r>
      <w:r w:rsidRPr="00DD2D90">
        <w:rPr>
          <w:u w:val="single"/>
        </w:rPr>
        <w:t xml:space="preserve"> so they have the time to nurture their ideas and take the risk </w:t>
      </w:r>
      <w:r w:rsidRPr="00DD2D90">
        <w:rPr>
          <w:highlight w:val="green"/>
          <w:u w:val="single"/>
        </w:rPr>
        <w:t>to start a new business</w:t>
      </w:r>
      <w:r w:rsidRPr="00DD2D90">
        <w:rPr>
          <w:u w:val="single"/>
        </w:rPr>
        <w:t>.</w:t>
      </w:r>
      <w:r w:rsidRPr="009C4A5A">
        <w:rPr>
          <w:sz w:val="16"/>
        </w:rPr>
        <w:t xml:space="preserve"> An individual in a middle-class family is more likely than someone from a low-income background to have access to the kind of education that provides the training and skills necessary to start a business. As described in above, less inequality is associated with greater macroeconomic stability, which allows entrepreneurs to make informed investment decisions with greater confidence about economic conditions and the risks of starting a business. </w:t>
      </w:r>
      <w:r w:rsidRPr="00DD2D90">
        <w:rPr>
          <w:highlight w:val="green"/>
          <w:u w:val="single"/>
        </w:rPr>
        <w:t>A strong middle class supports</w:t>
      </w:r>
      <w:r w:rsidRPr="00DD2D90">
        <w:rPr>
          <w:u w:val="single"/>
        </w:rPr>
        <w:t xml:space="preserve"> inclusive political and </w:t>
      </w:r>
      <w:r w:rsidRPr="00DD2D90">
        <w:rPr>
          <w:highlight w:val="green"/>
          <w:u w:val="single"/>
        </w:rPr>
        <w:t>economic institutions, which underpin</w:t>
      </w:r>
      <w:r w:rsidRPr="00DD2D90">
        <w:rPr>
          <w:u w:val="single"/>
        </w:rPr>
        <w:t xml:space="preserve"> economic </w:t>
      </w:r>
      <w:r w:rsidRPr="00DD2D90">
        <w:rPr>
          <w:highlight w:val="green"/>
          <w:u w:val="single"/>
        </w:rPr>
        <w:t>growth</w:t>
      </w:r>
      <w:r w:rsidRPr="00DD2D90">
        <w:rPr>
          <w:u w:val="single"/>
        </w:rPr>
        <w:t xml:space="preserve"> This dynamic of a strong middle class boosts efficient and honest governance of an economy’s enterprises. In the U.S. context, less inequality and a stronger middle class support more inclusive political institutions </w:t>
      </w:r>
      <w:r w:rsidRPr="00DD2D90">
        <w:rPr>
          <w:highlight w:val="green"/>
          <w:u w:val="single"/>
        </w:rPr>
        <w:t>and steer politics away from</w:t>
      </w:r>
      <w:r w:rsidRPr="00DD2D90">
        <w:rPr>
          <w:u w:val="single"/>
        </w:rPr>
        <w:t xml:space="preserve"> only responding to an </w:t>
      </w:r>
      <w:r w:rsidRPr="00DD2D90">
        <w:rPr>
          <w:highlight w:val="green"/>
          <w:u w:val="single"/>
        </w:rPr>
        <w:t>economically powerful elite</w:t>
      </w:r>
      <w:r w:rsidRPr="00DD2D90">
        <w:rPr>
          <w:u w:val="single"/>
        </w:rPr>
        <w:t>.</w:t>
      </w:r>
      <w:r w:rsidRPr="009C4A5A">
        <w:rPr>
          <w:sz w:val="16"/>
        </w:rPr>
        <w:t xml:space="preserve"> This provides the foundation for more inclusive economic institutions, which, in turn, promote growth. This includes encouraging effective governance that supports broad-based economic growth through establishing secure property rights; investing in public goods and quasi-public goods, such as education, health, and infrastructure; and a level playing field, including transparent and accountable legal and regulatory structures. A strong middle class prevents the concentration and exploitation of power that led to entrenched privilege in aristocracies—the antithesis of dynamic societies throughout human history. </w:t>
      </w:r>
    </w:p>
    <w:p w14:paraId="60B764FC" w14:textId="77777777" w:rsidR="00F73458" w:rsidRPr="009C4A5A" w:rsidRDefault="00F73458" w:rsidP="00F73458">
      <w:pPr>
        <w:rPr>
          <w:sz w:val="16"/>
        </w:rPr>
      </w:pPr>
    </w:p>
    <w:p w14:paraId="76AA14D3" w14:textId="77777777" w:rsidR="00F73458" w:rsidRPr="009C4A5A" w:rsidRDefault="00F73458" w:rsidP="00F73458">
      <w:pPr>
        <w:rPr>
          <w:sz w:val="16"/>
        </w:rPr>
      </w:pPr>
    </w:p>
    <w:p w14:paraId="75EDD776" w14:textId="77777777" w:rsidR="00F73458" w:rsidRPr="009C4A5A" w:rsidRDefault="00F73458" w:rsidP="00F73458">
      <w:pPr>
        <w:rPr>
          <w:sz w:val="16"/>
        </w:rPr>
      </w:pPr>
    </w:p>
    <w:p w14:paraId="406FD0F7" w14:textId="77777777" w:rsidR="00F73458" w:rsidRPr="009C4A5A" w:rsidRDefault="00F73458" w:rsidP="00F73458">
      <w:pPr>
        <w:rPr>
          <w:sz w:val="16"/>
        </w:rPr>
      </w:pPr>
    </w:p>
    <w:p w14:paraId="1CB05A64" w14:textId="77777777" w:rsidR="00F73458" w:rsidRPr="009C4A5A" w:rsidRDefault="00F73458" w:rsidP="00F73458">
      <w:pPr>
        <w:rPr>
          <w:sz w:val="16"/>
        </w:rPr>
      </w:pPr>
    </w:p>
    <w:p w14:paraId="261D6502" w14:textId="77777777" w:rsidR="00F81E93" w:rsidRPr="009C4A5A" w:rsidRDefault="00F81E93">
      <w:pPr>
        <w:rPr>
          <w:rFonts w:eastAsiaTheme="majorEastAsia" w:cstheme="majorBidi"/>
          <w:b/>
          <w:iCs/>
          <w:sz w:val="16"/>
        </w:rPr>
      </w:pPr>
      <w:r w:rsidRPr="009C4A5A">
        <w:rPr>
          <w:sz w:val="16"/>
        </w:rPr>
        <w:br w:type="page"/>
      </w:r>
    </w:p>
    <w:p w14:paraId="61C5702E" w14:textId="2AE4C9C5" w:rsidR="007C1D60" w:rsidRPr="009C4A5A" w:rsidRDefault="007C1D60" w:rsidP="007C1D60">
      <w:pPr>
        <w:pStyle w:val="Heading4"/>
        <w:rPr>
          <w:szCs w:val="26"/>
        </w:rPr>
      </w:pPr>
      <w:r w:rsidRPr="009C4A5A">
        <w:rPr>
          <w:szCs w:val="26"/>
        </w:rPr>
        <w:t xml:space="preserve">Public healthcare would reduce the amount of healthcare professionals </w:t>
      </w:r>
    </w:p>
    <w:p w14:paraId="6E6D89AC" w14:textId="77777777" w:rsidR="007C1D60" w:rsidRPr="00DD2D90" w:rsidRDefault="007C1D60" w:rsidP="007C1D60">
      <w:r w:rsidRPr="009C4A5A">
        <w:rPr>
          <w:rStyle w:val="Style13ptBold"/>
          <w:szCs w:val="26"/>
        </w:rPr>
        <w:t>FTI Consulting 20</w:t>
      </w:r>
      <w:r w:rsidRPr="00DD2D90">
        <w:t xml:space="preserve"> [FTI Consulting, leading global expert firm, 1-2020 “Medicare for all and the future of America’s health care workforce”, FTI Consulting Report, https://americashealthcarefuture.org/wp-content/uploads/2020/01/FTI-Medicare-for-All-and-the-Future-of-Americas-Workforce.pdf]/Kankee</w:t>
      </w:r>
    </w:p>
    <w:p w14:paraId="7B477A13" w14:textId="77777777" w:rsidR="007C1D60" w:rsidRPr="00DD2D90" w:rsidRDefault="007C1D60" w:rsidP="007C1D60">
      <w:pPr>
        <w:rPr>
          <w:u w:val="single"/>
        </w:rPr>
      </w:pPr>
      <w:r w:rsidRPr="009C4A5A">
        <w:rPr>
          <w:sz w:val="16"/>
        </w:rPr>
        <w:t xml:space="preserve">As baby boomers age and the U.S. population grows, America’s health care workforce is ill-equipped to meet the health care needs of the population under the current system. </w:t>
      </w:r>
      <w:r w:rsidRPr="00DD2D90">
        <w:rPr>
          <w:u w:val="single"/>
        </w:rPr>
        <w:t xml:space="preserve">FTI Consulting’s </w:t>
      </w:r>
      <w:r w:rsidRPr="00DD2D90">
        <w:rPr>
          <w:b/>
          <w:bCs/>
          <w:highlight w:val="green"/>
          <w:u w:val="single"/>
        </w:rPr>
        <w:t>independent economic analysis</w:t>
      </w:r>
      <w:r w:rsidRPr="00DD2D90">
        <w:rPr>
          <w:highlight w:val="green"/>
          <w:u w:val="single"/>
        </w:rPr>
        <w:t xml:space="preserve"> indicates</w:t>
      </w:r>
      <w:r w:rsidRPr="00DD2D90">
        <w:rPr>
          <w:u w:val="single"/>
        </w:rPr>
        <w:t xml:space="preserve"> that proposals to implement a </w:t>
      </w:r>
      <w:r w:rsidRPr="00DD2D90">
        <w:rPr>
          <w:highlight w:val="green"/>
          <w:u w:val="single"/>
        </w:rPr>
        <w:t xml:space="preserve">Medicare for All </w:t>
      </w:r>
      <w:r w:rsidRPr="00DD2D90">
        <w:rPr>
          <w:u w:val="single"/>
        </w:rPr>
        <w:t xml:space="preserve">system, specifically one that relies upon Medicare payment levels, </w:t>
      </w:r>
      <w:r w:rsidRPr="00DD2D90">
        <w:rPr>
          <w:highlight w:val="green"/>
          <w:u w:val="single"/>
        </w:rPr>
        <w:t xml:space="preserve">threaten to </w:t>
      </w:r>
      <w:r w:rsidRPr="00DD2D90">
        <w:rPr>
          <w:b/>
          <w:bCs/>
          <w:highlight w:val="green"/>
          <w:u w:val="single"/>
        </w:rPr>
        <w:t>accelerate</w:t>
      </w:r>
      <w:r w:rsidRPr="00DD2D90">
        <w:rPr>
          <w:highlight w:val="green"/>
          <w:u w:val="single"/>
        </w:rPr>
        <w:t xml:space="preserve"> </w:t>
      </w:r>
      <w:r w:rsidRPr="00DD2D90">
        <w:rPr>
          <w:u w:val="single"/>
        </w:rPr>
        <w:t xml:space="preserve">the looming </w:t>
      </w:r>
      <w:r w:rsidRPr="00DD2D90">
        <w:rPr>
          <w:highlight w:val="green"/>
          <w:u w:val="single"/>
        </w:rPr>
        <w:t>workforce crisis</w:t>
      </w:r>
      <w:r w:rsidRPr="00DD2D90">
        <w:rPr>
          <w:u w:val="single"/>
        </w:rPr>
        <w:t>.</w:t>
      </w:r>
      <w:r w:rsidRPr="009C4A5A">
        <w:rPr>
          <w:sz w:val="16"/>
        </w:rPr>
        <w:t xml:space="preserve"> The resulting effects on access to care stem not from deliberate denials of care under a new system, but instead from the diminished capacity of the health care workforce to meet the needs of the population. </w:t>
      </w:r>
      <w:r w:rsidRPr="00DD2D90">
        <w:rPr>
          <w:u w:val="single"/>
        </w:rPr>
        <w:t xml:space="preserve">Already, </w:t>
      </w:r>
      <w:r w:rsidRPr="00DD2D90">
        <w:rPr>
          <w:highlight w:val="green"/>
          <w:u w:val="single"/>
        </w:rPr>
        <w:t>the U.S. is facing a health care workforce shortage</w:t>
      </w:r>
      <w:r w:rsidRPr="00DD2D90">
        <w:rPr>
          <w:u w:val="single"/>
        </w:rPr>
        <w:t xml:space="preserve"> that could reach 151,000 direct care workers¹ and 121,300 physicians by 2030.²</w:t>
      </w:r>
      <w:r w:rsidRPr="009C4A5A">
        <w:rPr>
          <w:sz w:val="16"/>
        </w:rPr>
        <w:t xml:space="preserve"> </w:t>
      </w:r>
      <w:r w:rsidRPr="00DD2D90">
        <w:rPr>
          <w:highlight w:val="green"/>
          <w:u w:val="single"/>
        </w:rPr>
        <w:t>While the</w:t>
      </w:r>
      <w:r w:rsidRPr="00DD2D90">
        <w:rPr>
          <w:u w:val="single"/>
        </w:rPr>
        <w:t xml:space="preserve"> underlying </w:t>
      </w:r>
      <w:r w:rsidRPr="00DD2D90">
        <w:rPr>
          <w:highlight w:val="green"/>
          <w:u w:val="single"/>
        </w:rPr>
        <w:t>causes</w:t>
      </w:r>
      <w:r w:rsidRPr="00DD2D90">
        <w:rPr>
          <w:u w:val="single"/>
        </w:rPr>
        <w:t xml:space="preserve"> of projected workforce shortages </w:t>
      </w:r>
      <w:r w:rsidRPr="00DD2D90">
        <w:rPr>
          <w:highlight w:val="green"/>
          <w:u w:val="single"/>
        </w:rPr>
        <w:t>are</w:t>
      </w:r>
      <w:r w:rsidRPr="00DD2D90">
        <w:rPr>
          <w:u w:val="single"/>
        </w:rPr>
        <w:t xml:space="preserve"> varied and complex, most are </w:t>
      </w:r>
      <w:r w:rsidRPr="00DD2D90">
        <w:rPr>
          <w:highlight w:val="green"/>
          <w:u w:val="single"/>
        </w:rPr>
        <w:t xml:space="preserve">tied directly </w:t>
      </w:r>
      <w:r w:rsidRPr="00DD2D90">
        <w:rPr>
          <w:b/>
          <w:bCs/>
          <w:highlight w:val="green"/>
          <w:u w:val="single"/>
        </w:rPr>
        <w:t>to low reimbursement</w:t>
      </w:r>
      <w:r w:rsidRPr="00DD2D90">
        <w:rPr>
          <w:u w:val="single"/>
        </w:rPr>
        <w:t xml:space="preserve"> rates and the resulting negative effects on </w:t>
      </w:r>
      <w:r w:rsidRPr="00DD2D90">
        <w:rPr>
          <w:b/>
          <w:bCs/>
          <w:u w:val="single"/>
        </w:rPr>
        <w:t>wages</w:t>
      </w:r>
      <w:r w:rsidRPr="00DD2D90">
        <w:rPr>
          <w:u w:val="single"/>
        </w:rPr>
        <w:t xml:space="preserve"> and staffing.</w:t>
      </w:r>
      <w:r w:rsidRPr="009C4A5A">
        <w:rPr>
          <w:sz w:val="16"/>
        </w:rPr>
        <w:t xml:space="preserve"> Particularly for rural and underserved communities, extending Medicare payment systems to a broader population could have a significant negative impact on the adequacy of the country’s health care workforce, access to care, and, ultimately, patient outcomes. Key Findings • </w:t>
      </w:r>
      <w:r w:rsidRPr="00DD2D90">
        <w:rPr>
          <w:highlight w:val="green"/>
          <w:u w:val="single"/>
        </w:rPr>
        <w:t>Medicare for All,</w:t>
      </w:r>
      <w:r w:rsidRPr="00DD2D90">
        <w:rPr>
          <w:u w:val="single"/>
        </w:rPr>
        <w:t xml:space="preserve"> when fully implemented, </w:t>
      </w:r>
      <w:r w:rsidRPr="00DD2D90">
        <w:rPr>
          <w:highlight w:val="green"/>
          <w:u w:val="single"/>
        </w:rPr>
        <w:t xml:space="preserve">could result in </w:t>
      </w:r>
      <w:r w:rsidRPr="00DD2D90">
        <w:rPr>
          <w:u w:val="single"/>
        </w:rPr>
        <w:t xml:space="preserve">a nationwide </w:t>
      </w:r>
      <w:r w:rsidRPr="00DD2D90">
        <w:rPr>
          <w:highlight w:val="green"/>
          <w:u w:val="single"/>
        </w:rPr>
        <w:t>loss of 44,693 physicians</w:t>
      </w:r>
      <w:r w:rsidRPr="00DD2D90">
        <w:rPr>
          <w:u w:val="single"/>
        </w:rPr>
        <w:t xml:space="preserve"> by 2050 relative to current projections.</w:t>
      </w:r>
      <w:r w:rsidRPr="009C4A5A">
        <w:rPr>
          <w:sz w:val="16"/>
        </w:rPr>
        <w:t xml:space="preserve"> • </w:t>
      </w:r>
      <w:r w:rsidRPr="00DD2D90">
        <w:rPr>
          <w:u w:val="single"/>
        </w:rPr>
        <w:t xml:space="preserve">By 2050, </w:t>
      </w:r>
      <w:r w:rsidRPr="00DD2D90">
        <w:rPr>
          <w:b/>
          <w:bCs/>
          <w:highlight w:val="green"/>
          <w:u w:val="single"/>
        </w:rPr>
        <w:t>urban and rural</w:t>
      </w:r>
      <w:r w:rsidRPr="00DD2D90">
        <w:rPr>
          <w:highlight w:val="green"/>
          <w:u w:val="single"/>
        </w:rPr>
        <w:t xml:space="preserve"> areas</w:t>
      </w:r>
      <w:r w:rsidRPr="00DD2D90">
        <w:rPr>
          <w:u w:val="single"/>
        </w:rPr>
        <w:t xml:space="preserve"> alike </w:t>
      </w:r>
      <w:r w:rsidRPr="00DD2D90">
        <w:rPr>
          <w:highlight w:val="green"/>
          <w:u w:val="single"/>
        </w:rPr>
        <w:t xml:space="preserve">could see a decrease of 5.4% in </w:t>
      </w:r>
      <w:r w:rsidRPr="00DD2D90">
        <w:rPr>
          <w:u w:val="single"/>
        </w:rPr>
        <w:t xml:space="preserve">the </w:t>
      </w:r>
      <w:r w:rsidRPr="00DD2D90">
        <w:rPr>
          <w:highlight w:val="green"/>
          <w:u w:val="single"/>
        </w:rPr>
        <w:t>supply</w:t>
      </w:r>
      <w:r w:rsidRPr="00DD2D90">
        <w:rPr>
          <w:u w:val="single"/>
        </w:rPr>
        <w:t xml:space="preserve"> of physicians.</w:t>
      </w:r>
      <w:r w:rsidRPr="009C4A5A">
        <w:rPr>
          <w:sz w:val="16"/>
        </w:rPr>
        <w:t xml:space="preserve"> • The impact of Medicare for All on the primary care workforce would be particularly acute, resulting in </w:t>
      </w:r>
      <w:r w:rsidRPr="00DD2D90">
        <w:rPr>
          <w:highlight w:val="green"/>
          <w:u w:val="single"/>
        </w:rPr>
        <w:t xml:space="preserve">a loss of </w:t>
      </w:r>
      <w:r w:rsidRPr="00DD2D90">
        <w:rPr>
          <w:b/>
          <w:bCs/>
          <w:highlight w:val="green"/>
          <w:u w:val="single"/>
        </w:rPr>
        <w:t>10,286 primary care physicians</w:t>
      </w:r>
      <w:r w:rsidRPr="00DD2D90">
        <w:rPr>
          <w:u w:val="single"/>
        </w:rPr>
        <w:t xml:space="preserve"> by 2050</w:t>
      </w:r>
      <w:r w:rsidRPr="009C4A5A">
        <w:rPr>
          <w:sz w:val="16"/>
        </w:rPr>
        <w:t xml:space="preserve">. • Shifting the entire U.S. population to Medicare would result in an estimated 16% cut to spending on patient care provided by physicians. • </w:t>
      </w:r>
      <w:r w:rsidRPr="00DD2D90">
        <w:rPr>
          <w:u w:val="single"/>
        </w:rPr>
        <w:t xml:space="preserve">Medicare for All’s </w:t>
      </w:r>
      <w:r w:rsidRPr="00DD2D90">
        <w:rPr>
          <w:highlight w:val="green"/>
          <w:u w:val="single"/>
        </w:rPr>
        <w:t xml:space="preserve">reimbursement cuts </w:t>
      </w:r>
      <w:r w:rsidRPr="00DD2D90">
        <w:rPr>
          <w:u w:val="single"/>
        </w:rPr>
        <w:t xml:space="preserve">would </w:t>
      </w:r>
      <w:r w:rsidRPr="00DD2D90">
        <w:rPr>
          <w:highlight w:val="green"/>
          <w:u w:val="single"/>
        </w:rPr>
        <w:t xml:space="preserve">result in </w:t>
      </w:r>
      <w:r w:rsidRPr="00DD2D90">
        <w:rPr>
          <w:b/>
          <w:bCs/>
          <w:highlight w:val="green"/>
          <w:u w:val="single"/>
        </w:rPr>
        <w:t>90% of hospitals</w:t>
      </w:r>
      <w:r w:rsidRPr="00DD2D90">
        <w:rPr>
          <w:u w:val="single"/>
        </w:rPr>
        <w:t xml:space="preserve"> across the country </w:t>
      </w:r>
      <w:r w:rsidRPr="00DD2D90">
        <w:rPr>
          <w:highlight w:val="green"/>
          <w:u w:val="single"/>
        </w:rPr>
        <w:t>running</w:t>
      </w:r>
      <w:r w:rsidRPr="00DD2D90">
        <w:rPr>
          <w:u w:val="single"/>
        </w:rPr>
        <w:t xml:space="preserve"> consistent </w:t>
      </w:r>
      <w:r w:rsidRPr="00DD2D90">
        <w:rPr>
          <w:highlight w:val="green"/>
          <w:u w:val="single"/>
        </w:rPr>
        <w:t>deficits, increasing</w:t>
      </w:r>
      <w:r w:rsidRPr="00DD2D90">
        <w:rPr>
          <w:u w:val="single"/>
        </w:rPr>
        <w:t xml:space="preserve"> the risk of </w:t>
      </w:r>
      <w:r w:rsidRPr="00DD2D90">
        <w:rPr>
          <w:b/>
          <w:bCs/>
          <w:u w:val="single"/>
        </w:rPr>
        <w:t xml:space="preserve">hospital </w:t>
      </w:r>
      <w:r w:rsidRPr="00DD2D90">
        <w:rPr>
          <w:b/>
          <w:bCs/>
          <w:highlight w:val="green"/>
          <w:u w:val="single"/>
        </w:rPr>
        <w:t>closures</w:t>
      </w:r>
      <w:r w:rsidRPr="00DD2D90">
        <w:rPr>
          <w:highlight w:val="green"/>
          <w:u w:val="single"/>
        </w:rPr>
        <w:t xml:space="preserve"> nationwide</w:t>
      </w:r>
      <w:r w:rsidRPr="00DD2D90">
        <w:rPr>
          <w:u w:val="single"/>
        </w:rPr>
        <w:t xml:space="preserve"> and negatively impacting the health care workforce.</w:t>
      </w:r>
      <w:r w:rsidRPr="009C4A5A">
        <w:rPr>
          <w:sz w:val="16"/>
        </w:rPr>
        <w:t xml:space="preserve"> • </w:t>
      </w:r>
      <w:r w:rsidRPr="00DD2D90">
        <w:rPr>
          <w:highlight w:val="green"/>
          <w:u w:val="single"/>
        </w:rPr>
        <w:t>The nursing workforce</w:t>
      </w:r>
      <w:r w:rsidRPr="009C4A5A">
        <w:rPr>
          <w:sz w:val="16"/>
        </w:rPr>
        <w:t xml:space="preserve">, already projected to reach shortage levels in seven states by 2030,³ </w:t>
      </w:r>
      <w:r w:rsidRPr="00DD2D90">
        <w:rPr>
          <w:highlight w:val="green"/>
          <w:u w:val="single"/>
        </w:rPr>
        <w:t xml:space="preserve">could see a reduction </w:t>
      </w:r>
      <w:r w:rsidRPr="00DD2D90">
        <w:rPr>
          <w:b/>
          <w:bCs/>
          <w:highlight w:val="green"/>
          <w:u w:val="single"/>
        </w:rPr>
        <w:t>of 1.2 million</w:t>
      </w:r>
      <w:r w:rsidRPr="00DD2D90">
        <w:rPr>
          <w:u w:val="single"/>
        </w:rPr>
        <w:t xml:space="preserve"> nationally by 2050 under Medicare for All.</w:t>
      </w:r>
      <w:r w:rsidRPr="009C4A5A">
        <w:rPr>
          <w:sz w:val="16"/>
        </w:rPr>
        <w:t xml:space="preserve"> OVERVIEW As the debate over Medicare for All and related policies comes into focus, it is important to consider the practical effects of such proposals on access to health care. The Affordable Care Act (ACA), enacted in 2010, extended coverage to nearly 20 million previously uninsured Americans4 through a combination of Medicaid expansion and the establishment of state health insurance exchanges. While the law has faced setbacks and health care affordability remains a top concern for many Americans, the ACA succeeded in expanding access to health care providers and services w hile preserving choice and competition in the health care marketplace. Policymakers must now decide whether to build upon the current model to expand access to quality, affordable coverage through improvements to the law, or to once again overhaul the nation’s health care system. </w:t>
      </w:r>
      <w:r w:rsidRPr="00DD2D90">
        <w:rPr>
          <w:u w:val="single"/>
        </w:rPr>
        <w:t xml:space="preserve">FTI Consulting’s analysis sought to quantify the potential effects of Medicare for All on access to care, as evidenced by its projected impact on the country’s health care workforce. </w:t>
      </w:r>
      <w:r w:rsidRPr="00DD2D90">
        <w:rPr>
          <w:highlight w:val="green"/>
          <w:u w:val="single"/>
        </w:rPr>
        <w:t>By 2030, one in five Americans is projected to be over 65</w:t>
      </w:r>
      <w:r w:rsidRPr="00DD2D90">
        <w:rPr>
          <w:u w:val="single"/>
        </w:rPr>
        <w:t xml:space="preserve">,5 </w:t>
      </w:r>
      <w:r w:rsidRPr="00DD2D90">
        <w:rPr>
          <w:b/>
          <w:bCs/>
          <w:u w:val="single"/>
        </w:rPr>
        <w:t xml:space="preserve">dramatically </w:t>
      </w:r>
      <w:r w:rsidRPr="00DD2D90">
        <w:rPr>
          <w:b/>
          <w:bCs/>
          <w:highlight w:val="green"/>
          <w:u w:val="single"/>
        </w:rPr>
        <w:t>increasing demand</w:t>
      </w:r>
      <w:r w:rsidRPr="00DD2D90">
        <w:rPr>
          <w:highlight w:val="green"/>
          <w:u w:val="single"/>
        </w:rPr>
        <w:t xml:space="preserve"> on</w:t>
      </w:r>
      <w:r w:rsidRPr="00DD2D90">
        <w:rPr>
          <w:u w:val="single"/>
        </w:rPr>
        <w:t xml:space="preserve"> the nation’s </w:t>
      </w:r>
      <w:r w:rsidRPr="00DD2D90">
        <w:rPr>
          <w:highlight w:val="green"/>
          <w:u w:val="single"/>
        </w:rPr>
        <w:t>health care</w:t>
      </w:r>
      <w:r w:rsidRPr="00DD2D90">
        <w:rPr>
          <w:u w:val="single"/>
        </w:rPr>
        <w:t xml:space="preserve"> system.</w:t>
      </w:r>
      <w:r w:rsidRPr="009C4A5A">
        <w:rPr>
          <w:sz w:val="16"/>
        </w:rPr>
        <w:t xml:space="preserve"> The ACA took steps to begin to address the projected shortfall of physicians and other health care providers through investments in education, training and payment incentives. </w:t>
      </w:r>
      <w:r w:rsidRPr="00DD2D90">
        <w:rPr>
          <w:highlight w:val="green"/>
          <w:u w:val="single"/>
        </w:rPr>
        <w:t>Despite</w:t>
      </w:r>
      <w:r w:rsidRPr="00DD2D90">
        <w:rPr>
          <w:u w:val="single"/>
        </w:rPr>
        <w:t xml:space="preserve"> this </w:t>
      </w:r>
      <w:r w:rsidRPr="00DD2D90">
        <w:rPr>
          <w:highlight w:val="green"/>
          <w:u w:val="single"/>
        </w:rPr>
        <w:t>progress, the U.S. faces a shortage of</w:t>
      </w:r>
      <w:r w:rsidRPr="00DD2D90">
        <w:rPr>
          <w:u w:val="single"/>
        </w:rPr>
        <w:t xml:space="preserve"> up to </w:t>
      </w:r>
      <w:r w:rsidRPr="00DD2D90">
        <w:rPr>
          <w:b/>
          <w:bCs/>
          <w:highlight w:val="green"/>
          <w:u w:val="single"/>
        </w:rPr>
        <w:t>122,000</w:t>
      </w:r>
      <w:r w:rsidRPr="00DD2D90">
        <w:rPr>
          <w:highlight w:val="green"/>
          <w:u w:val="single"/>
        </w:rPr>
        <w:t xml:space="preserve"> physicians </w:t>
      </w:r>
      <w:r w:rsidRPr="00DD2D90">
        <w:rPr>
          <w:u w:val="single"/>
        </w:rPr>
        <w:t>by 2030, including both primary care (between 21,100 and 55,200) and specialty care (between 24,800 and 65,800), according to the Association of American Medical Colleges.</w:t>
      </w:r>
      <w:r w:rsidRPr="009C4A5A">
        <w:rPr>
          <w:sz w:val="16"/>
        </w:rPr>
        <w:t xml:space="preserve">6 While nonphysician providers such as nurses and home health aides may be strategically deployed to increase capacity in some areas, these professions are not immune to shortages. The Health Resources and Services Administration (HRSA) predicts that, if the current level of health care is maintained, seven U.S. states will face shortages of registered nurses in 2030, four of which will exceed 10,000.7 </w:t>
      </w:r>
      <w:r w:rsidRPr="00DD2D90">
        <w:rPr>
          <w:highlight w:val="green"/>
          <w:u w:val="single"/>
        </w:rPr>
        <w:t xml:space="preserve">Additional </w:t>
      </w:r>
      <w:r w:rsidRPr="00DD2D90">
        <w:rPr>
          <w:b/>
          <w:bCs/>
          <w:u w:val="single"/>
        </w:rPr>
        <w:t xml:space="preserve">financial </w:t>
      </w:r>
      <w:r w:rsidRPr="00DD2D90">
        <w:rPr>
          <w:b/>
          <w:bCs/>
          <w:highlight w:val="green"/>
          <w:u w:val="single"/>
        </w:rPr>
        <w:t>pressures</w:t>
      </w:r>
      <w:r w:rsidRPr="00DD2D90">
        <w:rPr>
          <w:u w:val="single"/>
        </w:rPr>
        <w:t xml:space="preserve"> </w:t>
      </w:r>
      <w:r w:rsidRPr="00DD2D90">
        <w:rPr>
          <w:highlight w:val="green"/>
          <w:u w:val="single"/>
        </w:rPr>
        <w:t>on</w:t>
      </w:r>
      <w:r w:rsidRPr="00DD2D90">
        <w:rPr>
          <w:u w:val="single"/>
        </w:rPr>
        <w:t xml:space="preserve"> the </w:t>
      </w:r>
      <w:r w:rsidRPr="00DD2D90">
        <w:rPr>
          <w:highlight w:val="green"/>
          <w:u w:val="single"/>
        </w:rPr>
        <w:t>institutions</w:t>
      </w:r>
      <w:r w:rsidRPr="00DD2D90">
        <w:rPr>
          <w:u w:val="single"/>
        </w:rPr>
        <w:t xml:space="preserve"> that employ these workers could </w:t>
      </w:r>
      <w:r w:rsidRPr="00DD2D90">
        <w:rPr>
          <w:highlight w:val="green"/>
          <w:u w:val="single"/>
        </w:rPr>
        <w:t xml:space="preserve">result in </w:t>
      </w:r>
      <w:r w:rsidRPr="00DD2D90">
        <w:rPr>
          <w:b/>
          <w:bCs/>
          <w:highlight w:val="green"/>
          <w:u w:val="single"/>
        </w:rPr>
        <w:t>diminished wages</w:t>
      </w:r>
      <w:r w:rsidRPr="00DD2D90">
        <w:rPr>
          <w:highlight w:val="green"/>
          <w:u w:val="single"/>
        </w:rPr>
        <w:t>, exacerbating</w:t>
      </w:r>
      <w:r w:rsidRPr="00DD2D90">
        <w:rPr>
          <w:u w:val="single"/>
        </w:rPr>
        <w:t xml:space="preserve"> and spreading </w:t>
      </w:r>
      <w:r w:rsidRPr="00DD2D90">
        <w:rPr>
          <w:highlight w:val="green"/>
          <w:u w:val="single"/>
        </w:rPr>
        <w:t>shortages</w:t>
      </w:r>
      <w:r w:rsidRPr="00DD2D90">
        <w:rPr>
          <w:u w:val="single"/>
        </w:rPr>
        <w:t xml:space="preserve"> across the country</w:t>
      </w:r>
      <w:r w:rsidRPr="00DD2D90">
        <w:rPr>
          <w:highlight w:val="green"/>
          <w:u w:val="single"/>
        </w:rPr>
        <w:t>. Medicare for All</w:t>
      </w:r>
      <w:r w:rsidRPr="009C4A5A">
        <w:rPr>
          <w:sz w:val="16"/>
        </w:rPr>
        <w:t xml:space="preserve"> and related proposals seek to expand access to health care by extending Medicare coverage – or similar public programs based on Medicare – to the general population. These programs </w:t>
      </w:r>
      <w:r w:rsidRPr="00DD2D90">
        <w:rPr>
          <w:highlight w:val="green"/>
          <w:u w:val="single"/>
        </w:rPr>
        <w:t>would be sustained</w:t>
      </w:r>
      <w:r w:rsidRPr="00DD2D90">
        <w:rPr>
          <w:u w:val="single"/>
        </w:rPr>
        <w:t xml:space="preserve"> at least in part </w:t>
      </w:r>
      <w:r w:rsidRPr="00DD2D90">
        <w:rPr>
          <w:highlight w:val="green"/>
          <w:u w:val="single"/>
        </w:rPr>
        <w:t xml:space="preserve">by </w:t>
      </w:r>
      <w:r w:rsidRPr="00DD2D90">
        <w:rPr>
          <w:b/>
          <w:bCs/>
          <w:highlight w:val="green"/>
          <w:u w:val="single"/>
        </w:rPr>
        <w:t>rate setting</w:t>
      </w:r>
      <w:r w:rsidRPr="00DD2D90">
        <w:rPr>
          <w:highlight w:val="green"/>
          <w:u w:val="single"/>
        </w:rPr>
        <w:t xml:space="preserve">, tying </w:t>
      </w:r>
      <w:r w:rsidRPr="00DD2D90">
        <w:rPr>
          <w:u w:val="single"/>
        </w:rPr>
        <w:t xml:space="preserve">provider </w:t>
      </w:r>
      <w:r w:rsidRPr="00DD2D90">
        <w:rPr>
          <w:highlight w:val="green"/>
          <w:u w:val="single"/>
        </w:rPr>
        <w:t>reimbursements</w:t>
      </w:r>
      <w:r w:rsidRPr="00DD2D90">
        <w:rPr>
          <w:u w:val="single"/>
        </w:rPr>
        <w:t xml:space="preserve"> throughout the health care system </w:t>
      </w:r>
      <w:r w:rsidRPr="00DD2D90">
        <w:rPr>
          <w:highlight w:val="green"/>
          <w:u w:val="single"/>
        </w:rPr>
        <w:t xml:space="preserve">to Medicare payment rates. </w:t>
      </w:r>
      <w:r w:rsidRPr="00DD2D90">
        <w:rPr>
          <w:u w:val="single"/>
        </w:rPr>
        <w:t xml:space="preserve">Such </w:t>
      </w:r>
      <w:r w:rsidRPr="00DD2D90">
        <w:rPr>
          <w:highlight w:val="green"/>
          <w:u w:val="single"/>
        </w:rPr>
        <w:t>policies do not take into account</w:t>
      </w:r>
      <w:r w:rsidRPr="00DD2D90">
        <w:rPr>
          <w:u w:val="single"/>
        </w:rPr>
        <w:t xml:space="preserve"> the </w:t>
      </w:r>
      <w:r w:rsidRPr="00DD2D90">
        <w:rPr>
          <w:b/>
          <w:bCs/>
          <w:highlight w:val="green"/>
          <w:u w:val="single"/>
        </w:rPr>
        <w:t>cross-subsidization</w:t>
      </w:r>
      <w:r w:rsidRPr="00DD2D90">
        <w:rPr>
          <w:u w:val="single"/>
        </w:rPr>
        <w:t xml:space="preserve"> of health care that occurs in the U.S., </w:t>
      </w:r>
      <w:r w:rsidRPr="00DD2D90">
        <w:rPr>
          <w:highlight w:val="green"/>
          <w:u w:val="single"/>
        </w:rPr>
        <w:t xml:space="preserve">with the </w:t>
      </w:r>
      <w:r w:rsidRPr="00DD2D90">
        <w:rPr>
          <w:b/>
          <w:bCs/>
          <w:highlight w:val="green"/>
          <w:u w:val="single"/>
        </w:rPr>
        <w:t>privately insured population</w:t>
      </w:r>
      <w:r w:rsidRPr="00DD2D90">
        <w:rPr>
          <w:u w:val="single"/>
        </w:rPr>
        <w:t xml:space="preserve"> effectively </w:t>
      </w:r>
      <w:r w:rsidRPr="00DD2D90">
        <w:rPr>
          <w:highlight w:val="green"/>
          <w:u w:val="single"/>
        </w:rPr>
        <w:t>enabling access to</w:t>
      </w:r>
      <w:r w:rsidRPr="00DD2D90">
        <w:rPr>
          <w:u w:val="single"/>
        </w:rPr>
        <w:t xml:space="preserve"> providers for those covered by </w:t>
      </w:r>
      <w:r w:rsidRPr="00DD2D90">
        <w:rPr>
          <w:highlight w:val="green"/>
          <w:u w:val="single"/>
        </w:rPr>
        <w:t>public programs</w:t>
      </w:r>
      <w:r w:rsidRPr="00DD2D90">
        <w:rPr>
          <w:u w:val="single"/>
        </w:rPr>
        <w:t xml:space="preserve"> in which reimbursements fail to cover the cost of care.</w:t>
      </w:r>
      <w:r w:rsidRPr="009C4A5A">
        <w:rPr>
          <w:sz w:val="16"/>
        </w:rPr>
        <w:t xml:space="preserve"> According to the Centers for Medicare and Medicaid Services (CMS) Office of the Actuary, </w:t>
      </w:r>
      <w:r w:rsidRPr="00DD2D90">
        <w:rPr>
          <w:highlight w:val="green"/>
          <w:u w:val="single"/>
        </w:rPr>
        <w:t>Medicare payment rates</w:t>
      </w:r>
      <w:r w:rsidRPr="00DD2D90">
        <w:rPr>
          <w:u w:val="single"/>
        </w:rPr>
        <w:t xml:space="preserve"> for inpatient hospital services </w:t>
      </w:r>
      <w:r w:rsidRPr="00DD2D90">
        <w:rPr>
          <w:highlight w:val="green"/>
          <w:u w:val="single"/>
        </w:rPr>
        <w:t xml:space="preserve">were just 60% of private </w:t>
      </w:r>
      <w:r w:rsidRPr="00DD2D90">
        <w:rPr>
          <w:u w:val="single"/>
        </w:rPr>
        <w:t xml:space="preserve">insurance in 2017, while </w:t>
      </w:r>
      <w:r w:rsidRPr="00DD2D90">
        <w:rPr>
          <w:highlight w:val="green"/>
          <w:u w:val="single"/>
        </w:rPr>
        <w:t xml:space="preserve">physician payment </w:t>
      </w:r>
      <w:r w:rsidRPr="00DD2D90">
        <w:rPr>
          <w:u w:val="single"/>
        </w:rPr>
        <w:t xml:space="preserve">rates under Medicare </w:t>
      </w:r>
      <w:r w:rsidRPr="00DD2D90">
        <w:rPr>
          <w:highlight w:val="green"/>
          <w:u w:val="single"/>
        </w:rPr>
        <w:t>were</w:t>
      </w:r>
      <w:r w:rsidRPr="00DD2D90">
        <w:rPr>
          <w:u w:val="single"/>
        </w:rPr>
        <w:t xml:space="preserve"> roughly </w:t>
      </w:r>
      <w:r w:rsidRPr="00DD2D90">
        <w:rPr>
          <w:b/>
          <w:bCs/>
          <w:highlight w:val="green"/>
          <w:u w:val="single"/>
        </w:rPr>
        <w:t>75% of private</w:t>
      </w:r>
      <w:r w:rsidRPr="00DD2D90">
        <w:rPr>
          <w:highlight w:val="green"/>
          <w:u w:val="single"/>
        </w:rPr>
        <w:t xml:space="preserve"> </w:t>
      </w:r>
      <w:r w:rsidRPr="00DD2D90">
        <w:rPr>
          <w:u w:val="single"/>
        </w:rPr>
        <w:t xml:space="preserve">insurance </w:t>
      </w:r>
      <w:r w:rsidRPr="00DD2D90">
        <w:rPr>
          <w:highlight w:val="green"/>
          <w:u w:val="single"/>
        </w:rPr>
        <w:t xml:space="preserve">rates, a </w:t>
      </w:r>
      <w:r w:rsidRPr="00DD2D90">
        <w:rPr>
          <w:b/>
          <w:bCs/>
          <w:highlight w:val="green"/>
          <w:u w:val="single"/>
        </w:rPr>
        <w:t>delta predicted to grow</w:t>
      </w:r>
      <w:r w:rsidRPr="00DD2D90">
        <w:rPr>
          <w:u w:val="single"/>
        </w:rPr>
        <w:t xml:space="preserve"> substantially in future years.</w:t>
      </w:r>
      <w:r w:rsidRPr="009C4A5A">
        <w:rPr>
          <w:sz w:val="16"/>
        </w:rPr>
        <w:t>8 Already, the insufficiency of Medicare payment rates is taking a toll on America’s health care workforce and access to care.9</w:t>
      </w:r>
      <w:r w:rsidRPr="00DD2D90">
        <w:rPr>
          <w:u w:val="single"/>
        </w:rPr>
        <w:t xml:space="preserve"> In 2017, a study published by the American Hospital Association found that </w:t>
      </w:r>
      <w:r w:rsidRPr="00DD2D90">
        <w:rPr>
          <w:highlight w:val="green"/>
          <w:u w:val="single"/>
        </w:rPr>
        <w:t xml:space="preserve">Medicare reimburses </w:t>
      </w:r>
      <w:r w:rsidRPr="00DD2D90">
        <w:rPr>
          <w:b/>
          <w:bCs/>
          <w:u w:val="single"/>
        </w:rPr>
        <w:t xml:space="preserve">just </w:t>
      </w:r>
      <w:r w:rsidRPr="00DD2D90">
        <w:rPr>
          <w:b/>
          <w:bCs/>
          <w:highlight w:val="green"/>
          <w:u w:val="single"/>
        </w:rPr>
        <w:t>87 cents for every dollar</w:t>
      </w:r>
      <w:r w:rsidRPr="00DD2D90">
        <w:rPr>
          <w:highlight w:val="green"/>
          <w:u w:val="single"/>
        </w:rPr>
        <w:t xml:space="preserve"> spent </w:t>
      </w:r>
      <w:r w:rsidRPr="00DD2D90">
        <w:rPr>
          <w:u w:val="single"/>
        </w:rPr>
        <w:t>on patient care.</w:t>
      </w:r>
      <w:r w:rsidRPr="009C4A5A">
        <w:rPr>
          <w:sz w:val="16"/>
        </w:rPr>
        <w:t xml:space="preserve"> Many physicians now limit the number of Medicare beneficiaries they will see or no longer accept new Medicare patients.10 </w:t>
      </w:r>
      <w:r w:rsidRPr="00DD2D90">
        <w:rPr>
          <w:u w:val="single"/>
        </w:rPr>
        <w:t xml:space="preserve">FTI Consulting finds that </w:t>
      </w:r>
      <w:r w:rsidRPr="00DD2D90">
        <w:rPr>
          <w:highlight w:val="green"/>
          <w:u w:val="single"/>
        </w:rPr>
        <w:t xml:space="preserve">by extending </w:t>
      </w:r>
      <w:r w:rsidRPr="00DD2D90">
        <w:rPr>
          <w:u w:val="single"/>
        </w:rPr>
        <w:t xml:space="preserve">Medicare </w:t>
      </w:r>
      <w:r w:rsidRPr="00DD2D90">
        <w:rPr>
          <w:highlight w:val="green"/>
          <w:u w:val="single"/>
        </w:rPr>
        <w:t>reimbursement policies</w:t>
      </w:r>
      <w:r w:rsidRPr="00DD2D90">
        <w:rPr>
          <w:u w:val="single"/>
        </w:rPr>
        <w:t xml:space="preserve"> to a much wider population of health care consumers, </w:t>
      </w:r>
      <w:r w:rsidRPr="00DD2D90">
        <w:rPr>
          <w:highlight w:val="green"/>
          <w:u w:val="single"/>
        </w:rPr>
        <w:t xml:space="preserve">Medicare for All would result in </w:t>
      </w:r>
      <w:r w:rsidRPr="00DD2D90">
        <w:rPr>
          <w:b/>
          <w:bCs/>
          <w:highlight w:val="green"/>
          <w:u w:val="single"/>
        </w:rPr>
        <w:t>fewer graduates</w:t>
      </w:r>
      <w:r w:rsidRPr="00DD2D90">
        <w:rPr>
          <w:highlight w:val="green"/>
          <w:u w:val="single"/>
        </w:rPr>
        <w:t xml:space="preserve"> entering the</w:t>
      </w:r>
      <w:r w:rsidRPr="00DD2D90">
        <w:rPr>
          <w:u w:val="single"/>
        </w:rPr>
        <w:t xml:space="preserve"> health care </w:t>
      </w:r>
      <w:r w:rsidRPr="00DD2D90">
        <w:rPr>
          <w:highlight w:val="green"/>
          <w:u w:val="single"/>
        </w:rPr>
        <w:t xml:space="preserve">workforce, </w:t>
      </w:r>
      <w:r w:rsidRPr="00DD2D90">
        <w:rPr>
          <w:b/>
          <w:bCs/>
          <w:highlight w:val="green"/>
          <w:u w:val="single"/>
        </w:rPr>
        <w:t>early retirements</w:t>
      </w:r>
      <w:r w:rsidRPr="00DD2D90">
        <w:rPr>
          <w:u w:val="single"/>
        </w:rPr>
        <w:t xml:space="preserve"> of existing providers, </w:t>
      </w:r>
      <w:r w:rsidRPr="00DD2D90">
        <w:rPr>
          <w:highlight w:val="green"/>
          <w:u w:val="single"/>
        </w:rPr>
        <w:t xml:space="preserve">and </w:t>
      </w:r>
      <w:r w:rsidRPr="00DD2D90">
        <w:rPr>
          <w:b/>
          <w:bCs/>
          <w:highlight w:val="green"/>
          <w:u w:val="single"/>
        </w:rPr>
        <w:t>hospital closures</w:t>
      </w:r>
      <w:r w:rsidRPr="00DD2D90">
        <w:rPr>
          <w:u w:val="single"/>
        </w:rPr>
        <w:t>, all of which would have a direct negative impact on access to care for American consumers.</w:t>
      </w:r>
      <w:r w:rsidRPr="009C4A5A">
        <w:rPr>
          <w:sz w:val="16"/>
        </w:rPr>
        <w:t>11 Fast Facts: The Physician Workforce Crisis • As the U.S. population ages, demand for physician services is increasing and the existing workforce will not be sufficient to meet treatment needs. (American Journal of Managed Care) • The U.S. has a projected shortage of primary care and specialty physicians that could reach 121,900 by 2032. (Association of American Medical Colleges) • The number of primary care physicians leaving the workforce outpaces the number entering, while more physicians are choosing to work part-time. (Journal of Internal Medicine) • Twenty percent of America’s population resides in rural areas with low physician to patient ratios. This means that 60 million people in rural communities are affected by physician shortages. (Becker’s Hospital Review) MEDICARE FOR ALL: THE PHYSICIAN WORKFORCE FTI Consulting examined the impact of Medicare for All on the supply of physicians, finding a significant increase in the projected shortage of both specialists and primary care physicians in future years as a result of rate setting and subsequent reductions in provider income.</w:t>
      </w:r>
      <w:r w:rsidRPr="00DD2D90">
        <w:rPr>
          <w:u w:val="single"/>
        </w:rPr>
        <w:t xml:space="preserve"> American </w:t>
      </w:r>
      <w:r w:rsidRPr="00DD2D90">
        <w:rPr>
          <w:highlight w:val="green"/>
          <w:u w:val="single"/>
        </w:rPr>
        <w:t>physicians enter the workforce with</w:t>
      </w:r>
      <w:r w:rsidRPr="00DD2D90">
        <w:rPr>
          <w:u w:val="single"/>
        </w:rPr>
        <w:t xml:space="preserve"> an average </w:t>
      </w:r>
      <w:r w:rsidRPr="00DD2D90">
        <w:rPr>
          <w:highlight w:val="green"/>
          <w:u w:val="single"/>
        </w:rPr>
        <w:t xml:space="preserve">student debt </w:t>
      </w:r>
      <w:r w:rsidRPr="00DD2D90">
        <w:rPr>
          <w:u w:val="single"/>
        </w:rPr>
        <w:t xml:space="preserve">load </w:t>
      </w:r>
      <w:r w:rsidRPr="00DD2D90">
        <w:rPr>
          <w:highlight w:val="green"/>
          <w:u w:val="single"/>
        </w:rPr>
        <w:t>of nearly $200,000</w:t>
      </w:r>
      <w:r w:rsidRPr="00DD2D90">
        <w:rPr>
          <w:u w:val="single"/>
        </w:rPr>
        <w:t xml:space="preserve">,12 a factor </w:t>
      </w:r>
      <w:r w:rsidRPr="00DD2D90">
        <w:rPr>
          <w:highlight w:val="green"/>
          <w:u w:val="single"/>
        </w:rPr>
        <w:t>that may drive graduates away from</w:t>
      </w:r>
      <w:r w:rsidRPr="00DD2D90">
        <w:rPr>
          <w:u w:val="single"/>
        </w:rPr>
        <w:t xml:space="preserve"> specialties with particularly low Medicare reimbursements, such as </w:t>
      </w:r>
      <w:r w:rsidRPr="00DD2D90">
        <w:rPr>
          <w:highlight w:val="green"/>
          <w:u w:val="single"/>
        </w:rPr>
        <w:t>primary care</w:t>
      </w:r>
      <w:r w:rsidRPr="00DD2D90">
        <w:rPr>
          <w:u w:val="single"/>
        </w:rPr>
        <w:t>, under the current system.</w:t>
      </w:r>
      <w:r w:rsidRPr="009C4A5A">
        <w:rPr>
          <w:sz w:val="16"/>
        </w:rPr>
        <w:t xml:space="preserve"> For experienced physicians, declining Medicare reimbursements can play a role in the decision to retire early.13 </w:t>
      </w:r>
      <w:r w:rsidRPr="00DD2D90">
        <w:rPr>
          <w:u w:val="single"/>
        </w:rPr>
        <w:t xml:space="preserve">FTI’s </w:t>
      </w:r>
      <w:r w:rsidRPr="00DD2D90">
        <w:rPr>
          <w:highlight w:val="green"/>
          <w:u w:val="single"/>
        </w:rPr>
        <w:t xml:space="preserve">analysis demonstrates </w:t>
      </w:r>
      <w:r w:rsidRPr="00DD2D90">
        <w:rPr>
          <w:u w:val="single"/>
        </w:rPr>
        <w:t xml:space="preserve">these </w:t>
      </w:r>
      <w:r w:rsidRPr="00DD2D90">
        <w:rPr>
          <w:highlight w:val="green"/>
          <w:u w:val="single"/>
        </w:rPr>
        <w:t>factors would be amplified under Medicare for All, discouraging the next generation from entering</w:t>
      </w:r>
      <w:r w:rsidRPr="00DD2D90">
        <w:rPr>
          <w:u w:val="single"/>
        </w:rPr>
        <w:t xml:space="preserve"> the practice of </w:t>
      </w:r>
      <w:r w:rsidRPr="00DD2D90">
        <w:rPr>
          <w:highlight w:val="green"/>
          <w:u w:val="single"/>
        </w:rPr>
        <w:t>medicine</w:t>
      </w:r>
      <w:r w:rsidRPr="00DD2D90">
        <w:rPr>
          <w:u w:val="single"/>
        </w:rPr>
        <w:t xml:space="preserve"> and prompting a greater number of older physicians to retire early.</w:t>
      </w:r>
      <w:r w:rsidRPr="009C4A5A">
        <w:rPr>
          <w:sz w:val="16"/>
        </w:rPr>
        <w:t xml:space="preserve"> IMPACT ON PHYSICIAN SUPPLY On average, Medicare reimbursements for physicians were about 75% of private insurance reimbursements for the same service in 201714 and are expected to fall to approximately 63% by 2025.15 </w:t>
      </w:r>
      <w:r w:rsidRPr="00DD2D90">
        <w:rPr>
          <w:highlight w:val="green"/>
          <w:u w:val="single"/>
        </w:rPr>
        <w:t>Because Medicare for All’s</w:t>
      </w:r>
      <w:r w:rsidRPr="00DD2D90">
        <w:rPr>
          <w:u w:val="single"/>
        </w:rPr>
        <w:t xml:space="preserve"> most significant </w:t>
      </w:r>
      <w:r w:rsidRPr="00DD2D90">
        <w:rPr>
          <w:highlight w:val="green"/>
          <w:u w:val="single"/>
        </w:rPr>
        <w:t>effect would be to replace private coverage</w:t>
      </w:r>
      <w:r w:rsidRPr="00DD2D90">
        <w:rPr>
          <w:u w:val="single"/>
        </w:rPr>
        <w:t xml:space="preserve">, total </w:t>
      </w:r>
      <w:r w:rsidRPr="00DD2D90">
        <w:rPr>
          <w:highlight w:val="green"/>
          <w:u w:val="single"/>
        </w:rPr>
        <w:t>reimbursements paid to physicians would</w:t>
      </w:r>
      <w:r w:rsidRPr="00DD2D90">
        <w:rPr>
          <w:u w:val="single"/>
        </w:rPr>
        <w:t xml:space="preserve"> also </w:t>
      </w:r>
      <w:r w:rsidRPr="00DD2D90">
        <w:rPr>
          <w:highlight w:val="green"/>
          <w:u w:val="single"/>
        </w:rPr>
        <w:t>fall</w:t>
      </w:r>
      <w:r w:rsidRPr="00DD2D90">
        <w:rPr>
          <w:u w:val="single"/>
        </w:rPr>
        <w:t xml:space="preserve"> absent changes to the law. FTI estimates that, under Medicare for All, </w:t>
      </w:r>
      <w:r w:rsidRPr="00DD2D90">
        <w:rPr>
          <w:highlight w:val="green"/>
          <w:u w:val="single"/>
        </w:rPr>
        <w:t>the U.S. could expect a loss of more than</w:t>
      </w:r>
      <w:r w:rsidRPr="00DD2D90">
        <w:rPr>
          <w:u w:val="single"/>
        </w:rPr>
        <w:t xml:space="preserve"> 0.13 physicians per 1,000 people once the policy is fully implemented. The current ratio in the United States is 2.46 physicians per 1,000, which translates to a nationwide loss of </w:t>
      </w:r>
      <w:r w:rsidRPr="00DD2D90">
        <w:rPr>
          <w:highlight w:val="green"/>
          <w:u w:val="single"/>
        </w:rPr>
        <w:t xml:space="preserve">44,693 physicians </w:t>
      </w:r>
      <w:r w:rsidRPr="00DD2D90">
        <w:rPr>
          <w:u w:val="single"/>
        </w:rPr>
        <w:t>by 2050, compared to the projected number of physicians under current law.16</w:t>
      </w:r>
    </w:p>
    <w:p w14:paraId="00232F01" w14:textId="77777777" w:rsidR="007C1D60" w:rsidRPr="009C4A5A" w:rsidRDefault="007C1D60" w:rsidP="007C1D60">
      <w:pPr>
        <w:rPr>
          <w:sz w:val="16"/>
        </w:rPr>
      </w:pPr>
    </w:p>
    <w:p w14:paraId="525A8786" w14:textId="77777777" w:rsidR="00B0589A" w:rsidRPr="009C4A5A" w:rsidRDefault="00B0589A">
      <w:pPr>
        <w:rPr>
          <w:rFonts w:eastAsiaTheme="majorEastAsia" w:cstheme="majorBidi"/>
          <w:b/>
          <w:iCs/>
          <w:sz w:val="16"/>
        </w:rPr>
      </w:pPr>
      <w:r w:rsidRPr="009C4A5A">
        <w:rPr>
          <w:sz w:val="16"/>
        </w:rPr>
        <w:br w:type="page"/>
      </w:r>
    </w:p>
    <w:p w14:paraId="46589761" w14:textId="236E1CFB" w:rsidR="007C1D60" w:rsidRPr="009C4A5A" w:rsidRDefault="007C1D60" w:rsidP="007C1D60">
      <w:pPr>
        <w:pStyle w:val="Heading4"/>
        <w:rPr>
          <w:szCs w:val="26"/>
        </w:rPr>
      </w:pPr>
      <w:r w:rsidRPr="009C4A5A">
        <w:rPr>
          <w:szCs w:val="26"/>
        </w:rPr>
        <w:t>Public healthcare will cause panic-sell of insurance stocks, specifically under this administration – proven by sale after Medicare price drop</w:t>
      </w:r>
    </w:p>
    <w:p w14:paraId="4FB42BCB" w14:textId="77777777" w:rsidR="007C1D60" w:rsidRPr="00DD2D90" w:rsidRDefault="007C1D60" w:rsidP="007C1D60">
      <w:pPr>
        <w:rPr>
          <w:b/>
          <w:bCs/>
        </w:rPr>
      </w:pPr>
      <w:r w:rsidRPr="009C4A5A">
        <w:rPr>
          <w:rStyle w:val="Style13ptBold"/>
          <w:szCs w:val="26"/>
        </w:rPr>
        <w:t>Pernell and Adegbesan 26</w:t>
      </w:r>
      <w:r w:rsidRPr="00DD2D90">
        <w:rPr>
          <w:rStyle w:val="Style13ptBold"/>
          <w:sz w:val="22"/>
        </w:rPr>
        <w:t xml:space="preserve"> </w:t>
      </w:r>
      <w:r w:rsidRPr="00DD2D90">
        <w:t>[Avalon Pernell, B.A. Journalism, and Angel Adegbesan, M.A. Journalism, 1-27-2026, “Medicare Rates Shock Sparks $100 Billion Selloff in Insurers”, Bloomberg, https://www.bloomberg.com/news/articles/2026-01-27/medicare-rates-shock-spurs-90-billion-rout-in-insurance-stocks]/Kankee</w:t>
      </w:r>
    </w:p>
    <w:p w14:paraId="4E00F67E" w14:textId="77777777" w:rsidR="007C1D60" w:rsidRPr="009C4A5A" w:rsidRDefault="007C1D60" w:rsidP="007C1D60">
      <w:pPr>
        <w:rPr>
          <w:sz w:val="16"/>
        </w:rPr>
      </w:pPr>
      <w:r w:rsidRPr="00DD2D90">
        <w:rPr>
          <w:u w:val="single"/>
        </w:rPr>
        <w:t xml:space="preserve">The </w:t>
      </w:r>
      <w:r w:rsidRPr="00DD2D90">
        <w:rPr>
          <w:highlight w:val="green"/>
          <w:u w:val="single"/>
        </w:rPr>
        <w:t>selloff in health insurers</w:t>
      </w:r>
      <w:r w:rsidRPr="00DD2D90">
        <w:rPr>
          <w:u w:val="single"/>
        </w:rPr>
        <w:t xml:space="preserve"> that provide Medicare Advantage plans </w:t>
      </w:r>
      <w:r w:rsidRPr="00DD2D90">
        <w:rPr>
          <w:highlight w:val="green"/>
          <w:u w:val="single"/>
        </w:rPr>
        <w:t xml:space="preserve">wiped out </w:t>
      </w:r>
      <w:r w:rsidRPr="00DD2D90">
        <w:rPr>
          <w:u w:val="single"/>
        </w:rPr>
        <w:t xml:space="preserve">nearly </w:t>
      </w:r>
      <w:r w:rsidRPr="00DD2D90">
        <w:rPr>
          <w:highlight w:val="green"/>
          <w:u w:val="single"/>
        </w:rPr>
        <w:t>$100 billion in</w:t>
      </w:r>
      <w:r w:rsidRPr="00DD2D90">
        <w:rPr>
          <w:u w:val="single"/>
        </w:rPr>
        <w:t xml:space="preserve"> stock-market </w:t>
      </w:r>
      <w:r w:rsidRPr="00DD2D90">
        <w:rPr>
          <w:highlight w:val="green"/>
          <w:u w:val="single"/>
        </w:rPr>
        <w:t>value</w:t>
      </w:r>
      <w:r w:rsidRPr="00DD2D90">
        <w:rPr>
          <w:u w:val="single"/>
        </w:rPr>
        <w:t xml:space="preserve"> on Tuesday, even </w:t>
      </w:r>
      <w:r w:rsidRPr="00DD2D90">
        <w:rPr>
          <w:highlight w:val="green"/>
          <w:u w:val="single"/>
        </w:rPr>
        <w:t xml:space="preserve">as US equities climbed </w:t>
      </w:r>
      <w:r w:rsidRPr="00DD2D90">
        <w:rPr>
          <w:u w:val="single"/>
        </w:rPr>
        <w:t xml:space="preserve">to fresh highs. </w:t>
      </w:r>
      <w:r w:rsidRPr="00DD2D90">
        <w:rPr>
          <w:highlight w:val="green"/>
          <w:u w:val="single"/>
        </w:rPr>
        <w:t>Shares of</w:t>
      </w:r>
      <w:r w:rsidRPr="00DD2D90">
        <w:rPr>
          <w:u w:val="single"/>
        </w:rPr>
        <w:t xml:space="preserve"> managed-</w:t>
      </w:r>
      <w:r w:rsidRPr="00DD2D90">
        <w:rPr>
          <w:highlight w:val="green"/>
          <w:u w:val="single"/>
        </w:rPr>
        <w:t>care companies sank, with U</w:t>
      </w:r>
      <w:r w:rsidRPr="00DD2D90">
        <w:rPr>
          <w:u w:val="single"/>
        </w:rPr>
        <w:t>nited</w:t>
      </w:r>
      <w:r w:rsidRPr="00DD2D90">
        <w:rPr>
          <w:highlight w:val="green"/>
          <w:u w:val="single"/>
        </w:rPr>
        <w:t>H</w:t>
      </w:r>
      <w:r w:rsidRPr="00DD2D90">
        <w:rPr>
          <w:u w:val="single"/>
        </w:rPr>
        <w:t xml:space="preserve">ealth </w:t>
      </w:r>
      <w:r w:rsidRPr="00DD2D90">
        <w:rPr>
          <w:highlight w:val="green"/>
          <w:u w:val="single"/>
        </w:rPr>
        <w:t>G</w:t>
      </w:r>
      <w:r w:rsidRPr="00DD2D90">
        <w:rPr>
          <w:u w:val="single"/>
        </w:rPr>
        <w:t xml:space="preserve">roup Inc. and Humana Inc. </w:t>
      </w:r>
      <w:r w:rsidRPr="00DD2D90">
        <w:rPr>
          <w:highlight w:val="green"/>
          <w:u w:val="single"/>
        </w:rPr>
        <w:t xml:space="preserve">leading </w:t>
      </w:r>
      <w:r w:rsidRPr="00DD2D90">
        <w:rPr>
          <w:u w:val="single"/>
        </w:rPr>
        <w:t xml:space="preserve">the losses </w:t>
      </w:r>
      <w:r w:rsidRPr="00DD2D90">
        <w:rPr>
          <w:highlight w:val="green"/>
          <w:u w:val="single"/>
        </w:rPr>
        <w:t>by tumbling</w:t>
      </w:r>
      <w:r w:rsidRPr="00DD2D90">
        <w:rPr>
          <w:u w:val="single"/>
        </w:rPr>
        <w:t xml:space="preserve"> about </w:t>
      </w:r>
      <w:r w:rsidRPr="00DD2D90">
        <w:rPr>
          <w:highlight w:val="green"/>
          <w:u w:val="single"/>
        </w:rPr>
        <w:t>20%, after the</w:t>
      </w:r>
      <w:r w:rsidRPr="00DD2D90">
        <w:rPr>
          <w:u w:val="single"/>
        </w:rPr>
        <w:t xml:space="preserve"> Trump </w:t>
      </w:r>
      <w:r w:rsidRPr="00DD2D90">
        <w:rPr>
          <w:highlight w:val="green"/>
          <w:u w:val="single"/>
        </w:rPr>
        <w:t>admin</w:t>
      </w:r>
      <w:r w:rsidRPr="00DD2D90">
        <w:rPr>
          <w:u w:val="single"/>
        </w:rPr>
        <w:t xml:space="preserve">istration </w:t>
      </w:r>
      <w:r w:rsidRPr="00DD2D90">
        <w:rPr>
          <w:highlight w:val="green"/>
          <w:u w:val="single"/>
        </w:rPr>
        <w:t xml:space="preserve">proposed holding </w:t>
      </w:r>
      <w:r w:rsidRPr="00DD2D90">
        <w:rPr>
          <w:u w:val="single"/>
        </w:rPr>
        <w:t xml:space="preserve">payment </w:t>
      </w:r>
      <w:r w:rsidRPr="00DD2D90">
        <w:rPr>
          <w:highlight w:val="green"/>
          <w:u w:val="single"/>
        </w:rPr>
        <w:t>rates flat</w:t>
      </w:r>
      <w:r w:rsidRPr="009C4A5A">
        <w:rPr>
          <w:sz w:val="16"/>
        </w:rPr>
        <w:t xml:space="preserve"> next year and UnitedHealth forecast that revenue in 2026 will fall for the first time in more than three decades. CVS Health Corp. and Elevance Health Inc. fell more than 12%. And a gauge of the group, the S&amp;P Composite 1500 Managed Care Index, tumbled 18% to its lowest level since August. </w:t>
      </w:r>
      <w:r w:rsidRPr="00DD2D90">
        <w:rPr>
          <w:u w:val="single"/>
        </w:rPr>
        <w:t>The rout was the latest blow to investors who had been betting on a rebound in the insurance sector following last year’s stumble.</w:t>
      </w:r>
      <w:r w:rsidRPr="009C4A5A">
        <w:rPr>
          <w:sz w:val="16"/>
        </w:rPr>
        <w:t xml:space="preserve"> Tuesday’s declines cut roughly $100 billion from the market values of seven big health-insurance companies, with more than $60 billion of that from UnitedHealth. CVS Health and Elevance both erased more than $12 billion each. “The recovery trade we now believe will pause for a while,” Mizuho’s Jared Holz wrote in a note to clients. </w:t>
      </w:r>
      <w:r w:rsidRPr="00DD2D90">
        <w:rPr>
          <w:u w:val="single"/>
        </w:rPr>
        <w:t>“</w:t>
      </w:r>
      <w:r w:rsidRPr="00DD2D90">
        <w:rPr>
          <w:highlight w:val="green"/>
          <w:u w:val="single"/>
        </w:rPr>
        <w:t>This</w:t>
      </w:r>
      <w:r w:rsidRPr="00DD2D90">
        <w:rPr>
          <w:u w:val="single"/>
        </w:rPr>
        <w:t xml:space="preserve"> clearly </w:t>
      </w:r>
      <w:r w:rsidRPr="00DD2D90">
        <w:rPr>
          <w:highlight w:val="green"/>
          <w:u w:val="single"/>
        </w:rPr>
        <w:t>changes the calculus around</w:t>
      </w:r>
      <w:r w:rsidRPr="00DD2D90">
        <w:rPr>
          <w:u w:val="single"/>
        </w:rPr>
        <w:t xml:space="preserve"> the </w:t>
      </w:r>
      <w:r w:rsidRPr="00DD2D90">
        <w:rPr>
          <w:highlight w:val="green"/>
          <w:u w:val="single"/>
        </w:rPr>
        <w:t>earnings</w:t>
      </w:r>
      <w:r w:rsidRPr="00DD2D90">
        <w:rPr>
          <w:u w:val="single"/>
        </w:rPr>
        <w:t xml:space="preserve"> ramp for UNH and the peer group </w:t>
      </w:r>
      <w:r w:rsidRPr="00DD2D90">
        <w:rPr>
          <w:highlight w:val="green"/>
          <w:u w:val="single"/>
        </w:rPr>
        <w:t>and could force the industry to</w:t>
      </w:r>
      <w:r w:rsidRPr="00DD2D90">
        <w:rPr>
          <w:u w:val="single"/>
        </w:rPr>
        <w:t xml:space="preserve"> (continue to) </w:t>
      </w:r>
      <w:r w:rsidRPr="00DD2D90">
        <w:rPr>
          <w:highlight w:val="green"/>
          <w:u w:val="single"/>
        </w:rPr>
        <w:t>reduce benefits to</w:t>
      </w:r>
      <w:r w:rsidRPr="00DD2D90">
        <w:rPr>
          <w:u w:val="single"/>
        </w:rPr>
        <w:t xml:space="preserve"> better </w:t>
      </w:r>
      <w:r w:rsidRPr="00DD2D90">
        <w:rPr>
          <w:highlight w:val="green"/>
          <w:u w:val="single"/>
        </w:rPr>
        <w:t>match revenue</w:t>
      </w:r>
      <w:r w:rsidRPr="00DD2D90">
        <w:rPr>
          <w:u w:val="single"/>
        </w:rPr>
        <w:t xml:space="preserve">.” The </w:t>
      </w:r>
      <w:r w:rsidRPr="00DD2D90">
        <w:rPr>
          <w:highlight w:val="green"/>
          <w:u w:val="single"/>
        </w:rPr>
        <w:t>losses came after the</w:t>
      </w:r>
      <w:r w:rsidRPr="00DD2D90">
        <w:rPr>
          <w:u w:val="single"/>
        </w:rPr>
        <w:t xml:space="preserve"> US </w:t>
      </w:r>
      <w:r w:rsidRPr="00DD2D90">
        <w:rPr>
          <w:highlight w:val="green"/>
          <w:u w:val="single"/>
        </w:rPr>
        <w:t>government</w:t>
      </w:r>
      <w:r w:rsidRPr="00DD2D90">
        <w:rPr>
          <w:u w:val="single"/>
        </w:rPr>
        <w:t xml:space="preserve"> late Monday </w:t>
      </w:r>
      <w:r w:rsidRPr="00DD2D90">
        <w:rPr>
          <w:highlight w:val="green"/>
          <w:u w:val="single"/>
        </w:rPr>
        <w:t>proposed holding payments to</w:t>
      </w:r>
      <w:r w:rsidRPr="00DD2D90">
        <w:rPr>
          <w:u w:val="single"/>
        </w:rPr>
        <w:t xml:space="preserve"> private </w:t>
      </w:r>
      <w:r w:rsidRPr="00DD2D90">
        <w:rPr>
          <w:highlight w:val="green"/>
          <w:u w:val="single"/>
        </w:rPr>
        <w:t>Medicare plans flat</w:t>
      </w:r>
      <w:r w:rsidRPr="00DD2D90">
        <w:rPr>
          <w:u w:val="single"/>
        </w:rPr>
        <w:t xml:space="preserve"> next year, </w:t>
      </w:r>
      <w:r w:rsidRPr="00DD2D90">
        <w:rPr>
          <w:highlight w:val="green"/>
          <w:u w:val="single"/>
        </w:rPr>
        <w:t>instead of enacting the 6% increase investors were anticipating</w:t>
      </w:r>
      <w:r w:rsidRPr="00DD2D90">
        <w:rPr>
          <w:u w:val="single"/>
        </w:rPr>
        <w:t>.</w:t>
      </w:r>
      <w:r w:rsidRPr="009C4A5A">
        <w:rPr>
          <w:sz w:val="16"/>
        </w:rPr>
        <w:t xml:space="preserve"> Then early Tuesday UnitedHealth gave an annual revenue forecast that fell short of analysts’ expectations and said it expects shrinking enrollment across all its major segments — commercial health plans, Medicare and Medicaid. </w:t>
      </w:r>
      <w:r w:rsidRPr="00DD2D90">
        <w:rPr>
          <w:highlight w:val="green"/>
          <w:u w:val="single"/>
        </w:rPr>
        <w:t>The</w:t>
      </w:r>
      <w:r w:rsidRPr="00DD2D90">
        <w:rPr>
          <w:u w:val="single"/>
        </w:rPr>
        <w:t xml:space="preserve"> Medicare </w:t>
      </w:r>
      <w:r w:rsidRPr="00DD2D90">
        <w:rPr>
          <w:highlight w:val="green"/>
          <w:u w:val="single"/>
        </w:rPr>
        <w:t>proposal marked another surprise</w:t>
      </w:r>
      <w:r w:rsidRPr="00DD2D90">
        <w:rPr>
          <w:u w:val="single"/>
        </w:rPr>
        <w:t xml:space="preserve"> coming </w:t>
      </w:r>
      <w:r w:rsidRPr="00DD2D90">
        <w:rPr>
          <w:highlight w:val="green"/>
          <w:u w:val="single"/>
        </w:rPr>
        <w:t>from Trump</w:t>
      </w:r>
      <w:r w:rsidRPr="00DD2D90">
        <w:rPr>
          <w:u w:val="single"/>
        </w:rPr>
        <w:t xml:space="preserve">’s second administration, </w:t>
      </w:r>
      <w:r w:rsidRPr="00DD2D90">
        <w:rPr>
          <w:highlight w:val="green"/>
          <w:u w:val="single"/>
        </w:rPr>
        <w:t>which investors</w:t>
      </w:r>
      <w:r w:rsidRPr="00DD2D90">
        <w:rPr>
          <w:u w:val="single"/>
        </w:rPr>
        <w:t xml:space="preserve"> had </w:t>
      </w:r>
      <w:r w:rsidRPr="00DD2D90">
        <w:rPr>
          <w:highlight w:val="green"/>
          <w:u w:val="single"/>
        </w:rPr>
        <w:t>previously anticipated would be</w:t>
      </w:r>
      <w:r w:rsidRPr="00DD2D90">
        <w:rPr>
          <w:u w:val="single"/>
        </w:rPr>
        <w:t xml:space="preserve"> more </w:t>
      </w:r>
      <w:r w:rsidRPr="00DD2D90">
        <w:rPr>
          <w:highlight w:val="green"/>
          <w:u w:val="single"/>
        </w:rPr>
        <w:t>favorable for health insurers with private</w:t>
      </w:r>
      <w:r w:rsidRPr="00DD2D90">
        <w:rPr>
          <w:u w:val="single"/>
        </w:rPr>
        <w:t xml:space="preserve"> Medicare </w:t>
      </w:r>
      <w:r w:rsidRPr="00DD2D90">
        <w:rPr>
          <w:highlight w:val="green"/>
          <w:u w:val="single"/>
        </w:rPr>
        <w:t>plans</w:t>
      </w:r>
      <w:r w:rsidRPr="00DD2D90">
        <w:rPr>
          <w:u w:val="single"/>
        </w:rPr>
        <w:t>.</w:t>
      </w:r>
      <w:r w:rsidRPr="009C4A5A">
        <w:rPr>
          <w:sz w:val="16"/>
        </w:rPr>
        <w:t xml:space="preserve"> “The administration is not as friendly to Medicare Advantage as the industry and investors thought prior to last night’s notice,” said Kevin Gade, a portfolio manager at Bahl &amp; Gaynor.</w:t>
      </w:r>
    </w:p>
    <w:p w14:paraId="11E22CB7" w14:textId="77777777" w:rsidR="00B0589A" w:rsidRPr="009C4A5A" w:rsidRDefault="00B0589A">
      <w:pPr>
        <w:rPr>
          <w:rFonts w:eastAsiaTheme="majorEastAsia" w:cstheme="majorBidi"/>
          <w:b/>
          <w:iCs/>
          <w:sz w:val="16"/>
        </w:rPr>
      </w:pPr>
      <w:r w:rsidRPr="009C4A5A">
        <w:rPr>
          <w:sz w:val="16"/>
        </w:rPr>
        <w:br w:type="page"/>
      </w:r>
    </w:p>
    <w:p w14:paraId="762C3362" w14:textId="760DFE50" w:rsidR="007C1D60" w:rsidRPr="009C4A5A" w:rsidRDefault="007C1D60" w:rsidP="007C1D60">
      <w:pPr>
        <w:pStyle w:val="Heading4"/>
        <w:rPr>
          <w:szCs w:val="26"/>
        </w:rPr>
      </w:pPr>
      <w:r w:rsidRPr="009C4A5A">
        <w:rPr>
          <w:szCs w:val="26"/>
        </w:rPr>
        <w:t xml:space="preserve">Private insurance is a cornerstone of the US economy </w:t>
      </w:r>
    </w:p>
    <w:p w14:paraId="08FC5E3D" w14:textId="2D8A076E" w:rsidR="007C1D60" w:rsidRPr="00DD2D90" w:rsidRDefault="007C1D60" w:rsidP="007C1D60">
      <w:r w:rsidRPr="009C4A5A">
        <w:rPr>
          <w:rStyle w:val="Style13ptBold"/>
          <w:szCs w:val="26"/>
        </w:rPr>
        <w:t>James and Argyris 25</w:t>
      </w:r>
      <w:r w:rsidRPr="00DD2D90">
        <w:rPr>
          <w:rStyle w:val="Style13ptBold"/>
          <w:sz w:val="22"/>
        </w:rPr>
        <w:t xml:space="preserve"> </w:t>
      </w:r>
      <w:r w:rsidRPr="00DD2D90">
        <w:t>[Michael James, B.A. Cambridge, and Alexander Argyris, LL.M Cornell, 3-2025, “Insurance and Private Markets: A Mutually Beneficial Relationship”, Cleary Gottlieb, https://content.clearygottlieb.com/private-funds-bulletin/insurance-and-private-markets-a-mutually-beneficial-relationship/index.html]/Kankee</w:t>
      </w:r>
    </w:p>
    <w:p w14:paraId="54B7F278" w14:textId="77777777" w:rsidR="007C1D60" w:rsidRPr="009C4A5A" w:rsidRDefault="007C1D60" w:rsidP="007C1D60">
      <w:pPr>
        <w:rPr>
          <w:sz w:val="16"/>
        </w:rPr>
      </w:pPr>
      <w:r w:rsidRPr="00DD2D90">
        <w:rPr>
          <w:u w:val="single"/>
        </w:rPr>
        <w:t xml:space="preserve">A recent survey conducted by Mercer and Oliver Wyman found that almost </w:t>
      </w:r>
      <w:r w:rsidRPr="00DD2D90">
        <w:rPr>
          <w:highlight w:val="green"/>
          <w:u w:val="single"/>
        </w:rPr>
        <w:t>three-quarters of insurance companies</w:t>
      </w:r>
      <w:r w:rsidRPr="00DD2D90">
        <w:rPr>
          <w:u w:val="single"/>
        </w:rPr>
        <w:t xml:space="preserve"> currently </w:t>
      </w:r>
      <w:r w:rsidRPr="00DD2D90">
        <w:rPr>
          <w:highlight w:val="green"/>
          <w:u w:val="single"/>
        </w:rPr>
        <w:t>invest in private markets</w:t>
      </w:r>
      <w:r w:rsidRPr="009C4A5A">
        <w:rPr>
          <w:sz w:val="16"/>
        </w:rPr>
        <w:t xml:space="preserve">. There are no signs of that appetite slowing. </w:t>
      </w:r>
      <w:r w:rsidRPr="00DD2D90">
        <w:rPr>
          <w:highlight w:val="green"/>
          <w:u w:val="single"/>
        </w:rPr>
        <w:t>A survey of</w:t>
      </w:r>
      <w:r w:rsidRPr="00DD2D90">
        <w:rPr>
          <w:u w:val="single"/>
        </w:rPr>
        <w:t xml:space="preserve"> 410 </w:t>
      </w:r>
      <w:r w:rsidRPr="00DD2D90">
        <w:rPr>
          <w:highlight w:val="green"/>
          <w:u w:val="single"/>
        </w:rPr>
        <w:t>insurance companies representing</w:t>
      </w:r>
      <w:r w:rsidRPr="00DD2D90">
        <w:rPr>
          <w:u w:val="single"/>
        </w:rPr>
        <w:t xml:space="preserve"> nearly </w:t>
      </w:r>
      <w:r w:rsidRPr="00DD2D90">
        <w:rPr>
          <w:b/>
          <w:bCs/>
          <w:highlight w:val="green"/>
          <w:u w:val="single"/>
        </w:rPr>
        <w:t>$27tn in assets under management</w:t>
      </w:r>
      <w:r w:rsidRPr="00DD2D90">
        <w:rPr>
          <w:u w:val="single"/>
        </w:rPr>
        <w:t xml:space="preserve">, conducted by BlackRock in October last year, </w:t>
      </w:r>
      <w:r w:rsidRPr="00DD2D90">
        <w:rPr>
          <w:highlight w:val="green"/>
          <w:u w:val="single"/>
        </w:rPr>
        <w:t>found that</w:t>
      </w:r>
      <w:r w:rsidRPr="00DD2D90">
        <w:rPr>
          <w:u w:val="single"/>
        </w:rPr>
        <w:t xml:space="preserve"> an overwhelming </w:t>
      </w:r>
      <w:r w:rsidRPr="00DD2D90">
        <w:rPr>
          <w:highlight w:val="green"/>
          <w:u w:val="single"/>
        </w:rPr>
        <w:t>91%</w:t>
      </w:r>
      <w:r w:rsidRPr="00DD2D90">
        <w:rPr>
          <w:u w:val="single"/>
        </w:rPr>
        <w:t xml:space="preserve"> of insurance investors </w:t>
      </w:r>
      <w:r w:rsidRPr="00DD2D90">
        <w:rPr>
          <w:b/>
          <w:bCs/>
          <w:highlight w:val="green"/>
          <w:u w:val="single"/>
        </w:rPr>
        <w:t>plan to increase</w:t>
      </w:r>
      <w:r w:rsidRPr="00DD2D90">
        <w:rPr>
          <w:highlight w:val="green"/>
          <w:u w:val="single"/>
        </w:rPr>
        <w:t xml:space="preserve"> </w:t>
      </w:r>
      <w:r w:rsidRPr="00DD2D90">
        <w:rPr>
          <w:u w:val="single"/>
        </w:rPr>
        <w:t xml:space="preserve">their </w:t>
      </w:r>
      <w:r w:rsidRPr="00DD2D90">
        <w:rPr>
          <w:highlight w:val="green"/>
          <w:u w:val="single"/>
        </w:rPr>
        <w:t>allocations to private markets</w:t>
      </w:r>
      <w:r w:rsidRPr="00DD2D90">
        <w:rPr>
          <w:u w:val="single"/>
        </w:rPr>
        <w:t xml:space="preserve"> over the next two years1.</w:t>
      </w:r>
      <w:r w:rsidRPr="009C4A5A">
        <w:rPr>
          <w:sz w:val="16"/>
        </w:rPr>
        <w:t xml:space="preserve"> Diversification and the opportunity to invest in new asset classes were cited as the primary motivations for accessing private markets. However, respondents to both surveys also highlighted the need to meet climate targets and other ESG-related objectives as key drivers. </w:t>
      </w:r>
      <w:r w:rsidRPr="00DD2D90">
        <w:rPr>
          <w:highlight w:val="green"/>
          <w:u w:val="single"/>
        </w:rPr>
        <w:t>Private equity and</w:t>
      </w:r>
      <w:r w:rsidRPr="00DD2D90">
        <w:rPr>
          <w:u w:val="single"/>
        </w:rPr>
        <w:t xml:space="preserve"> private </w:t>
      </w:r>
      <w:r w:rsidRPr="00DD2D90">
        <w:rPr>
          <w:highlight w:val="green"/>
          <w:u w:val="single"/>
        </w:rPr>
        <w:t>credit</w:t>
      </w:r>
      <w:r w:rsidRPr="00DD2D90">
        <w:rPr>
          <w:u w:val="single"/>
        </w:rPr>
        <w:t xml:space="preserve"> in particular </w:t>
      </w:r>
      <w:r w:rsidRPr="00DD2D90">
        <w:rPr>
          <w:highlight w:val="green"/>
          <w:u w:val="single"/>
        </w:rPr>
        <w:t>are attracting insurers’ attention</w:t>
      </w:r>
      <w:r w:rsidRPr="00DD2D90">
        <w:rPr>
          <w:u w:val="single"/>
        </w:rPr>
        <w:t xml:space="preserve">. U.S. </w:t>
      </w:r>
      <w:r w:rsidRPr="00DD2D90">
        <w:rPr>
          <w:highlight w:val="green"/>
          <w:u w:val="single"/>
        </w:rPr>
        <w:t>insurers’</w:t>
      </w:r>
      <w:r w:rsidRPr="00DD2D90">
        <w:rPr>
          <w:u w:val="single"/>
        </w:rPr>
        <w:t xml:space="preserve"> private </w:t>
      </w:r>
      <w:r w:rsidRPr="00DD2D90">
        <w:rPr>
          <w:highlight w:val="green"/>
          <w:u w:val="single"/>
        </w:rPr>
        <w:t xml:space="preserve">equity </w:t>
      </w:r>
      <w:r w:rsidRPr="00DD2D90">
        <w:rPr>
          <w:u w:val="single"/>
        </w:rPr>
        <w:t xml:space="preserve">holdings </w:t>
      </w:r>
      <w:r w:rsidRPr="00DD2D90">
        <w:rPr>
          <w:highlight w:val="green"/>
          <w:u w:val="single"/>
        </w:rPr>
        <w:t>hit $146.2bn</w:t>
      </w:r>
      <w:r w:rsidRPr="00DD2D90">
        <w:rPr>
          <w:u w:val="single"/>
        </w:rPr>
        <w:t xml:space="preserve"> in 2023, </w:t>
      </w:r>
      <w:r w:rsidRPr="00DD2D90">
        <w:rPr>
          <w:highlight w:val="green"/>
          <w:u w:val="single"/>
        </w:rPr>
        <w:t>an increase of</w:t>
      </w:r>
      <w:r w:rsidRPr="00DD2D90">
        <w:rPr>
          <w:u w:val="single"/>
        </w:rPr>
        <w:t xml:space="preserve"> just </w:t>
      </w:r>
      <w:r w:rsidRPr="00DD2D90">
        <w:rPr>
          <w:b/>
          <w:bCs/>
          <w:highlight w:val="green"/>
          <w:u w:val="single"/>
        </w:rPr>
        <w:t>over 40% in two years</w:t>
      </w:r>
      <w:r w:rsidRPr="00DD2D90">
        <w:rPr>
          <w:u w:val="single"/>
        </w:rPr>
        <w:t xml:space="preserve">2 , and a 2024 Moody’s survey found that almost </w:t>
      </w:r>
      <w:r w:rsidRPr="00DD2D90">
        <w:rPr>
          <w:highlight w:val="green"/>
          <w:u w:val="single"/>
        </w:rPr>
        <w:t xml:space="preserve">80% </w:t>
      </w:r>
      <w:r w:rsidRPr="00DD2D90">
        <w:rPr>
          <w:u w:val="single"/>
        </w:rPr>
        <w:t xml:space="preserve">of respondents </w:t>
      </w:r>
      <w:r w:rsidRPr="00DD2D90">
        <w:rPr>
          <w:highlight w:val="green"/>
          <w:u w:val="single"/>
        </w:rPr>
        <w:t>are planning to increase</w:t>
      </w:r>
      <w:r w:rsidRPr="00DD2D90">
        <w:rPr>
          <w:u w:val="single"/>
        </w:rPr>
        <w:t xml:space="preserve"> their holdings in at least one class of private credit, with insurers having already grown their private credit holdings in the U.S. to 36% of their total investment3. </w:t>
      </w:r>
      <w:r w:rsidRPr="009C4A5A">
        <w:rPr>
          <w:sz w:val="16"/>
        </w:rPr>
        <w:t xml:space="preserve">Accessing Insurers Alternative asset managers have stepped up efforts to gain access to the $30tn global insurance industry in response to this increased demand, pursuing a variety of different approaches. Increasingly, asset managers have looked to acquire controlling interests in insurers, both using their own balance sheets or as portfolio companies of managed funds, or to make non-controlling investments coupled with long-term strategic asset management partnerships. Indeed, private equity has been a driving force in insurance M&amp;A over the past few years. </w:t>
      </w:r>
      <w:r w:rsidRPr="00DD2D90">
        <w:rPr>
          <w:u w:val="single"/>
        </w:rPr>
        <w:t xml:space="preserve">In addition, </w:t>
      </w:r>
      <w:r w:rsidRPr="00DD2D90">
        <w:rPr>
          <w:highlight w:val="green"/>
          <w:u w:val="single"/>
        </w:rPr>
        <w:t>asset managers are</w:t>
      </w:r>
      <w:r w:rsidRPr="00DD2D90">
        <w:rPr>
          <w:u w:val="single"/>
        </w:rPr>
        <w:t xml:space="preserve"> also building specialist investor relations resources </w:t>
      </w:r>
      <w:r w:rsidRPr="00DD2D90">
        <w:rPr>
          <w:highlight w:val="green"/>
          <w:u w:val="single"/>
        </w:rPr>
        <w:t>targeting insurance companies</w:t>
      </w:r>
      <w:r w:rsidRPr="00DD2D90">
        <w:rPr>
          <w:u w:val="single"/>
        </w:rPr>
        <w:t xml:space="preserve"> as third-party investors, in much </w:t>
      </w:r>
      <w:r w:rsidRPr="00DD2D90">
        <w:rPr>
          <w:highlight w:val="green"/>
          <w:u w:val="single"/>
        </w:rPr>
        <w:t>the same way</w:t>
      </w:r>
      <w:r w:rsidRPr="00DD2D90">
        <w:rPr>
          <w:u w:val="single"/>
        </w:rPr>
        <w:t xml:space="preserve"> that </w:t>
      </w:r>
      <w:r w:rsidRPr="00DD2D90">
        <w:rPr>
          <w:highlight w:val="green"/>
          <w:u w:val="single"/>
        </w:rPr>
        <w:t xml:space="preserve">they </w:t>
      </w:r>
      <w:r w:rsidRPr="00DD2D90">
        <w:rPr>
          <w:u w:val="single"/>
        </w:rPr>
        <w:t xml:space="preserve">have historically </w:t>
      </w:r>
      <w:r w:rsidRPr="00DD2D90">
        <w:rPr>
          <w:highlight w:val="green"/>
          <w:u w:val="single"/>
        </w:rPr>
        <w:t>court</w:t>
      </w:r>
      <w:r w:rsidRPr="00DD2D90">
        <w:rPr>
          <w:u w:val="single"/>
        </w:rPr>
        <w:t xml:space="preserve">ed pension plans, </w:t>
      </w:r>
      <w:r w:rsidRPr="00DD2D90">
        <w:rPr>
          <w:b/>
          <w:bCs/>
          <w:highlight w:val="green"/>
          <w:u w:val="single"/>
        </w:rPr>
        <w:t>sovereign wealth funds</w:t>
      </w:r>
      <w:r w:rsidRPr="00DD2D90">
        <w:rPr>
          <w:u w:val="single"/>
        </w:rPr>
        <w:t>, and high net worth individuals.</w:t>
      </w:r>
      <w:r w:rsidRPr="009C4A5A">
        <w:rPr>
          <w:sz w:val="16"/>
        </w:rPr>
        <w:t xml:space="preserve"> A degree of specialization is required in the IR function because of insurance companies’ specific investment objectives, capital requirements, and other evolving regulatory requirements. </w:t>
      </w:r>
      <w:r w:rsidRPr="00DD2D90">
        <w:rPr>
          <w:highlight w:val="green"/>
          <w:u w:val="single"/>
        </w:rPr>
        <w:t>These factors</w:t>
      </w:r>
      <w:r w:rsidRPr="00DD2D90">
        <w:rPr>
          <w:u w:val="single"/>
        </w:rPr>
        <w:t xml:space="preserve"> will often </w:t>
      </w:r>
      <w:r w:rsidRPr="00DD2D90">
        <w:rPr>
          <w:highlight w:val="green"/>
          <w:u w:val="single"/>
        </w:rPr>
        <w:t>lead</w:t>
      </w:r>
      <w:r w:rsidRPr="00DD2D90">
        <w:rPr>
          <w:u w:val="single"/>
        </w:rPr>
        <w:t xml:space="preserve"> to </w:t>
      </w:r>
      <w:r w:rsidRPr="00DD2D90">
        <w:rPr>
          <w:highlight w:val="green"/>
          <w:u w:val="single"/>
        </w:rPr>
        <w:t>insurance companies</w:t>
      </w:r>
      <w:r w:rsidRPr="00DD2D90">
        <w:rPr>
          <w:u w:val="single"/>
        </w:rPr>
        <w:t xml:space="preserve"> choosing </w:t>
      </w:r>
      <w:r w:rsidRPr="00DD2D90">
        <w:rPr>
          <w:highlight w:val="green"/>
          <w:u w:val="single"/>
        </w:rPr>
        <w:t xml:space="preserve">to invest through bespoke structures </w:t>
      </w:r>
      <w:r w:rsidRPr="00DD2D90">
        <w:rPr>
          <w:u w:val="single"/>
        </w:rPr>
        <w:t>that other private fund investors are less well accustomed to.</w:t>
      </w:r>
      <w:r w:rsidRPr="009C4A5A">
        <w:rPr>
          <w:sz w:val="16"/>
        </w:rPr>
        <w:t xml:space="preserve"> For instance, insurance companies will often invest through investment management agreements granting private fund managers discretionary investment authority, where the insurance companies maintain the custody of the assets, or through rated note feeders which seek to achieve the desired capital treatment. The Mercer and BlackRock surveys both reveal that private debt strategies, including direct lending and asset-based financing, are proving the most popular. </w:t>
      </w:r>
      <w:r w:rsidRPr="00DD2D90">
        <w:rPr>
          <w:highlight w:val="green"/>
          <w:u w:val="single"/>
        </w:rPr>
        <w:t>This reflects</w:t>
      </w:r>
      <w:r w:rsidRPr="00DD2D90">
        <w:rPr>
          <w:u w:val="single"/>
        </w:rPr>
        <w:t xml:space="preserve"> the </w:t>
      </w:r>
      <w:r w:rsidRPr="00DD2D90">
        <w:rPr>
          <w:highlight w:val="green"/>
          <w:u w:val="single"/>
        </w:rPr>
        <w:t xml:space="preserve">preferential treatment </w:t>
      </w:r>
      <w:r w:rsidRPr="00DD2D90">
        <w:rPr>
          <w:u w:val="single"/>
        </w:rPr>
        <w:t xml:space="preserve">under capital adequacy rules, </w:t>
      </w:r>
      <w:r w:rsidRPr="00DD2D90">
        <w:rPr>
          <w:highlight w:val="green"/>
          <w:u w:val="single"/>
        </w:rPr>
        <w:t>as well as the need for</w:t>
      </w:r>
      <w:r w:rsidRPr="00DD2D90">
        <w:rPr>
          <w:u w:val="single"/>
        </w:rPr>
        <w:t xml:space="preserve"> long-term assets to support long-term liabilities, to secure income, gain </w:t>
      </w:r>
      <w:r w:rsidRPr="00DD2D90">
        <w:rPr>
          <w:highlight w:val="green"/>
          <w:u w:val="single"/>
        </w:rPr>
        <w:t>diversification, and</w:t>
      </w:r>
      <w:r w:rsidRPr="00DD2D90">
        <w:rPr>
          <w:u w:val="single"/>
        </w:rPr>
        <w:t xml:space="preserve"> to achieve </w:t>
      </w:r>
      <w:r w:rsidRPr="00DD2D90">
        <w:rPr>
          <w:highlight w:val="green"/>
          <w:u w:val="single"/>
        </w:rPr>
        <w:t>structural protections</w:t>
      </w:r>
      <w:r w:rsidRPr="00DD2D90">
        <w:rPr>
          <w:u w:val="single"/>
        </w:rPr>
        <w:t>.</w:t>
      </w:r>
      <w:r w:rsidRPr="009C4A5A">
        <w:rPr>
          <w:sz w:val="16"/>
        </w:rPr>
        <w:t xml:space="preserve"> New Role in the Market? </w:t>
      </w:r>
      <w:r w:rsidRPr="00DD2D90">
        <w:rPr>
          <w:highlight w:val="green"/>
          <w:u w:val="single"/>
        </w:rPr>
        <w:t>Insurers are</w:t>
      </w:r>
      <w:r w:rsidRPr="00DD2D90">
        <w:rPr>
          <w:u w:val="single"/>
        </w:rPr>
        <w:t xml:space="preserve"> also </w:t>
      </w:r>
      <w:r w:rsidRPr="00DD2D90">
        <w:rPr>
          <w:highlight w:val="green"/>
          <w:u w:val="single"/>
        </w:rPr>
        <w:t>becoming increasingly active in providing fund finance</w:t>
      </w:r>
      <w:r w:rsidRPr="00DD2D90">
        <w:rPr>
          <w:u w:val="single"/>
        </w:rPr>
        <w:t xml:space="preserve">. Supply and demand </w:t>
      </w:r>
      <w:r w:rsidRPr="00DD2D90">
        <w:rPr>
          <w:highlight w:val="green"/>
          <w:u w:val="single"/>
        </w:rPr>
        <w:t>dynamics in</w:t>
      </w:r>
      <w:r w:rsidRPr="00DD2D90">
        <w:rPr>
          <w:u w:val="single"/>
        </w:rPr>
        <w:t xml:space="preserve"> the </w:t>
      </w:r>
      <w:r w:rsidRPr="00DD2D90">
        <w:rPr>
          <w:highlight w:val="green"/>
          <w:u w:val="single"/>
        </w:rPr>
        <w:t>subscription finance</w:t>
      </w:r>
      <w:r w:rsidRPr="00DD2D90">
        <w:rPr>
          <w:u w:val="single"/>
        </w:rPr>
        <w:t xml:space="preserve"> space </w:t>
      </w:r>
      <w:r w:rsidRPr="00DD2D90">
        <w:rPr>
          <w:highlight w:val="green"/>
          <w:u w:val="single"/>
        </w:rPr>
        <w:t>are expected to be strained once fundraising returns to normal levels. Insurers may</w:t>
      </w:r>
      <w:r w:rsidRPr="00DD2D90">
        <w:rPr>
          <w:u w:val="single"/>
        </w:rPr>
        <w:t xml:space="preserve"> be able to </w:t>
      </w:r>
      <w:r w:rsidRPr="00DD2D90">
        <w:rPr>
          <w:highlight w:val="green"/>
          <w:u w:val="single"/>
        </w:rPr>
        <w:t>fill this gap</w:t>
      </w:r>
      <w:r w:rsidRPr="00DD2D90">
        <w:rPr>
          <w:u w:val="single"/>
        </w:rPr>
        <w:t>. This trend is currently more prevalent in Europe than in the U.S., but we expect this to develop over time as subscription lines begin being rated by rating agencies.</w:t>
      </w:r>
      <w:r w:rsidRPr="009C4A5A">
        <w:rPr>
          <w:sz w:val="16"/>
        </w:rPr>
        <w:t xml:space="preserve"> Sponsors have already begun including necessary flexibility in their documents in contemplation of this.</w:t>
      </w:r>
    </w:p>
    <w:p w14:paraId="471BCFEB" w14:textId="77777777" w:rsidR="00B0589A" w:rsidRPr="009C4A5A" w:rsidRDefault="00B0589A">
      <w:pPr>
        <w:rPr>
          <w:rFonts w:eastAsiaTheme="majorEastAsia" w:cstheme="majorBidi"/>
          <w:b/>
          <w:iCs/>
          <w:sz w:val="16"/>
        </w:rPr>
      </w:pPr>
      <w:r w:rsidRPr="009C4A5A">
        <w:rPr>
          <w:sz w:val="16"/>
        </w:rPr>
        <w:br w:type="page"/>
      </w:r>
    </w:p>
    <w:p w14:paraId="7279653C" w14:textId="064CDAC0" w:rsidR="008732A1" w:rsidRPr="00D05211" w:rsidRDefault="00F63522" w:rsidP="008732A1">
      <w:pPr>
        <w:pStyle w:val="Heading3"/>
        <w:rPr>
          <w:rFonts w:ascii="Arial Black" w:hAnsi="Arial Black"/>
          <w:color w:val="B43E1F"/>
          <w:szCs w:val="32"/>
        </w:rPr>
      </w:pPr>
      <w:r w:rsidRPr="00D05211">
        <w:rPr>
          <w:rFonts w:ascii="Arial Black" w:hAnsi="Arial Black"/>
          <w:color w:val="B43E1F"/>
          <w:szCs w:val="32"/>
        </w:rPr>
        <w:t xml:space="preserve">Contention 2: </w:t>
      </w:r>
      <w:r w:rsidR="00674ACF" w:rsidRPr="00D05211">
        <w:rPr>
          <w:rFonts w:ascii="Arial Black" w:hAnsi="Arial Black"/>
          <w:color w:val="B43E1F"/>
          <w:szCs w:val="32"/>
        </w:rPr>
        <w:t xml:space="preserve">Public </w:t>
      </w:r>
      <w:r w:rsidR="00914260" w:rsidRPr="00D05211">
        <w:rPr>
          <w:rFonts w:ascii="Arial Black" w:hAnsi="Arial Black"/>
          <w:color w:val="B43E1F"/>
          <w:szCs w:val="32"/>
        </w:rPr>
        <w:t>Debt</w:t>
      </w:r>
      <w:r w:rsidR="00FF4954" w:rsidRPr="00D05211">
        <w:rPr>
          <w:rFonts w:ascii="Arial Black" w:hAnsi="Arial Black"/>
          <w:color w:val="B43E1F"/>
          <w:szCs w:val="32"/>
        </w:rPr>
        <w:t>/Rate Hikes</w:t>
      </w:r>
    </w:p>
    <w:p w14:paraId="362DABA1" w14:textId="4D9F12D3" w:rsidR="008732A1" w:rsidRPr="009C4A5A" w:rsidRDefault="00DE1847" w:rsidP="008732A1">
      <w:pPr>
        <w:pStyle w:val="Heading4"/>
        <w:rPr>
          <w:szCs w:val="26"/>
        </w:rPr>
      </w:pPr>
      <w:r w:rsidRPr="009C4A5A">
        <w:rPr>
          <w:szCs w:val="26"/>
        </w:rPr>
        <w:t xml:space="preserve">Debt is in check now, but further spending could threaten financial stability - this </w:t>
      </w:r>
      <w:r w:rsidR="008732A1" w:rsidRPr="009C4A5A">
        <w:rPr>
          <w:szCs w:val="26"/>
        </w:rPr>
        <w:t>assumes Iran</w:t>
      </w:r>
      <w:r w:rsidRPr="009C4A5A">
        <w:rPr>
          <w:szCs w:val="26"/>
        </w:rPr>
        <w:t xml:space="preserve"> and the trade war</w:t>
      </w:r>
    </w:p>
    <w:p w14:paraId="111E0AA5" w14:textId="77777777" w:rsidR="008732A1" w:rsidRPr="00DD2D90" w:rsidRDefault="008732A1" w:rsidP="008732A1">
      <w:r w:rsidRPr="009C4A5A">
        <w:rPr>
          <w:b/>
          <w:bCs/>
          <w:sz w:val="26"/>
          <w:szCs w:val="26"/>
        </w:rPr>
        <w:t>Pazzanese 4-1</w:t>
      </w:r>
      <w:r w:rsidRPr="00DD2D90">
        <w:t xml:space="preserve"> [Christina Pazzanese, Harvard Gazette Staff Writer, 4-1-2026, "Powell issues a warning on U.S. debt", Harvard Gazette, https://news.harvard.edu/gazette/story/2026/04/powell-issues-a-warning-on-u-s-debt/]/Kankee</w:t>
      </w:r>
    </w:p>
    <w:p w14:paraId="488B1689" w14:textId="77777777" w:rsidR="008732A1" w:rsidRPr="009C4A5A" w:rsidRDefault="008732A1" w:rsidP="008732A1">
      <w:pPr>
        <w:rPr>
          <w:sz w:val="16"/>
        </w:rPr>
      </w:pPr>
      <w:r w:rsidRPr="009C4A5A">
        <w:rPr>
          <w:sz w:val="16"/>
        </w:rPr>
        <w:t xml:space="preserve">Federal Reserve Chairman Jerome </w:t>
      </w:r>
      <w:r w:rsidRPr="00DD2D90">
        <w:rPr>
          <w:rStyle w:val="StyleUnderline"/>
          <w:highlight w:val="green"/>
        </w:rPr>
        <w:t>Powell</w:t>
      </w:r>
      <w:r w:rsidRPr="009C4A5A">
        <w:rPr>
          <w:sz w:val="16"/>
          <w:highlight w:val="green"/>
        </w:rPr>
        <w:t xml:space="preserve"> </w:t>
      </w:r>
      <w:r w:rsidRPr="00DD2D90">
        <w:rPr>
          <w:rStyle w:val="StyleUnderline"/>
          <w:highlight w:val="green"/>
        </w:rPr>
        <w:t>expressed confidence</w:t>
      </w:r>
      <w:r w:rsidRPr="00DD2D90">
        <w:rPr>
          <w:rStyle w:val="StyleUnderline"/>
        </w:rPr>
        <w:t xml:space="preserve"> </w:t>
      </w:r>
      <w:r w:rsidRPr="00DD2D90">
        <w:rPr>
          <w:rStyle w:val="StyleUnderline"/>
          <w:highlight w:val="green"/>
        </w:rPr>
        <w:t>in the “resilience” of</w:t>
      </w:r>
      <w:r w:rsidRPr="00DD2D90">
        <w:rPr>
          <w:rStyle w:val="StyleUnderline"/>
        </w:rPr>
        <w:t xml:space="preserve"> </w:t>
      </w:r>
      <w:r w:rsidRPr="00DD2D90">
        <w:rPr>
          <w:rStyle w:val="StyleUnderline"/>
          <w:highlight w:val="green"/>
        </w:rPr>
        <w:t>the</w:t>
      </w:r>
      <w:r w:rsidRPr="00DD2D90">
        <w:rPr>
          <w:rStyle w:val="StyleUnderline"/>
        </w:rPr>
        <w:t xml:space="preserve"> U.S. </w:t>
      </w:r>
      <w:r w:rsidRPr="00DD2D90">
        <w:rPr>
          <w:rStyle w:val="StyleUnderline"/>
          <w:highlight w:val="green"/>
        </w:rPr>
        <w:t>financial system</w:t>
      </w:r>
      <w:r w:rsidRPr="009C4A5A">
        <w:rPr>
          <w:sz w:val="16"/>
        </w:rPr>
        <w:t xml:space="preserve"> during a visit to Harvard on Monday and said that the Fed will take a “wait-and-see” approach to the economic impact of the Iran war. Powell spoke at Sanders Theatre with undergraduates in “Principles of Economics,” a macroeconomics course co-taught by Jason Furman, Aetna Professor of the Practice of Economic Policy at the Kennedy School and in the Department of Economics, and David Laibson, Robert I. Goldman Professor of Economics. Laibson moderated the talk. Powell said that </w:t>
      </w:r>
      <w:r w:rsidRPr="00DD2D90">
        <w:rPr>
          <w:rStyle w:val="StyleUnderline"/>
        </w:rPr>
        <w:t xml:space="preserve">the Fed remains committed to its target inflation rate of 2 percent </w:t>
      </w:r>
      <w:r w:rsidRPr="00DD2D90">
        <w:rPr>
          <w:rStyle w:val="StyleUnderline"/>
          <w:highlight w:val="green"/>
        </w:rPr>
        <w:t>even against headwinds created by</w:t>
      </w:r>
      <w:r w:rsidRPr="009C4A5A">
        <w:rPr>
          <w:sz w:val="16"/>
        </w:rPr>
        <w:t xml:space="preserve"> U.S.-imposed </w:t>
      </w:r>
      <w:r w:rsidRPr="00DD2D90">
        <w:rPr>
          <w:rStyle w:val="StyleUnderline"/>
          <w:highlight w:val="green"/>
        </w:rPr>
        <w:t>tariffs and</w:t>
      </w:r>
      <w:r w:rsidRPr="009C4A5A">
        <w:rPr>
          <w:sz w:val="16"/>
        </w:rPr>
        <w:t xml:space="preserve"> the conflict in </w:t>
      </w:r>
      <w:r w:rsidRPr="00DD2D90">
        <w:rPr>
          <w:rStyle w:val="StyleUnderline"/>
          <w:highlight w:val="green"/>
        </w:rPr>
        <w:t>Iran</w:t>
      </w:r>
      <w:r w:rsidRPr="009C4A5A">
        <w:rPr>
          <w:sz w:val="16"/>
        </w:rPr>
        <w:t xml:space="preserve">. </w:t>
      </w:r>
      <w:r w:rsidRPr="00DD2D90">
        <w:rPr>
          <w:rStyle w:val="StyleUnderline"/>
        </w:rPr>
        <w:t>The Federal Open Market Committee thought the goal was within reach in</w:t>
      </w:r>
      <w:r w:rsidRPr="009C4A5A">
        <w:rPr>
          <w:sz w:val="16"/>
        </w:rPr>
        <w:t xml:space="preserve"> late </w:t>
      </w:r>
      <w:r w:rsidRPr="00DD2D90">
        <w:rPr>
          <w:rStyle w:val="StyleUnderline"/>
        </w:rPr>
        <w:t>2024 when U.S. growth was at 2.5</w:t>
      </w:r>
      <w:r w:rsidRPr="009C4A5A">
        <w:rPr>
          <w:sz w:val="16"/>
        </w:rPr>
        <w:t xml:space="preserve"> percent, 12-month </w:t>
      </w:r>
      <w:r w:rsidRPr="00DD2D90">
        <w:rPr>
          <w:rStyle w:val="StyleUnderline"/>
        </w:rPr>
        <w:t>inflation was</w:t>
      </w:r>
      <w:r w:rsidRPr="009C4A5A">
        <w:rPr>
          <w:sz w:val="16"/>
        </w:rPr>
        <w:t xml:space="preserve"> just above </w:t>
      </w:r>
      <w:r w:rsidRPr="00DD2D90">
        <w:rPr>
          <w:rStyle w:val="StyleUnderline"/>
        </w:rPr>
        <w:t>2 percent</w:t>
      </w:r>
      <w:r w:rsidRPr="009C4A5A">
        <w:rPr>
          <w:sz w:val="16"/>
        </w:rPr>
        <w:t xml:space="preserve">, </w:t>
      </w:r>
      <w:r w:rsidRPr="00DD2D90">
        <w:rPr>
          <w:rStyle w:val="StyleUnderline"/>
        </w:rPr>
        <w:t>and the labor market was essentially at full employment</w:t>
      </w:r>
      <w:r w:rsidRPr="009C4A5A">
        <w:rPr>
          <w:sz w:val="16"/>
        </w:rPr>
        <w:t>. These data followed a period of serious recession worries among many economists. “</w:t>
      </w:r>
      <w:r w:rsidRPr="00DD2D90">
        <w:rPr>
          <w:rStyle w:val="StyleUnderline"/>
        </w:rPr>
        <w:t xml:space="preserve">I would call that a </w:t>
      </w:r>
      <w:r w:rsidRPr="00DD2D90">
        <w:rPr>
          <w:rStyle w:val="Emphasis"/>
        </w:rPr>
        <w:t>soft landing</w:t>
      </w:r>
      <w:r w:rsidRPr="009C4A5A">
        <w:rPr>
          <w:sz w:val="16"/>
        </w:rPr>
        <w:t xml:space="preserve">,” Powell said. Nominated to serve as Fed chair by President Trump in late 2017, Powell was nominated a second time by President Biden in 2021. His term officially ends in May, but he has said that he will remain as chair until his successor has been approved by the Senate. Historically, </w:t>
      </w:r>
      <w:r w:rsidRPr="00DD2D90">
        <w:rPr>
          <w:rStyle w:val="StyleUnderline"/>
          <w:highlight w:val="green"/>
        </w:rPr>
        <w:t>the Fed tends not to react when</w:t>
      </w:r>
      <w:r w:rsidRPr="00DD2D90">
        <w:rPr>
          <w:rStyle w:val="StyleUnderline"/>
        </w:rPr>
        <w:t xml:space="preserve"> oil and </w:t>
      </w:r>
      <w:r w:rsidRPr="00DD2D90">
        <w:rPr>
          <w:rStyle w:val="StyleUnderline"/>
          <w:highlight w:val="green"/>
        </w:rPr>
        <w:t>gas prices rise because</w:t>
      </w:r>
      <w:r w:rsidRPr="00DD2D90">
        <w:rPr>
          <w:rStyle w:val="StyleUnderline"/>
        </w:rPr>
        <w:t xml:space="preserve"> energy </w:t>
      </w:r>
      <w:r w:rsidRPr="00DD2D90">
        <w:rPr>
          <w:rStyle w:val="StyleUnderline"/>
          <w:highlight w:val="green"/>
        </w:rPr>
        <w:t xml:space="preserve">supply shocks are </w:t>
      </w:r>
      <w:r w:rsidRPr="00DD2D90">
        <w:rPr>
          <w:rStyle w:val="StyleUnderline"/>
        </w:rPr>
        <w:t xml:space="preserve">often </w:t>
      </w:r>
      <w:r w:rsidRPr="00DD2D90">
        <w:rPr>
          <w:rStyle w:val="Emphasis"/>
          <w:highlight w:val="green"/>
        </w:rPr>
        <w:t>short-lived</w:t>
      </w:r>
      <w:r w:rsidRPr="009C4A5A">
        <w:rPr>
          <w:sz w:val="16"/>
        </w:rPr>
        <w:t xml:space="preserve">, so the central bank will “wait and see” how Iran-related oil prices affect the broader economy and will monitor inflation expectations “very, very carefully” before making any policy adjustments, Powell said. He expressed deeper concerns about the nation’s balance sheet. </w:t>
      </w:r>
      <w:r w:rsidRPr="00DD2D90">
        <w:rPr>
          <w:rStyle w:val="StyleUnderline"/>
          <w:highlight w:val="green"/>
        </w:rPr>
        <w:t xml:space="preserve">Our $39 trillion debt is not the </w:t>
      </w:r>
      <w:r w:rsidRPr="00DD2D90">
        <w:rPr>
          <w:rStyle w:val="StyleUnderline"/>
        </w:rPr>
        <w:t xml:space="preserve">real </w:t>
      </w:r>
      <w:r w:rsidRPr="00DD2D90">
        <w:rPr>
          <w:rStyle w:val="StyleUnderline"/>
          <w:highlight w:val="green"/>
        </w:rPr>
        <w:t>problem</w:t>
      </w:r>
      <w:r w:rsidRPr="009C4A5A">
        <w:rPr>
          <w:sz w:val="16"/>
        </w:rPr>
        <w:t>, he said; it’s that the current path Congress is on —</w:t>
      </w:r>
      <w:r w:rsidRPr="00DD2D90">
        <w:rPr>
          <w:rStyle w:val="StyleUnderline"/>
        </w:rPr>
        <w:t xml:space="preserve"> </w:t>
      </w:r>
      <w:r w:rsidRPr="00DD2D90">
        <w:rPr>
          <w:rStyle w:val="StyleUnderline"/>
          <w:highlight w:val="green"/>
        </w:rPr>
        <w:t>spending more than the U.S. is taking in</w:t>
      </w:r>
      <w:r w:rsidRPr="00DD2D90">
        <w:rPr>
          <w:rStyle w:val="StyleUnderline"/>
        </w:rPr>
        <w:t xml:space="preserve"> — </w:t>
      </w:r>
      <w:r w:rsidRPr="00DD2D90">
        <w:rPr>
          <w:rStyle w:val="StyleUnderline"/>
          <w:highlight w:val="green"/>
        </w:rPr>
        <w:t>is “</w:t>
      </w:r>
      <w:r w:rsidRPr="00DD2D90">
        <w:rPr>
          <w:rStyle w:val="Emphasis"/>
          <w:highlight w:val="green"/>
        </w:rPr>
        <w:t>not</w:t>
      </w:r>
      <w:r w:rsidRPr="00DD2D90">
        <w:rPr>
          <w:rStyle w:val="Emphasis"/>
        </w:rPr>
        <w:t xml:space="preserve"> </w:t>
      </w:r>
      <w:r w:rsidRPr="00DD2D90">
        <w:rPr>
          <w:rStyle w:val="Emphasis"/>
          <w:highlight w:val="green"/>
        </w:rPr>
        <w:t>sustainable</w:t>
      </w:r>
      <w:r w:rsidRPr="009C4A5A">
        <w:rPr>
          <w:sz w:val="16"/>
        </w:rPr>
        <w:t>.” “The country has to get back to ensuring that the economy is growing fast enough to keep pace with spending,” he said. “It will not end well if we don’t do something fairly soon,” Powell warned. On emerging threats, Powell said that the Fed has taken significant measures to fortify the U.S. financial system against outsized risks and credit losses like those that fueled the 2008 global financial crisis. “</w:t>
      </w:r>
      <w:r w:rsidRPr="00DD2D90">
        <w:rPr>
          <w:rStyle w:val="StyleUnderline"/>
        </w:rPr>
        <w:t xml:space="preserve">We have a </w:t>
      </w:r>
      <w:r w:rsidRPr="00DD2D90">
        <w:rPr>
          <w:rStyle w:val="Emphasis"/>
        </w:rPr>
        <w:t>hugely resilient</w:t>
      </w:r>
      <w:r w:rsidRPr="00DD2D90">
        <w:rPr>
          <w:rStyle w:val="StyleUnderline"/>
        </w:rPr>
        <w:t xml:space="preserve"> financial system</w:t>
      </w:r>
      <w:r w:rsidRPr="009C4A5A">
        <w:rPr>
          <w:sz w:val="16"/>
        </w:rPr>
        <w:t xml:space="preserve">,” he said. With the financial sector constantly evolving, what the country needs from the Fed is “vigilance,” not the elimination of all risk, Powell said. “You just need to always know that there’s another thing coming.” The Federal Open Market Committee is monitoring private credit markets “super carefully,” </w:t>
      </w:r>
      <w:r w:rsidRPr="00DD2D90">
        <w:rPr>
          <w:rStyle w:val="StyleUnderline"/>
          <w:highlight w:val="green"/>
        </w:rPr>
        <w:t>he</w:t>
      </w:r>
      <w:r w:rsidRPr="009C4A5A">
        <w:rPr>
          <w:sz w:val="16"/>
        </w:rPr>
        <w:t xml:space="preserve"> said, but at the moment </w:t>
      </w:r>
      <w:r w:rsidRPr="00DD2D90">
        <w:rPr>
          <w:rStyle w:val="StyleUnderline"/>
          <w:highlight w:val="green"/>
        </w:rPr>
        <w:t>sees no systemic threat to the nation’s financial stability</w:t>
      </w:r>
      <w:r w:rsidRPr="009C4A5A">
        <w:rPr>
          <w:sz w:val="16"/>
        </w:rPr>
        <w:t xml:space="preserve">. Asked by a student about the Fed’s view of employment, Powell acknowledged a tough labor market for younger people. But </w:t>
      </w:r>
      <w:r w:rsidRPr="00DD2D90">
        <w:rPr>
          <w:rStyle w:val="StyleUnderline"/>
          <w:highlight w:val="green"/>
        </w:rPr>
        <w:t>given U.S. dynamism and growth</w:t>
      </w:r>
      <w:r w:rsidRPr="00DD2D90">
        <w:rPr>
          <w:rStyle w:val="StyleUnderline"/>
        </w:rPr>
        <w:t xml:space="preserve"> since World War II, he urged students to </w:t>
      </w:r>
      <w:r w:rsidRPr="00DD2D90">
        <w:rPr>
          <w:rStyle w:val="StyleUnderline"/>
          <w:highlight w:val="green"/>
        </w:rPr>
        <w:t xml:space="preserve">be </w:t>
      </w:r>
      <w:r w:rsidRPr="00DD2D90">
        <w:rPr>
          <w:rStyle w:val="Emphasis"/>
          <w:highlight w:val="green"/>
        </w:rPr>
        <w:t>optimistic</w:t>
      </w:r>
      <w:r w:rsidRPr="00DD2D90">
        <w:rPr>
          <w:rStyle w:val="StyleUnderline"/>
        </w:rPr>
        <w:t xml:space="preserve"> </w:t>
      </w:r>
      <w:r w:rsidRPr="00DD2D90">
        <w:rPr>
          <w:rStyle w:val="StyleUnderline"/>
          <w:highlight w:val="green"/>
        </w:rPr>
        <w:t>about</w:t>
      </w:r>
      <w:r w:rsidRPr="009C4A5A">
        <w:rPr>
          <w:sz w:val="16"/>
        </w:rPr>
        <w:t xml:space="preserve"> the medium- and </w:t>
      </w:r>
      <w:r w:rsidRPr="00DD2D90">
        <w:rPr>
          <w:rStyle w:val="StyleUnderline"/>
          <w:highlight w:val="green"/>
        </w:rPr>
        <w:t>long</w:t>
      </w:r>
      <w:r w:rsidRPr="00DD2D90">
        <w:rPr>
          <w:rStyle w:val="StyleUnderline"/>
        </w:rPr>
        <w:t>er-</w:t>
      </w:r>
      <w:r w:rsidRPr="00DD2D90">
        <w:rPr>
          <w:rStyle w:val="StyleUnderline"/>
          <w:highlight w:val="green"/>
        </w:rPr>
        <w:t>term</w:t>
      </w:r>
      <w:r w:rsidRPr="00DD2D90">
        <w:rPr>
          <w:rStyle w:val="StyleUnderline"/>
        </w:rPr>
        <w:t xml:space="preserve"> economic </w:t>
      </w:r>
      <w:r w:rsidRPr="00DD2D90">
        <w:rPr>
          <w:rStyle w:val="StyleUnderline"/>
          <w:highlight w:val="green"/>
        </w:rPr>
        <w:t>outlook</w:t>
      </w:r>
      <w:r w:rsidRPr="009C4A5A">
        <w:rPr>
          <w:sz w:val="16"/>
        </w:rPr>
        <w:t xml:space="preserve"> and to become comfortable and proficient with AI. Though Powell did not comment on Trump’s nominee for Fed chair, Kevin Warsh, he did make a case for the importance of Fed independence and rejected the idea of partisan motives in the central bank’s policymaking. “We’re not trying to work against any politician or any administration, but we have to be careful to stick to what we’re doing,” he said, adding: “The Fed is not a perfect institution. What we do is very challenging, highly uncertain, but it’s a great American institution and I’m very proud to work with the people I work with.” Many observers have warned that any effort to interfere with the Fed’s traditional independence from politics would threaten significant harm to the financial system and to the country. “It’s very hard to build great democratic institutions and much easier to bring them down,” Powell said. </w:t>
      </w:r>
    </w:p>
    <w:p w14:paraId="6918FB8D" w14:textId="77777777" w:rsidR="00B0589A" w:rsidRPr="009C4A5A" w:rsidRDefault="00B0589A">
      <w:pPr>
        <w:rPr>
          <w:rFonts w:eastAsiaTheme="majorEastAsia" w:cstheme="majorBidi"/>
          <w:b/>
          <w:iCs/>
          <w:sz w:val="16"/>
        </w:rPr>
      </w:pPr>
      <w:r w:rsidRPr="009C4A5A">
        <w:rPr>
          <w:sz w:val="16"/>
        </w:rPr>
        <w:br w:type="page"/>
      </w:r>
    </w:p>
    <w:p w14:paraId="060D83B0" w14:textId="555E0A30" w:rsidR="00D711EF" w:rsidRPr="009C4A5A" w:rsidRDefault="00D711EF" w:rsidP="00D711EF">
      <w:pPr>
        <w:pStyle w:val="Heading4"/>
        <w:rPr>
          <w:szCs w:val="26"/>
        </w:rPr>
      </w:pPr>
      <w:r w:rsidRPr="009C4A5A">
        <w:rPr>
          <w:szCs w:val="26"/>
        </w:rPr>
        <w:t xml:space="preserve">No rate hikes now </w:t>
      </w:r>
      <w:r w:rsidR="00674ACF" w:rsidRPr="009C4A5A">
        <w:rPr>
          <w:szCs w:val="26"/>
        </w:rPr>
        <w:t xml:space="preserve">– </w:t>
      </w:r>
      <w:r w:rsidRPr="009C4A5A">
        <w:rPr>
          <w:szCs w:val="26"/>
        </w:rPr>
        <w:t>Iran</w:t>
      </w:r>
      <w:r w:rsidR="00674ACF" w:rsidRPr="009C4A5A">
        <w:rPr>
          <w:szCs w:val="26"/>
        </w:rPr>
        <w:t xml:space="preserve"> is a supply shock</w:t>
      </w:r>
      <w:r w:rsidR="005B3D7F" w:rsidRPr="009C4A5A">
        <w:rPr>
          <w:szCs w:val="26"/>
        </w:rPr>
        <w:t xml:space="preserve"> and harms the economy</w:t>
      </w:r>
      <w:r w:rsidR="00674ACF" w:rsidRPr="009C4A5A">
        <w:rPr>
          <w:szCs w:val="26"/>
        </w:rPr>
        <w:t xml:space="preserve">, which means the Fed won’t increase rates, unlike demand shocks </w:t>
      </w:r>
      <w:r w:rsidR="005B3D7F" w:rsidRPr="009C4A5A">
        <w:rPr>
          <w:szCs w:val="26"/>
        </w:rPr>
        <w:t>caused by</w:t>
      </w:r>
      <w:r w:rsidR="00674ACF" w:rsidRPr="009C4A5A">
        <w:rPr>
          <w:szCs w:val="26"/>
        </w:rPr>
        <w:t xml:space="preserve"> too </w:t>
      </w:r>
      <w:r w:rsidR="005B3D7F" w:rsidRPr="009C4A5A">
        <w:rPr>
          <w:szCs w:val="26"/>
        </w:rPr>
        <w:t xml:space="preserve">strong </w:t>
      </w:r>
      <w:r w:rsidR="00674ACF" w:rsidRPr="009C4A5A">
        <w:rPr>
          <w:szCs w:val="26"/>
        </w:rPr>
        <w:t xml:space="preserve">of an </w:t>
      </w:r>
      <w:r w:rsidR="005B3D7F" w:rsidRPr="009C4A5A">
        <w:rPr>
          <w:szCs w:val="26"/>
        </w:rPr>
        <w:t>economy</w:t>
      </w:r>
    </w:p>
    <w:p w14:paraId="4D1B4244" w14:textId="174EC247" w:rsidR="00D711EF" w:rsidRPr="00DD2D90" w:rsidRDefault="008F2270" w:rsidP="00D711EF">
      <w:r w:rsidRPr="009C4A5A">
        <w:rPr>
          <w:b/>
          <w:bCs/>
          <w:sz w:val="26"/>
          <w:szCs w:val="26"/>
        </w:rPr>
        <w:t>Mackintosh 4-5</w:t>
      </w:r>
      <w:r w:rsidRPr="00DD2D90">
        <w:t xml:space="preserve"> [</w:t>
      </w:r>
      <w:r w:rsidR="00D711EF" w:rsidRPr="00DD2D90">
        <w:t>James Mackintosh,</w:t>
      </w:r>
      <w:r w:rsidR="00D35AA0" w:rsidRPr="00DD2D90">
        <w:t xml:space="preserve"> WSJ Senior Markets Columnist and graduate of St Catherine's College,</w:t>
      </w:r>
      <w:r w:rsidR="00D711EF" w:rsidRPr="00DD2D90">
        <w:t xml:space="preserve"> 4-5-2026, "Pain at the Pump Should Mean Pain in the Economy, Not Higher Rates", Wall Street Journal, https://www.wsj.com/economy/central-banking/pain-at-the-pump-should-mean-pain-in-the-economy-not-higher-rates-02fbd9ba</w:t>
      </w:r>
      <w:r w:rsidR="00E06C55" w:rsidRPr="00DD2D90">
        <w:t>]/Kankee</w:t>
      </w:r>
    </w:p>
    <w:p w14:paraId="3D4D7135" w14:textId="395EA987" w:rsidR="00B0589A" w:rsidRPr="009C4A5A" w:rsidRDefault="00D35AA0">
      <w:pPr>
        <w:rPr>
          <w:sz w:val="16"/>
        </w:rPr>
      </w:pPr>
      <w:r w:rsidRPr="009C4A5A">
        <w:rPr>
          <w:sz w:val="16"/>
        </w:rPr>
        <w:t>Central banks live in fear of their last mistake. As the U.S.-Israeli war on Iran leads to higher inflation, investors are betting policymakers will do what they should have done in 2021: raise rates or at the least drop planned cuts.</w:t>
      </w:r>
      <w:r w:rsidR="005B3D7F" w:rsidRPr="009C4A5A">
        <w:rPr>
          <w:sz w:val="16"/>
        </w:rPr>
        <w:t xml:space="preserve"> </w:t>
      </w:r>
      <w:r w:rsidRPr="009C4A5A">
        <w:rPr>
          <w:sz w:val="16"/>
        </w:rPr>
        <w:t xml:space="preserve">But </w:t>
      </w:r>
      <w:r w:rsidRPr="00DD2D90">
        <w:rPr>
          <w:rStyle w:val="StyleUnderline"/>
          <w:highlight w:val="green"/>
        </w:rPr>
        <w:t>there’s</w:t>
      </w:r>
      <w:r w:rsidRPr="00DD2D90">
        <w:rPr>
          <w:rStyle w:val="StyleUnderline"/>
        </w:rPr>
        <w:t xml:space="preserve"> </w:t>
      </w:r>
      <w:r w:rsidRPr="00DD2D90">
        <w:rPr>
          <w:rStyle w:val="StyleUnderline"/>
          <w:highlight w:val="green"/>
        </w:rPr>
        <w:t>a</w:t>
      </w:r>
      <w:r w:rsidRPr="00DD2D90">
        <w:rPr>
          <w:rStyle w:val="StyleUnderline"/>
        </w:rPr>
        <w:t xml:space="preserve"> fundamental </w:t>
      </w:r>
      <w:r w:rsidRPr="00DD2D90">
        <w:rPr>
          <w:rStyle w:val="StyleUnderline"/>
          <w:highlight w:val="green"/>
        </w:rPr>
        <w:t>difference between</w:t>
      </w:r>
      <w:r w:rsidRPr="009C4A5A">
        <w:rPr>
          <w:sz w:val="16"/>
          <w:highlight w:val="green"/>
        </w:rPr>
        <w:t xml:space="preserve"> </w:t>
      </w:r>
      <w:r w:rsidRPr="00DD2D90">
        <w:rPr>
          <w:rStyle w:val="StyleUnderline"/>
          <w:highlight w:val="green"/>
        </w:rPr>
        <w:t>the</w:t>
      </w:r>
      <w:r w:rsidRPr="009C4A5A">
        <w:rPr>
          <w:sz w:val="16"/>
        </w:rPr>
        <w:t xml:space="preserve"> new </w:t>
      </w:r>
      <w:r w:rsidRPr="00DD2D90">
        <w:rPr>
          <w:rStyle w:val="StyleUnderline"/>
        </w:rPr>
        <w:t xml:space="preserve">oil </w:t>
      </w:r>
      <w:r w:rsidRPr="00DD2D90">
        <w:rPr>
          <w:rStyle w:val="StyleUnderline"/>
          <w:highlight w:val="green"/>
        </w:rPr>
        <w:t>shock and the</w:t>
      </w:r>
      <w:r w:rsidRPr="00DD2D90">
        <w:rPr>
          <w:rStyle w:val="StyleUnderline"/>
        </w:rPr>
        <w:t xml:space="preserve"> post</w:t>
      </w:r>
      <w:r w:rsidRPr="00DD2D90">
        <w:rPr>
          <w:rStyle w:val="StyleUnderline"/>
          <w:highlight w:val="green"/>
        </w:rPr>
        <w:t>pandemic</w:t>
      </w:r>
      <w:r w:rsidRPr="00DD2D90">
        <w:rPr>
          <w:rStyle w:val="StyleUnderline"/>
        </w:rPr>
        <w:t xml:space="preserve"> </w:t>
      </w:r>
      <w:r w:rsidRPr="00DD2D90">
        <w:rPr>
          <w:rStyle w:val="StyleUnderline"/>
          <w:highlight w:val="green"/>
        </w:rPr>
        <w:t>boom</w:t>
      </w:r>
      <w:r w:rsidRPr="009C4A5A">
        <w:rPr>
          <w:sz w:val="16"/>
        </w:rPr>
        <w:t xml:space="preserve">. </w:t>
      </w:r>
      <w:r w:rsidRPr="00DD2D90">
        <w:rPr>
          <w:rStyle w:val="StyleUnderline"/>
        </w:rPr>
        <w:t>Inflation</w:t>
      </w:r>
      <w:r w:rsidRPr="009C4A5A">
        <w:rPr>
          <w:sz w:val="16"/>
        </w:rPr>
        <w:t xml:space="preserve"> </w:t>
      </w:r>
      <w:r w:rsidRPr="00DD2D90">
        <w:rPr>
          <w:rStyle w:val="StyleUnderline"/>
        </w:rPr>
        <w:t>today</w:t>
      </w:r>
      <w:r w:rsidRPr="009C4A5A">
        <w:rPr>
          <w:sz w:val="16"/>
        </w:rPr>
        <w:t xml:space="preserve">, already visible in rising prices at the pumps, </w:t>
      </w:r>
      <w:r w:rsidRPr="00DD2D90">
        <w:rPr>
          <w:rStyle w:val="StyleUnderline"/>
        </w:rPr>
        <w:t>is driven by</w:t>
      </w:r>
      <w:r w:rsidRPr="009C4A5A">
        <w:rPr>
          <w:sz w:val="16"/>
        </w:rPr>
        <w:t xml:space="preserve"> </w:t>
      </w:r>
      <w:r w:rsidRPr="00DD2D90">
        <w:rPr>
          <w:rStyle w:val="StyleUnderline"/>
        </w:rPr>
        <w:t>restricted supply</w:t>
      </w:r>
      <w:r w:rsidRPr="009C4A5A">
        <w:rPr>
          <w:sz w:val="16"/>
        </w:rPr>
        <w:t xml:space="preserve"> as Iran cuts off oil and other shipping through the Strait of Hormuz. </w:t>
      </w:r>
      <w:r w:rsidRPr="00DD2D90">
        <w:rPr>
          <w:rStyle w:val="StyleUnderline"/>
        </w:rPr>
        <w:t>The 2021-22 inflation was driven by soaring demand</w:t>
      </w:r>
      <w:r w:rsidRPr="009C4A5A">
        <w:rPr>
          <w:sz w:val="16"/>
        </w:rPr>
        <w:t xml:space="preserve"> as stimulus-rich consumers emerged from enforced hibernation during Covid lockdowns.</w:t>
      </w:r>
      <w:r w:rsidR="005B3D7F" w:rsidRPr="009C4A5A">
        <w:rPr>
          <w:sz w:val="16"/>
        </w:rPr>
        <w:t xml:space="preserve"> </w:t>
      </w:r>
      <w:r w:rsidRPr="00DD2D90">
        <w:rPr>
          <w:rStyle w:val="StyleUnderline"/>
        </w:rPr>
        <w:t xml:space="preserve">Central banks </w:t>
      </w:r>
      <w:r w:rsidRPr="009C4A5A">
        <w:rPr>
          <w:sz w:val="16"/>
        </w:rPr>
        <w:t>know how to</w:t>
      </w:r>
      <w:r w:rsidRPr="00DD2D90">
        <w:rPr>
          <w:rStyle w:val="StyleUnderline"/>
        </w:rPr>
        <w:t xml:space="preserve"> deal with too much demand</w:t>
      </w:r>
      <w:r w:rsidRPr="009C4A5A">
        <w:rPr>
          <w:sz w:val="16"/>
        </w:rPr>
        <w:t xml:space="preserve">. </w:t>
      </w:r>
      <w:r w:rsidRPr="00DD2D90">
        <w:rPr>
          <w:rStyle w:val="StyleUnderline"/>
        </w:rPr>
        <w:t>They</w:t>
      </w:r>
      <w:r w:rsidRPr="009C4A5A">
        <w:rPr>
          <w:sz w:val="16"/>
        </w:rPr>
        <w:t xml:space="preserve"> should have </w:t>
      </w:r>
      <w:r w:rsidRPr="00DD2D90">
        <w:rPr>
          <w:rStyle w:val="StyleUnderline"/>
          <w:highlight w:val="green"/>
        </w:rPr>
        <w:t>raised rates</w:t>
      </w:r>
      <w:r w:rsidRPr="009C4A5A">
        <w:rPr>
          <w:sz w:val="16"/>
        </w:rPr>
        <w:t xml:space="preserve"> much earlier than their eventual 2022 rises to hold back borrowing and spending. Today, </w:t>
      </w:r>
      <w:r w:rsidRPr="00DD2D90">
        <w:rPr>
          <w:rStyle w:val="StyleUnderline"/>
        </w:rPr>
        <w:t xml:space="preserve">they </w:t>
      </w:r>
      <w:r w:rsidRPr="00DD2D90">
        <w:rPr>
          <w:rStyle w:val="StyleUnderline"/>
          <w:highlight w:val="green"/>
        </w:rPr>
        <w:t>can’t do anything about</w:t>
      </w:r>
      <w:r w:rsidRPr="00DD2D90">
        <w:rPr>
          <w:rStyle w:val="StyleUnderline"/>
        </w:rPr>
        <w:t xml:space="preserve"> the hit to </w:t>
      </w:r>
      <w:r w:rsidRPr="00DD2D90">
        <w:rPr>
          <w:rStyle w:val="StyleUnderline"/>
          <w:highlight w:val="green"/>
        </w:rPr>
        <w:t>supply</w:t>
      </w:r>
      <w:r w:rsidRPr="00DD2D90">
        <w:rPr>
          <w:rStyle w:val="StyleUnderline"/>
        </w:rPr>
        <w:t>, because</w:t>
      </w:r>
      <w:r w:rsidRPr="009C4A5A">
        <w:rPr>
          <w:sz w:val="16"/>
        </w:rPr>
        <w:t xml:space="preserve">, as the saying goes, </w:t>
      </w:r>
      <w:r w:rsidRPr="00DD2D90">
        <w:rPr>
          <w:rStyle w:val="StyleUnderline"/>
        </w:rPr>
        <w:t>you can’t print oil.</w:t>
      </w:r>
      <w:r w:rsidR="005B3D7F" w:rsidRPr="00DD2D90">
        <w:rPr>
          <w:rStyle w:val="StyleUnderline"/>
        </w:rPr>
        <w:t xml:space="preserve"> </w:t>
      </w:r>
      <w:r w:rsidRPr="009C4A5A">
        <w:rPr>
          <w:sz w:val="16"/>
        </w:rPr>
        <w:t xml:space="preserve">Yet traders are pricing almost three quarter-point rate rises by the European Central Bank this year. </w:t>
      </w:r>
      <w:r w:rsidRPr="00DD2D90">
        <w:rPr>
          <w:rStyle w:val="StyleUnderline"/>
        </w:rPr>
        <w:t xml:space="preserve">In the U.S. they </w:t>
      </w:r>
      <w:r w:rsidRPr="00DD2D90">
        <w:rPr>
          <w:rStyle w:val="StyleUnderline"/>
          <w:highlight w:val="green"/>
        </w:rPr>
        <w:t>expect rates to be flat</w:t>
      </w:r>
      <w:r w:rsidRPr="00DD2D90">
        <w:rPr>
          <w:rStyle w:val="StyleUnderline"/>
        </w:rPr>
        <w:t>, rather than the three cuts by the Federal Reserve previously priced in</w:t>
      </w:r>
      <w:r w:rsidRPr="009C4A5A">
        <w:rPr>
          <w:sz w:val="16"/>
        </w:rPr>
        <w:t>. And the Bank of England is priced for four more rises than just before the war.</w:t>
      </w:r>
      <w:r w:rsidR="005B3D7F" w:rsidRPr="009C4A5A">
        <w:rPr>
          <w:sz w:val="16"/>
        </w:rPr>
        <w:t xml:space="preserve"> </w:t>
      </w:r>
      <w:r w:rsidRPr="009C4A5A">
        <w:rPr>
          <w:sz w:val="16"/>
        </w:rPr>
        <w:t>To me this makes no sense, for three reasons: History, the hit to the economy from expensive oil and the bigger threat posed to Europe than the U.S. First, history. In the annals of central-bank mistakes, three loom large: 1973, 2008 and 2011.</w:t>
      </w:r>
      <w:r w:rsidR="005B3D7F" w:rsidRPr="009C4A5A">
        <w:rPr>
          <w:sz w:val="16"/>
        </w:rPr>
        <w:t xml:space="preserve"> </w:t>
      </w:r>
      <w:r w:rsidRPr="009C4A5A">
        <w:rPr>
          <w:sz w:val="16"/>
        </w:rPr>
        <w:t>In the oil shock of 1973-74 caused by the Arab oil embargo, the Federal Reserve is generally regarded as having ignored the second-round effects of oil prices and kept monetary policy too easy.</w:t>
      </w:r>
      <w:r w:rsidR="005B3D7F" w:rsidRPr="009C4A5A">
        <w:rPr>
          <w:sz w:val="16"/>
        </w:rPr>
        <w:t xml:space="preserve"> </w:t>
      </w:r>
      <w:r w:rsidRPr="009C4A5A">
        <w:rPr>
          <w:sz w:val="16"/>
        </w:rPr>
        <w:t>But the mistake was made not when oil prices rose, but when they fell back during the deep recession caused by the oil-price spike. As recession took hold, the Fed eased policy, then kept it easy even when core inflation refused to drop below 6%.</w:t>
      </w:r>
      <w:r w:rsidR="005B3D7F" w:rsidRPr="009C4A5A">
        <w:rPr>
          <w:sz w:val="16"/>
        </w:rPr>
        <w:t xml:space="preserve"> </w:t>
      </w:r>
      <w:r w:rsidRPr="009C4A5A">
        <w:rPr>
          <w:sz w:val="16"/>
        </w:rPr>
        <w:t>It’s hard for those who weren’t there to believe now, but in 2008 and 2011 the ECB raised rates, focusing on soaring crude prices and ignoring already obvious trouble in the financial sector. In 2008, it had to reverse course rapidly as banks imploded, and again in 2011 as the entire euro system threatened to implode.</w:t>
      </w:r>
      <w:r w:rsidR="005B3D7F" w:rsidRPr="009C4A5A">
        <w:rPr>
          <w:sz w:val="16"/>
        </w:rPr>
        <w:t xml:space="preserve"> </w:t>
      </w:r>
      <w:r w:rsidRPr="009C4A5A">
        <w:rPr>
          <w:sz w:val="16"/>
        </w:rPr>
        <w:t xml:space="preserve">In each case, </w:t>
      </w:r>
      <w:r w:rsidRPr="00DD2D90">
        <w:rPr>
          <w:rStyle w:val="StyleUnderline"/>
        </w:rPr>
        <w:t xml:space="preserve">the problem of </w:t>
      </w:r>
      <w:r w:rsidRPr="00DD2D90">
        <w:rPr>
          <w:rStyle w:val="StyleUnderline"/>
          <w:highlight w:val="green"/>
        </w:rPr>
        <w:t>high oil prices</w:t>
      </w:r>
      <w:r w:rsidRPr="00DD2D90">
        <w:rPr>
          <w:rStyle w:val="StyleUnderline"/>
        </w:rPr>
        <w:t xml:space="preserve"> quickly </w:t>
      </w:r>
      <w:r w:rsidRPr="00DD2D90">
        <w:rPr>
          <w:rStyle w:val="StyleUnderline"/>
          <w:highlight w:val="green"/>
        </w:rPr>
        <w:t>turned into a</w:t>
      </w:r>
      <w:r w:rsidRPr="00DD2D90">
        <w:rPr>
          <w:rStyle w:val="StyleUnderline"/>
        </w:rPr>
        <w:t xml:space="preserve"> problem of a </w:t>
      </w:r>
      <w:r w:rsidRPr="00DD2D90">
        <w:rPr>
          <w:rStyle w:val="StyleUnderline"/>
          <w:highlight w:val="green"/>
        </w:rPr>
        <w:t>weak economy, with</w:t>
      </w:r>
      <w:r w:rsidRPr="00DD2D90">
        <w:rPr>
          <w:rStyle w:val="StyleUnderline"/>
        </w:rPr>
        <w:t xml:space="preserve"> lower oil prices and </w:t>
      </w:r>
      <w:r w:rsidRPr="00DD2D90">
        <w:rPr>
          <w:rStyle w:val="StyleUnderline"/>
          <w:highlight w:val="green"/>
        </w:rPr>
        <w:t>falling inflation</w:t>
      </w:r>
      <w:r w:rsidRPr="009C4A5A">
        <w:rPr>
          <w:sz w:val="16"/>
        </w:rPr>
        <w:t xml:space="preserve">. </w:t>
      </w:r>
      <w:r w:rsidRPr="00DD2D90">
        <w:rPr>
          <w:rStyle w:val="StyleUnderline"/>
        </w:rPr>
        <w:t xml:space="preserve">As the saying goes in commodities markets, </w:t>
      </w:r>
      <w:r w:rsidRPr="00DD2D90">
        <w:rPr>
          <w:rStyle w:val="StyleUnderline"/>
          <w:highlight w:val="green"/>
        </w:rPr>
        <w:t>the cure for high prices is high prices</w:t>
      </w:r>
      <w:r w:rsidRPr="009C4A5A">
        <w:rPr>
          <w:sz w:val="16"/>
          <w:highlight w:val="green"/>
        </w:rPr>
        <w:t xml:space="preserve">. </w:t>
      </w:r>
      <w:r w:rsidRPr="00DD2D90">
        <w:rPr>
          <w:rStyle w:val="StyleUnderline"/>
          <w:highlight w:val="green"/>
        </w:rPr>
        <w:t>These hurt demand and</w:t>
      </w:r>
      <w:r w:rsidRPr="009C4A5A">
        <w:rPr>
          <w:sz w:val="16"/>
        </w:rPr>
        <w:t xml:space="preserve">, eventually, </w:t>
      </w:r>
      <w:r w:rsidRPr="00DD2D90">
        <w:rPr>
          <w:rStyle w:val="StyleUnderline"/>
          <w:highlight w:val="green"/>
        </w:rPr>
        <w:t>stimulate investment in new supply</w:t>
      </w:r>
      <w:r w:rsidRPr="00DD2D90">
        <w:rPr>
          <w:rStyle w:val="StyleUnderline"/>
        </w:rPr>
        <w:t>.</w:t>
      </w:r>
      <w:r w:rsidR="005B3D7F" w:rsidRPr="00DD2D90">
        <w:rPr>
          <w:rStyle w:val="StyleUnderline"/>
        </w:rPr>
        <w:t xml:space="preserve"> </w:t>
      </w:r>
      <w:r w:rsidRPr="009C4A5A">
        <w:rPr>
          <w:sz w:val="16"/>
        </w:rPr>
        <w:t xml:space="preserve">Second, </w:t>
      </w:r>
      <w:r w:rsidRPr="00DD2D90">
        <w:rPr>
          <w:rStyle w:val="StyleUnderline"/>
        </w:rPr>
        <w:t>high oil prices also hit the economy</w:t>
      </w:r>
      <w:r w:rsidRPr="009C4A5A">
        <w:rPr>
          <w:sz w:val="16"/>
        </w:rPr>
        <w:t xml:space="preserve">. </w:t>
      </w:r>
      <w:r w:rsidRPr="00DD2D90">
        <w:rPr>
          <w:rStyle w:val="StyleUnderline"/>
        </w:rPr>
        <w:t>Consumers and businesses face higher and hard-to-avoid costs</w:t>
      </w:r>
      <w:r w:rsidRPr="009C4A5A">
        <w:rPr>
          <w:sz w:val="16"/>
        </w:rPr>
        <w:t xml:space="preserve">, much like a new tax. </w:t>
      </w:r>
      <w:r w:rsidRPr="00DD2D90">
        <w:rPr>
          <w:rStyle w:val="StyleUnderline"/>
          <w:highlight w:val="green"/>
        </w:rPr>
        <w:t xml:space="preserve">There should be no need for a </w:t>
      </w:r>
      <w:r w:rsidRPr="00DD2D90">
        <w:rPr>
          <w:rStyle w:val="Emphasis"/>
          <w:highlight w:val="green"/>
        </w:rPr>
        <w:t>double whammy</w:t>
      </w:r>
      <w:r w:rsidRPr="00DD2D90">
        <w:rPr>
          <w:rStyle w:val="StyleUnderline"/>
          <w:highlight w:val="green"/>
        </w:rPr>
        <w:t xml:space="preserve"> for borrowers</w:t>
      </w:r>
      <w:r w:rsidRPr="00DD2D90">
        <w:rPr>
          <w:rStyle w:val="StyleUnderline"/>
        </w:rPr>
        <w:t xml:space="preserve"> in the form of higher interest rates.</w:t>
      </w:r>
      <w:r w:rsidR="005B3D7F" w:rsidRPr="00DD2D90">
        <w:rPr>
          <w:rStyle w:val="StyleUnderline"/>
        </w:rPr>
        <w:t xml:space="preserve"> </w:t>
      </w:r>
      <w:r w:rsidRPr="00DD2D90">
        <w:rPr>
          <w:rStyle w:val="StyleUnderline"/>
        </w:rPr>
        <w:t xml:space="preserve">The argument for higher rates is to avoid higher inflation becoming embedded in </w:t>
      </w:r>
      <w:r w:rsidRPr="00DD2D90">
        <w:rPr>
          <w:rStyle w:val="StyleUnderline"/>
          <w:highlight w:val="green"/>
        </w:rPr>
        <w:t>consumer</w:t>
      </w:r>
      <w:r w:rsidRPr="00DD2D90">
        <w:rPr>
          <w:rStyle w:val="StyleUnderline"/>
        </w:rPr>
        <w:t xml:space="preserve"> and business </w:t>
      </w:r>
      <w:r w:rsidRPr="00DD2D90">
        <w:rPr>
          <w:rStyle w:val="StyleUnderline"/>
          <w:highlight w:val="green"/>
        </w:rPr>
        <w:t>expectations</w:t>
      </w:r>
      <w:r w:rsidRPr="009C4A5A">
        <w:rPr>
          <w:sz w:val="16"/>
        </w:rPr>
        <w:t xml:space="preserve">. </w:t>
      </w:r>
      <w:r w:rsidRPr="00DD2D90">
        <w:rPr>
          <w:rStyle w:val="StyleUnderline"/>
        </w:rPr>
        <w:t xml:space="preserve">This </w:t>
      </w:r>
      <w:r w:rsidRPr="00DD2D90">
        <w:rPr>
          <w:rStyle w:val="StyleUnderline"/>
          <w:highlight w:val="green"/>
        </w:rPr>
        <w:t>can lead to higher wage demands and</w:t>
      </w:r>
      <w:r w:rsidRPr="00DD2D90">
        <w:rPr>
          <w:rStyle w:val="StyleUnderline"/>
        </w:rPr>
        <w:t xml:space="preserve"> an additional round of </w:t>
      </w:r>
      <w:r w:rsidRPr="00DD2D90">
        <w:rPr>
          <w:rStyle w:val="StyleUnderline"/>
          <w:highlight w:val="green"/>
        </w:rPr>
        <w:t>higher prices. But this is</w:t>
      </w:r>
      <w:r w:rsidRPr="00DD2D90">
        <w:rPr>
          <w:rStyle w:val="StyleUnderline"/>
        </w:rPr>
        <w:t xml:space="preserve"> </w:t>
      </w:r>
      <w:r w:rsidRPr="00DD2D90">
        <w:rPr>
          <w:rStyle w:val="StyleUnderline"/>
          <w:highlight w:val="green"/>
        </w:rPr>
        <w:t>only likely if</w:t>
      </w:r>
      <w:r w:rsidRPr="00DD2D90">
        <w:rPr>
          <w:rStyle w:val="StyleUnderline"/>
        </w:rPr>
        <w:t xml:space="preserve"> workers and businesses have bargaining power</w:t>
      </w:r>
      <w:r w:rsidRPr="009C4A5A">
        <w:rPr>
          <w:sz w:val="16"/>
        </w:rPr>
        <w:t xml:space="preserve">—that is, </w:t>
      </w:r>
      <w:r w:rsidRPr="00DD2D90">
        <w:rPr>
          <w:rStyle w:val="StyleUnderline"/>
        </w:rPr>
        <w:t xml:space="preserve">if </w:t>
      </w:r>
      <w:r w:rsidRPr="00DD2D90">
        <w:rPr>
          <w:rStyle w:val="StyleUnderline"/>
          <w:highlight w:val="green"/>
        </w:rPr>
        <w:t>jobs are plentiful and consumers are eager to spend</w:t>
      </w:r>
      <w:r w:rsidRPr="009C4A5A">
        <w:rPr>
          <w:sz w:val="16"/>
        </w:rPr>
        <w:t>. Right now the labor market is strong, as the latest hiring report showed. But that’s before the effects of higher oil sink in.</w:t>
      </w:r>
      <w:r w:rsidR="005B3D7F" w:rsidRPr="009C4A5A">
        <w:rPr>
          <w:sz w:val="16"/>
        </w:rPr>
        <w:t xml:space="preserve"> </w:t>
      </w:r>
      <w:r w:rsidRPr="00DD2D90">
        <w:rPr>
          <w:rStyle w:val="StyleUnderline"/>
        </w:rPr>
        <w:t>Workers who can see few employers willing to hire are unlikely to threaten to quit unless paid more</w:t>
      </w:r>
      <w:r w:rsidRPr="009C4A5A">
        <w:rPr>
          <w:sz w:val="16"/>
        </w:rPr>
        <w:t xml:space="preserve">. </w:t>
      </w:r>
      <w:r w:rsidRPr="00DD2D90">
        <w:rPr>
          <w:rStyle w:val="StyleUnderline"/>
        </w:rPr>
        <w:t>Consumers</w:t>
      </w:r>
      <w:r w:rsidRPr="009C4A5A">
        <w:rPr>
          <w:sz w:val="16"/>
        </w:rPr>
        <w:t xml:space="preserve"> worried about losing their jobs </w:t>
      </w:r>
      <w:r w:rsidRPr="00DD2D90">
        <w:rPr>
          <w:rStyle w:val="StyleUnderline"/>
        </w:rPr>
        <w:t>will borrow and spend less.</w:t>
      </w:r>
      <w:r w:rsidRPr="009C4A5A">
        <w:rPr>
          <w:sz w:val="16"/>
        </w:rPr>
        <w:t xml:space="preserve"> </w:t>
      </w:r>
      <w:r w:rsidRPr="00DD2D90">
        <w:rPr>
          <w:rStyle w:val="StyleUnderline"/>
        </w:rPr>
        <w:t>Companies faced with weaker demand won’t be able to raise prices so easily.</w:t>
      </w:r>
      <w:r w:rsidR="005B3D7F" w:rsidRPr="00DD2D90">
        <w:rPr>
          <w:rStyle w:val="StyleUnderline"/>
        </w:rPr>
        <w:t xml:space="preserve"> </w:t>
      </w:r>
      <w:r w:rsidRPr="009C4A5A">
        <w:rPr>
          <w:sz w:val="16"/>
        </w:rPr>
        <w:t>Early signs are that consumers understand the problem. In the Michigan sentiment survey last month, those surveyed before the war started were much more positive about the economy, and expected much less inflation, than those surveyed afterward.</w:t>
      </w:r>
      <w:r w:rsidR="005B3D7F" w:rsidRPr="009C4A5A">
        <w:rPr>
          <w:sz w:val="16"/>
        </w:rPr>
        <w:t xml:space="preserve"> </w:t>
      </w:r>
      <w:r w:rsidRPr="009C4A5A">
        <w:rPr>
          <w:sz w:val="16"/>
        </w:rPr>
        <w:t xml:space="preserve">Both </w:t>
      </w:r>
      <w:r w:rsidRPr="00DD2D90">
        <w:rPr>
          <w:rStyle w:val="StyleUnderline"/>
          <w:highlight w:val="green"/>
        </w:rPr>
        <w:t>groups</w:t>
      </w:r>
      <w:r w:rsidRPr="009C4A5A">
        <w:rPr>
          <w:sz w:val="16"/>
        </w:rPr>
        <w:t xml:space="preserve"> also </w:t>
      </w:r>
      <w:r w:rsidRPr="00DD2D90">
        <w:rPr>
          <w:rStyle w:val="StyleUnderline"/>
          <w:highlight w:val="green"/>
        </w:rPr>
        <w:t>expect</w:t>
      </w:r>
      <w:r w:rsidRPr="009C4A5A">
        <w:rPr>
          <w:sz w:val="16"/>
        </w:rPr>
        <w:t xml:space="preserve"> more </w:t>
      </w:r>
      <w:r w:rsidRPr="00DD2D90">
        <w:rPr>
          <w:rStyle w:val="StyleUnderline"/>
        </w:rPr>
        <w:t xml:space="preserve">near-term inflation, but far </w:t>
      </w:r>
      <w:r w:rsidRPr="00DD2D90">
        <w:rPr>
          <w:rStyle w:val="StyleUnderline"/>
          <w:highlight w:val="green"/>
        </w:rPr>
        <w:t>less</w:t>
      </w:r>
      <w:r w:rsidRPr="00DD2D90">
        <w:rPr>
          <w:rStyle w:val="StyleUnderline"/>
        </w:rPr>
        <w:t xml:space="preserve"> </w:t>
      </w:r>
      <w:r w:rsidRPr="00DD2D90">
        <w:rPr>
          <w:rStyle w:val="StyleUnderline"/>
          <w:highlight w:val="green"/>
        </w:rPr>
        <w:t>long-run inflation</w:t>
      </w:r>
      <w:r w:rsidRPr="009C4A5A">
        <w:rPr>
          <w:sz w:val="16"/>
        </w:rPr>
        <w:t>. Even those asked during the war expect less long-run inflation than after the tariffs last April.</w:t>
      </w:r>
      <w:r w:rsidR="005B3D7F" w:rsidRPr="009C4A5A">
        <w:rPr>
          <w:sz w:val="16"/>
        </w:rPr>
        <w:t xml:space="preserve"> </w:t>
      </w:r>
      <w:r w:rsidRPr="009C4A5A">
        <w:rPr>
          <w:sz w:val="16"/>
        </w:rPr>
        <w:t xml:space="preserve">Investors understand it, too. In the next year they expect much more inflation. But the bond market’s best guess of inflation for the five years starting in five years is flat since the war began. </w:t>
      </w:r>
      <w:r w:rsidRPr="00DD2D90">
        <w:rPr>
          <w:rStyle w:val="StyleUnderline"/>
        </w:rPr>
        <w:t>A hit to supply reduces growth, and in the long term that means less inflationary pressure</w:t>
      </w:r>
      <w:r w:rsidRPr="009C4A5A">
        <w:rPr>
          <w:sz w:val="16"/>
        </w:rPr>
        <w:t>.</w:t>
      </w:r>
      <w:r w:rsidR="005B3D7F" w:rsidRPr="009C4A5A">
        <w:rPr>
          <w:sz w:val="16"/>
        </w:rPr>
        <w:t xml:space="preserve"> </w:t>
      </w:r>
      <w:r w:rsidRPr="009C4A5A">
        <w:rPr>
          <w:sz w:val="16"/>
        </w:rPr>
        <w:t>This brings us to the third point, that in spite of this investors expect a series of ECB and Bank of England rate rises, while the U.S. stands pat.</w:t>
      </w:r>
      <w:r w:rsidR="005B3D7F" w:rsidRPr="009C4A5A">
        <w:rPr>
          <w:sz w:val="16"/>
        </w:rPr>
        <w:t xml:space="preserve"> </w:t>
      </w:r>
      <w:r w:rsidRPr="009C4A5A">
        <w:rPr>
          <w:sz w:val="16"/>
        </w:rPr>
        <w:t>If anything, it should be the other way round. The U.S. is a net exporter of energy, so gets economic benefits from higher oil prices (though probably not enough to offset the pain for consumers of oil). Europe and the U.K. are big importers, paying more for their oil and so, in principle, suffering a bigger hit to their economies.</w:t>
      </w:r>
      <w:r w:rsidR="005B3D7F" w:rsidRPr="009C4A5A">
        <w:rPr>
          <w:sz w:val="16"/>
        </w:rPr>
        <w:t xml:space="preserve"> </w:t>
      </w:r>
    </w:p>
    <w:p w14:paraId="7F38A0CA" w14:textId="641653BE" w:rsidR="003C5546" w:rsidRPr="009C4A5A" w:rsidRDefault="003C5546" w:rsidP="003C5546">
      <w:pPr>
        <w:pStyle w:val="Heading4"/>
        <w:rPr>
          <w:szCs w:val="26"/>
        </w:rPr>
      </w:pPr>
      <w:r w:rsidRPr="009C4A5A">
        <w:rPr>
          <w:szCs w:val="26"/>
        </w:rPr>
        <w:t>All current inflation is from the supply shock of tariffs</w:t>
      </w:r>
    </w:p>
    <w:p w14:paraId="1A055B22" w14:textId="57D818AB" w:rsidR="003C5546" w:rsidRPr="00DD2D90" w:rsidRDefault="00AE4E15" w:rsidP="003C5546">
      <w:r w:rsidRPr="009C4A5A">
        <w:rPr>
          <w:b/>
          <w:bCs/>
          <w:sz w:val="26"/>
          <w:szCs w:val="26"/>
        </w:rPr>
        <w:t>Boehm 4-13</w:t>
      </w:r>
      <w:r w:rsidRPr="00DD2D90">
        <w:t xml:space="preserve"> [</w:t>
      </w:r>
      <w:r w:rsidR="003C5546" w:rsidRPr="00DD2D90">
        <w:t xml:space="preserve">Eric Boehm, </w:t>
      </w:r>
      <w:r w:rsidR="00746791" w:rsidRPr="00DD2D90">
        <w:t xml:space="preserve">Reason reporter with a bachelor's degree in history and communications from Fairfield University, </w:t>
      </w:r>
      <w:r w:rsidR="003C5546" w:rsidRPr="00DD2D90">
        <w:t>4-13-2026, "Federal Reserve: Without tariffs, inflation would have dropped to pre-pandemic levels during 2025", Reason, https://reason.com/2026/04/13/federal-reserve-without-tariffs-inflation-would-have-dropped-to-pre-pandemic-levels-during-2025/]/Kankee</w:t>
      </w:r>
    </w:p>
    <w:p w14:paraId="5B261453" w14:textId="5C2F3259" w:rsidR="003C5546" w:rsidRPr="009C4A5A" w:rsidRDefault="003C5546" w:rsidP="003C5546">
      <w:pPr>
        <w:rPr>
          <w:sz w:val="16"/>
        </w:rPr>
      </w:pPr>
      <w:r w:rsidRPr="00DD2D90">
        <w:rPr>
          <w:rStyle w:val="StyleUnderline"/>
          <w:highlight w:val="green"/>
        </w:rPr>
        <w:t>Tariffs</w:t>
      </w:r>
      <w:r w:rsidRPr="009C4A5A">
        <w:rPr>
          <w:sz w:val="16"/>
        </w:rPr>
        <w:t xml:space="preserve"> implemented last year by President Donald Trump's administration </w:t>
      </w:r>
      <w:r w:rsidRPr="00DD2D90">
        <w:rPr>
          <w:rStyle w:val="StyleUnderline"/>
          <w:highlight w:val="green"/>
        </w:rPr>
        <w:t xml:space="preserve">are </w:t>
      </w:r>
      <w:r w:rsidRPr="00DD2D90">
        <w:rPr>
          <w:rStyle w:val="Emphasis"/>
          <w:highlight w:val="green"/>
        </w:rPr>
        <w:t>entirely</w:t>
      </w:r>
      <w:r w:rsidRPr="00DD2D90">
        <w:rPr>
          <w:rStyle w:val="StyleUnderline"/>
          <w:highlight w:val="green"/>
        </w:rPr>
        <w:t xml:space="preserve"> to</w:t>
      </w:r>
      <w:r w:rsidRPr="009C4A5A">
        <w:rPr>
          <w:sz w:val="16"/>
          <w:highlight w:val="green"/>
        </w:rPr>
        <w:t xml:space="preserve"> </w:t>
      </w:r>
      <w:r w:rsidRPr="00DD2D90">
        <w:rPr>
          <w:rStyle w:val="StyleUnderline"/>
          <w:highlight w:val="green"/>
        </w:rPr>
        <w:t>blame for</w:t>
      </w:r>
      <w:r w:rsidRPr="00DD2D90">
        <w:rPr>
          <w:rStyle w:val="StyleUnderline"/>
        </w:rPr>
        <w:t xml:space="preserve"> the recent </w:t>
      </w:r>
      <w:r w:rsidRPr="00DD2D90">
        <w:rPr>
          <w:rStyle w:val="StyleUnderline"/>
          <w:highlight w:val="green"/>
        </w:rPr>
        <w:t>surge in</w:t>
      </w:r>
      <w:r w:rsidRPr="00DD2D90">
        <w:rPr>
          <w:rStyle w:val="StyleUnderline"/>
        </w:rPr>
        <w:t xml:space="preserve"> prices for consumer and household goods</w:t>
      </w:r>
      <w:r w:rsidRPr="009C4A5A">
        <w:rPr>
          <w:sz w:val="16"/>
        </w:rPr>
        <w:t>.</w:t>
      </w:r>
      <w:r w:rsidR="00D8014F" w:rsidRPr="009C4A5A">
        <w:rPr>
          <w:sz w:val="16"/>
        </w:rPr>
        <w:t xml:space="preserve"> </w:t>
      </w:r>
      <w:r w:rsidRPr="009C4A5A">
        <w:rPr>
          <w:sz w:val="16"/>
        </w:rPr>
        <w:t xml:space="preserve">Those </w:t>
      </w:r>
      <w:r w:rsidRPr="00DD2D90">
        <w:rPr>
          <w:rStyle w:val="StyleUnderline"/>
        </w:rPr>
        <w:t>tariffs</w:t>
      </w:r>
      <w:r w:rsidRPr="009C4A5A">
        <w:rPr>
          <w:sz w:val="16"/>
        </w:rPr>
        <w:t xml:space="preserve"> have </w:t>
      </w:r>
      <w:r w:rsidRPr="00DD2D90">
        <w:rPr>
          <w:rStyle w:val="StyleUnderline"/>
        </w:rPr>
        <w:t xml:space="preserve">raised </w:t>
      </w:r>
      <w:r w:rsidRPr="00DD2D90">
        <w:rPr>
          <w:rStyle w:val="StyleUnderline"/>
          <w:highlight w:val="green"/>
        </w:rPr>
        <w:t>core goods prices</w:t>
      </w:r>
      <w:r w:rsidRPr="00DD2D90">
        <w:rPr>
          <w:rStyle w:val="StyleUnderline"/>
        </w:rPr>
        <w:t xml:space="preserve"> </w:t>
      </w:r>
      <w:r w:rsidRPr="00DD2D90">
        <w:rPr>
          <w:rStyle w:val="StyleUnderline"/>
          <w:highlight w:val="green"/>
        </w:rPr>
        <w:t xml:space="preserve">by </w:t>
      </w:r>
      <w:r w:rsidRPr="00DD2D90">
        <w:rPr>
          <w:rStyle w:val="Emphasis"/>
          <w:highlight w:val="green"/>
        </w:rPr>
        <w:t>3.1 percent</w:t>
      </w:r>
      <w:r w:rsidRPr="009C4A5A">
        <w:rPr>
          <w:sz w:val="16"/>
        </w:rPr>
        <w:t xml:space="preserve">, according to a new study by a trio of economists at the Federal Reserve. Those </w:t>
      </w:r>
      <w:r w:rsidRPr="00DD2D90">
        <w:rPr>
          <w:rStyle w:val="StyleUnderline"/>
        </w:rPr>
        <w:t>higher consumer prices were the result of retailers passing the cost of tariffs along the supply chain</w:t>
      </w:r>
      <w:r w:rsidRPr="009C4A5A">
        <w:rPr>
          <w:sz w:val="16"/>
        </w:rPr>
        <w:t>.</w:t>
      </w:r>
      <w:r w:rsidR="00D8014F" w:rsidRPr="009C4A5A">
        <w:rPr>
          <w:sz w:val="16"/>
        </w:rPr>
        <w:t xml:space="preserve"> </w:t>
      </w:r>
      <w:r w:rsidRPr="009C4A5A">
        <w:rPr>
          <w:sz w:val="16"/>
        </w:rPr>
        <w:t xml:space="preserve">As of February 2026, the </w:t>
      </w:r>
      <w:r w:rsidRPr="00DD2D90">
        <w:rPr>
          <w:rStyle w:val="StyleUnderline"/>
          <w:highlight w:val="green"/>
        </w:rPr>
        <w:t>tariffs</w:t>
      </w:r>
      <w:r w:rsidRPr="009C4A5A">
        <w:rPr>
          <w:sz w:val="16"/>
        </w:rPr>
        <w:t xml:space="preserve"> "</w:t>
      </w:r>
      <w:r w:rsidRPr="00DD2D90">
        <w:rPr>
          <w:rStyle w:val="StyleUnderline"/>
        </w:rPr>
        <w:t xml:space="preserve">can </w:t>
      </w:r>
      <w:r w:rsidRPr="00DD2D90">
        <w:rPr>
          <w:rStyle w:val="StyleUnderline"/>
          <w:highlight w:val="green"/>
        </w:rPr>
        <w:t xml:space="preserve">explain the </w:t>
      </w:r>
      <w:r w:rsidRPr="00DD2D90">
        <w:rPr>
          <w:rStyle w:val="Emphasis"/>
          <w:highlight w:val="green"/>
        </w:rPr>
        <w:t>entirety</w:t>
      </w:r>
      <w:r w:rsidRPr="00DD2D90">
        <w:rPr>
          <w:rStyle w:val="StyleUnderline"/>
          <w:highlight w:val="green"/>
        </w:rPr>
        <w:t xml:space="preserve"> of the excess inflation</w:t>
      </w:r>
      <w:r w:rsidRPr="00DD2D90">
        <w:rPr>
          <w:rStyle w:val="StyleUnderline"/>
        </w:rPr>
        <w:t xml:space="preserve"> in the core goods category </w:t>
      </w:r>
      <w:r w:rsidRPr="00DD2D90">
        <w:rPr>
          <w:rStyle w:val="StyleUnderline"/>
          <w:highlight w:val="green"/>
        </w:rPr>
        <w:t>since January 2025</w:t>
      </w:r>
      <w:r w:rsidRPr="009C4A5A">
        <w:rPr>
          <w:sz w:val="16"/>
        </w:rPr>
        <w:t xml:space="preserve">," the economists concluded. "Our estimates indicate that </w:t>
      </w:r>
      <w:r w:rsidRPr="00DD2D90">
        <w:rPr>
          <w:rStyle w:val="StyleUnderline"/>
        </w:rPr>
        <w:t>tariff effects on prices gradually build over time, with cumulative effects seven months after implementation</w:t>
      </w:r>
      <w:r w:rsidRPr="009C4A5A">
        <w:rPr>
          <w:sz w:val="16"/>
        </w:rPr>
        <w:t xml:space="preserve"> consistent with our theoretical measures of full dollar-for-dollar pass-through."</w:t>
      </w:r>
      <w:r w:rsidR="00D8014F" w:rsidRPr="009C4A5A">
        <w:rPr>
          <w:sz w:val="16"/>
        </w:rPr>
        <w:t xml:space="preserve"> </w:t>
      </w:r>
      <w:r w:rsidRPr="009C4A5A">
        <w:rPr>
          <w:sz w:val="16"/>
        </w:rPr>
        <w:t xml:space="preserve">The study used the personal consumption expenditures price index (PCE), which is published quarterly by the federal Bureau of Economic Analysis and differs in some small ways from the monthly consumer price index published by the Department of Labor. The most recent PCE index, published in February, showed that </w:t>
      </w:r>
      <w:r w:rsidRPr="00DD2D90">
        <w:rPr>
          <w:rStyle w:val="StyleUnderline"/>
        </w:rPr>
        <w:t>prices have increased by 2.8 percent over the previous year.</w:t>
      </w:r>
      <w:r w:rsidR="00D8014F" w:rsidRPr="00DD2D90">
        <w:rPr>
          <w:rStyle w:val="StyleUnderline"/>
        </w:rPr>
        <w:t xml:space="preserve"> </w:t>
      </w:r>
      <w:r w:rsidRPr="00DD2D90">
        <w:rPr>
          <w:rStyle w:val="StyleUnderline"/>
          <w:highlight w:val="green"/>
        </w:rPr>
        <w:t>Without</w:t>
      </w:r>
      <w:r w:rsidRPr="00DD2D90">
        <w:rPr>
          <w:rStyle w:val="StyleUnderline"/>
        </w:rPr>
        <w:t xml:space="preserve"> the price increases caused by the </w:t>
      </w:r>
      <w:r w:rsidRPr="00DD2D90">
        <w:rPr>
          <w:rStyle w:val="StyleUnderline"/>
          <w:highlight w:val="green"/>
        </w:rPr>
        <w:t>tariffs</w:t>
      </w:r>
      <w:r w:rsidRPr="00DD2D90">
        <w:rPr>
          <w:rStyle w:val="StyleUnderline"/>
        </w:rPr>
        <w:t xml:space="preserve">, </w:t>
      </w:r>
      <w:r w:rsidRPr="00DD2D90">
        <w:rPr>
          <w:rStyle w:val="StyleUnderline"/>
          <w:highlight w:val="green"/>
        </w:rPr>
        <w:t>price</w:t>
      </w:r>
      <w:r w:rsidRPr="00DD2D90">
        <w:rPr>
          <w:rStyle w:val="StyleUnderline"/>
        </w:rPr>
        <w:t xml:space="preserve"> </w:t>
      </w:r>
      <w:r w:rsidRPr="00DD2D90">
        <w:rPr>
          <w:rStyle w:val="StyleUnderline"/>
          <w:highlight w:val="green"/>
        </w:rPr>
        <w:t>increases</w:t>
      </w:r>
      <w:r w:rsidRPr="00DD2D90">
        <w:rPr>
          <w:rStyle w:val="StyleUnderline"/>
        </w:rPr>
        <w:t xml:space="preserve"> for household and consumer goods </w:t>
      </w:r>
      <w:r w:rsidRPr="00DD2D90">
        <w:rPr>
          <w:rStyle w:val="StyleUnderline"/>
          <w:highlight w:val="green"/>
        </w:rPr>
        <w:t>would have fallen below pre-pandemic trendlines</w:t>
      </w:r>
      <w:r w:rsidRPr="009C4A5A">
        <w:rPr>
          <w:sz w:val="16"/>
        </w:rPr>
        <w:t>, the Federal Reserve study found:</w:t>
      </w:r>
      <w:r w:rsidR="00D8014F" w:rsidRPr="009C4A5A">
        <w:rPr>
          <w:sz w:val="16"/>
        </w:rPr>
        <w:t xml:space="preserve"> </w:t>
      </w:r>
      <w:r w:rsidRPr="009C4A5A">
        <w:rPr>
          <w:sz w:val="16"/>
        </w:rPr>
        <w:t>Shortly after announcing his sweeping trade barriers last April, the president claimed that foreign countries and corporations "probably would eat those tariffs." Trump has continued to make that argument even as evidence showing the opposite has piled up. In a January op-ed for The Wall Street Journal, the president wrote that the "burden, or 'incidence,' of the tariffs has fallen overwhelmingly on foreign producers and middlemen, including large corporations that are not from the U.S."</w:t>
      </w:r>
      <w:r w:rsidR="00D8014F" w:rsidRPr="009C4A5A">
        <w:rPr>
          <w:sz w:val="16"/>
        </w:rPr>
        <w:t xml:space="preserve"> </w:t>
      </w:r>
      <w:r w:rsidRPr="009C4A5A">
        <w:rPr>
          <w:sz w:val="16"/>
        </w:rPr>
        <w:t xml:space="preserve">The new study is just the latest evidence that </w:t>
      </w:r>
      <w:r w:rsidRPr="00DD2D90">
        <w:rPr>
          <w:rStyle w:val="StyleUnderline"/>
        </w:rPr>
        <w:t>American consumers are</w:t>
      </w:r>
      <w:r w:rsidRPr="009C4A5A">
        <w:rPr>
          <w:sz w:val="16"/>
        </w:rPr>
        <w:t xml:space="preserve"> basically </w:t>
      </w:r>
      <w:r w:rsidRPr="00DD2D90">
        <w:rPr>
          <w:rStyle w:val="StyleUnderline"/>
        </w:rPr>
        <w:t>paying the full cost of Trump's tariffs</w:t>
      </w:r>
      <w:r w:rsidRPr="009C4A5A">
        <w:rPr>
          <w:sz w:val="16"/>
        </w:rPr>
        <w:t xml:space="preserve">. A paper published in February by economists from the Federal Reserve and Columbia University showed that </w:t>
      </w:r>
      <w:r w:rsidRPr="00DD2D90">
        <w:rPr>
          <w:rStyle w:val="StyleUnderline"/>
        </w:rPr>
        <w:t xml:space="preserve">Americans are paying </w:t>
      </w:r>
      <w:r w:rsidRPr="00DD2D90">
        <w:rPr>
          <w:rStyle w:val="Emphasis"/>
        </w:rPr>
        <w:t>94 percent</w:t>
      </w:r>
      <w:r w:rsidRPr="00DD2D90">
        <w:rPr>
          <w:rStyle w:val="StyleUnderline"/>
        </w:rPr>
        <w:t xml:space="preserve"> of the tariffs' costs</w:t>
      </w:r>
      <w:r w:rsidRPr="009C4A5A">
        <w:rPr>
          <w:sz w:val="16"/>
        </w:rPr>
        <w:t xml:space="preserve">. Other studies from a variety of sources have found similar results. One recent paper looking at wine tariffs from Trump's first term found that </w:t>
      </w:r>
      <w:r w:rsidRPr="00DD2D90">
        <w:rPr>
          <w:rStyle w:val="StyleUnderline"/>
        </w:rPr>
        <w:t>consumers actually paid the full cost of the tariff and then some, thanks to higher markups along the supply chain</w:t>
      </w:r>
      <w:r w:rsidRPr="009C4A5A">
        <w:rPr>
          <w:sz w:val="16"/>
        </w:rPr>
        <w:t>.</w:t>
      </w:r>
      <w:r w:rsidR="00D8014F" w:rsidRPr="009C4A5A">
        <w:rPr>
          <w:sz w:val="16"/>
        </w:rPr>
        <w:t xml:space="preserve"> </w:t>
      </w:r>
      <w:r w:rsidRPr="009C4A5A">
        <w:rPr>
          <w:sz w:val="16"/>
        </w:rPr>
        <w:t xml:space="preserve">None of this should come as a surprise to anyone outside the White House. </w:t>
      </w:r>
      <w:r w:rsidRPr="00DD2D90">
        <w:rPr>
          <w:rStyle w:val="StyleUnderline"/>
        </w:rPr>
        <w:t>Tariffs raise prices. That is the only thing they do</w:t>
      </w:r>
      <w:r w:rsidRPr="009C4A5A">
        <w:rPr>
          <w:sz w:val="16"/>
        </w:rPr>
        <w:t>.</w:t>
      </w:r>
      <w:r w:rsidR="00D8014F" w:rsidRPr="009C4A5A">
        <w:rPr>
          <w:sz w:val="16"/>
        </w:rPr>
        <w:t xml:space="preserve"> </w:t>
      </w:r>
      <w:r w:rsidRPr="009C4A5A">
        <w:rPr>
          <w:sz w:val="16"/>
        </w:rPr>
        <w:t xml:space="preserve">Indeed, </w:t>
      </w:r>
      <w:r w:rsidRPr="00DD2D90">
        <w:rPr>
          <w:rStyle w:val="StyleUnderline"/>
        </w:rPr>
        <w:t>if tariffs did not raise prices, they would be</w:t>
      </w:r>
      <w:r w:rsidRPr="009C4A5A">
        <w:rPr>
          <w:sz w:val="16"/>
        </w:rPr>
        <w:t xml:space="preserve"> completely </w:t>
      </w:r>
      <w:r w:rsidRPr="00DD2D90">
        <w:rPr>
          <w:rStyle w:val="StyleUnderline"/>
        </w:rPr>
        <w:t>ineffective</w:t>
      </w:r>
      <w:r w:rsidRPr="009C4A5A">
        <w:rPr>
          <w:sz w:val="16"/>
        </w:rPr>
        <w:t xml:space="preserve">. The entire theory behind Trump's use of tariffs is that hiking the price of imports will make domestically produced items more favorably priced. </w:t>
      </w:r>
      <w:r w:rsidRPr="00DD2D90">
        <w:rPr>
          <w:rStyle w:val="StyleUnderline"/>
        </w:rPr>
        <w:t>If foreign companies "eat" their cost, they would be useless as a protectionist policy</w:t>
      </w:r>
      <w:r w:rsidRPr="009C4A5A">
        <w:rPr>
          <w:sz w:val="16"/>
        </w:rPr>
        <w:t>.</w:t>
      </w:r>
      <w:r w:rsidR="00D8014F" w:rsidRPr="009C4A5A">
        <w:rPr>
          <w:sz w:val="16"/>
        </w:rPr>
        <w:t xml:space="preserve"> </w:t>
      </w:r>
      <w:r w:rsidRPr="009C4A5A">
        <w:rPr>
          <w:sz w:val="16"/>
        </w:rPr>
        <w:t xml:space="preserve">So the contradictions in Trump's tariff policies have always been apparent. But they are now becoming impossible to ignore. </w:t>
      </w:r>
    </w:p>
    <w:p w14:paraId="58C7146C" w14:textId="77777777" w:rsidR="00F81E93" w:rsidRPr="009C4A5A" w:rsidRDefault="00F81E93">
      <w:pPr>
        <w:rPr>
          <w:rFonts w:eastAsiaTheme="majorEastAsia" w:cstheme="majorBidi"/>
          <w:b/>
          <w:iCs/>
          <w:sz w:val="16"/>
        </w:rPr>
      </w:pPr>
      <w:r w:rsidRPr="009C4A5A">
        <w:rPr>
          <w:sz w:val="16"/>
        </w:rPr>
        <w:br w:type="page"/>
      </w:r>
    </w:p>
    <w:p w14:paraId="6D9FDE2E" w14:textId="51F25581" w:rsidR="008732A1" w:rsidRPr="009C4A5A" w:rsidRDefault="002417EC" w:rsidP="008732A1">
      <w:pPr>
        <w:pStyle w:val="Heading4"/>
        <w:rPr>
          <w:szCs w:val="26"/>
        </w:rPr>
      </w:pPr>
      <w:r w:rsidRPr="009C4A5A">
        <w:rPr>
          <w:szCs w:val="26"/>
        </w:rPr>
        <w:t>I</w:t>
      </w:r>
      <w:r w:rsidR="00617E2B" w:rsidRPr="009C4A5A">
        <w:rPr>
          <w:szCs w:val="26"/>
        </w:rPr>
        <w:t>ncreased entitlement spending causes hyperinflation</w:t>
      </w:r>
      <w:r w:rsidRPr="009C4A5A">
        <w:rPr>
          <w:szCs w:val="26"/>
        </w:rPr>
        <w:t xml:space="preserve"> – current debt is so high that the inflation from increased spending cannot be controlled by the </w:t>
      </w:r>
      <w:r w:rsidR="00D97781" w:rsidRPr="009C4A5A">
        <w:rPr>
          <w:szCs w:val="26"/>
        </w:rPr>
        <w:t>Fed</w:t>
      </w:r>
    </w:p>
    <w:p w14:paraId="291B830C" w14:textId="77777777" w:rsidR="008732A1" w:rsidRPr="00DD2D90" w:rsidRDefault="008732A1" w:rsidP="008732A1">
      <w:r w:rsidRPr="009C4A5A">
        <w:rPr>
          <w:b/>
          <w:bCs/>
          <w:sz w:val="26"/>
          <w:szCs w:val="26"/>
        </w:rPr>
        <w:t>Roytburg 01-05</w:t>
      </w:r>
      <w:r w:rsidRPr="00DD2D90">
        <w:t xml:space="preserve"> [Eva Roytburg, macroeconomics reporter at Fortune with a degree in economics from Emory University, 01-05-2026, “Janet Yellen warns the $38 trillion national debt is testing a </w:t>
      </w:r>
      <w:proofErr w:type="gramStart"/>
      <w:r w:rsidRPr="00DD2D90">
        <w:t>red line economists</w:t>
      </w:r>
      <w:proofErr w:type="gramEnd"/>
      <w:r w:rsidRPr="00DD2D90">
        <w:t xml:space="preserve"> have feared for decades,” Fortune, https://fortune.com/2026/01/05/janet-yellen-warns-38-trillion-national-debt-fiscal-dominance-eric-leeper-heather-long/]/Kankee</w:t>
      </w:r>
    </w:p>
    <w:p w14:paraId="1F7F3269" w14:textId="77777777" w:rsidR="008732A1" w:rsidRPr="009C4A5A" w:rsidRDefault="008732A1" w:rsidP="002417EC">
      <w:pPr>
        <w:rPr>
          <w:sz w:val="16"/>
        </w:rPr>
      </w:pPr>
      <w:r w:rsidRPr="009C4A5A">
        <w:rPr>
          <w:sz w:val="16"/>
        </w:rPr>
        <w:t xml:space="preserve">Two thousand years before the U.S. federal government’s debt crossed the $38 trillion threshold, the Roman Empire faced a similar-looking calculus: a state with increasingly expensive obligations and a very limited appetite for taxes. To pay for this discrepancy, emperors pursued a policy known as “debasement”: gradually shaving off the silver from the coins until the value of the metal became more about its symbol than the metal itself. In practical terms, it was a way to pay bills without fully admitting the cost. The long-run risk wasn’t just hyperinflation, it was that once people stopped trusting the coin, everything else in the economy became harder to coordinate. The modern equivalent isn’t literal coin shaving. But as 2026 starts with the U.S. staring down a 120% debt-to-GDP ratio, </w:t>
      </w:r>
      <w:r w:rsidRPr="00DD2D90">
        <w:rPr>
          <w:rStyle w:val="StyleUnderline"/>
          <w:highlight w:val="green"/>
        </w:rPr>
        <w:t>top economists</w:t>
      </w:r>
      <w:r w:rsidRPr="009C4A5A">
        <w:rPr>
          <w:sz w:val="16"/>
        </w:rPr>
        <w:t xml:space="preserve">, </w:t>
      </w:r>
      <w:r w:rsidRPr="00DD2D90">
        <w:rPr>
          <w:rStyle w:val="StyleUnderline"/>
        </w:rPr>
        <w:t>including former Fed Chair</w:t>
      </w:r>
      <w:r w:rsidRPr="009C4A5A">
        <w:rPr>
          <w:sz w:val="16"/>
        </w:rPr>
        <w:t xml:space="preserve"> Janet </w:t>
      </w:r>
      <w:r w:rsidRPr="00DD2D90">
        <w:rPr>
          <w:rStyle w:val="StyleUnderline"/>
        </w:rPr>
        <w:t>Yellen</w:t>
      </w:r>
      <w:r w:rsidRPr="009C4A5A">
        <w:rPr>
          <w:sz w:val="16"/>
        </w:rPr>
        <w:t xml:space="preserve">, </w:t>
      </w:r>
      <w:r w:rsidRPr="00DD2D90">
        <w:rPr>
          <w:rStyle w:val="Emphasis"/>
          <w:highlight w:val="green"/>
        </w:rPr>
        <w:t>fear</w:t>
      </w:r>
      <w:r w:rsidRPr="009C4A5A">
        <w:rPr>
          <w:sz w:val="16"/>
        </w:rPr>
        <w:t xml:space="preserve"> a different sort of debasement will begin—something called fiscal dominance. </w:t>
      </w:r>
      <w:r w:rsidRPr="00DD2D90">
        <w:rPr>
          <w:rStyle w:val="Emphasis"/>
          <w:highlight w:val="green"/>
        </w:rPr>
        <w:t>Fiscal dominance</w:t>
      </w:r>
      <w:r w:rsidRPr="009C4A5A">
        <w:rPr>
          <w:sz w:val="16"/>
        </w:rPr>
        <w:t xml:space="preserve"> is the point at which </w:t>
      </w:r>
      <w:r w:rsidRPr="00DD2D90">
        <w:rPr>
          <w:rStyle w:val="StyleUnderline"/>
        </w:rPr>
        <w:t>financing needs begin to constrain the central bank’s inflation fight, and the adjustment happens through the purchasing power of money rather than through taxes or spending cuts</w:t>
      </w:r>
      <w:r w:rsidRPr="009C4A5A">
        <w:rPr>
          <w:sz w:val="16"/>
        </w:rPr>
        <w:t xml:space="preserve">. Imagine the U.S. economy is a car, with the Treasury as the driver, ready to spend money at the government’s behest, and </w:t>
      </w:r>
      <w:r w:rsidRPr="00DD2D90">
        <w:rPr>
          <w:rStyle w:val="StyleUnderline"/>
        </w:rPr>
        <w:t>the Federal Reserve is the brake, ready to raise interest rates to slow inflation if the Treasury spends too much</w:t>
      </w:r>
      <w:r w:rsidRPr="009C4A5A">
        <w:rPr>
          <w:sz w:val="16"/>
        </w:rPr>
        <w:t xml:space="preserve">. </w:t>
      </w:r>
      <w:r w:rsidRPr="00DD2D90">
        <w:rPr>
          <w:rStyle w:val="StyleUnderline"/>
        </w:rPr>
        <w:t xml:space="preserve">The car is now towing a </w:t>
      </w:r>
      <w:r w:rsidRPr="00DD2D90">
        <w:rPr>
          <w:rStyle w:val="Emphasis"/>
        </w:rPr>
        <w:t>$38 trillion</w:t>
      </w:r>
      <w:r w:rsidRPr="00DD2D90">
        <w:rPr>
          <w:rStyle w:val="StyleUnderline"/>
        </w:rPr>
        <w:t xml:space="preserve"> trailer</w:t>
      </w:r>
      <w:r w:rsidRPr="009C4A5A">
        <w:rPr>
          <w:sz w:val="16"/>
        </w:rPr>
        <w:t xml:space="preserve">. The weight is so heavy that </w:t>
      </w:r>
      <w:r w:rsidRPr="00DD2D90">
        <w:rPr>
          <w:rStyle w:val="StyleUnderline"/>
          <w:highlight w:val="green"/>
        </w:rPr>
        <w:t xml:space="preserve">if the Fed hits the brakes too hard, the brake pads will </w:t>
      </w:r>
      <w:r w:rsidRPr="00DD2D90">
        <w:rPr>
          <w:rStyle w:val="Emphasis"/>
          <w:highlight w:val="green"/>
        </w:rPr>
        <w:t>explode</w:t>
      </w:r>
      <w:r w:rsidRPr="00DD2D90">
        <w:rPr>
          <w:rStyle w:val="StyleUnderline"/>
          <w:highlight w:val="green"/>
        </w:rPr>
        <w:t xml:space="preserve"> from the pressure</w:t>
      </w:r>
      <w:r w:rsidRPr="009C4A5A">
        <w:rPr>
          <w:sz w:val="16"/>
        </w:rPr>
        <w:t xml:space="preserve"> (the government’s </w:t>
      </w:r>
      <w:r w:rsidRPr="00DD2D90">
        <w:rPr>
          <w:rStyle w:val="StyleUnderline"/>
          <w:highlight w:val="green"/>
        </w:rPr>
        <w:t xml:space="preserve">interest payments will become too expensive, causing a </w:t>
      </w:r>
      <w:r w:rsidRPr="00DD2D90">
        <w:rPr>
          <w:rStyle w:val="Emphasis"/>
          <w:highlight w:val="green"/>
        </w:rPr>
        <w:t>default</w:t>
      </w:r>
      <w:r w:rsidRPr="009C4A5A">
        <w:rPr>
          <w:sz w:val="16"/>
        </w:rPr>
        <w:t xml:space="preserve">). So, </w:t>
      </w:r>
      <w:r w:rsidRPr="00DD2D90">
        <w:rPr>
          <w:rStyle w:val="StyleUnderline"/>
        </w:rPr>
        <w:t xml:space="preserve">to prevent the car from crashing, </w:t>
      </w:r>
      <w:r w:rsidRPr="00DD2D90">
        <w:rPr>
          <w:rStyle w:val="StyleUnderline"/>
          <w:highlight w:val="green"/>
        </w:rPr>
        <w:t xml:space="preserve">the Fed is forced to let off the brake, even if the car is speeding toward the cliff of overspending. The result: </w:t>
      </w:r>
      <w:r w:rsidRPr="00DD2D90">
        <w:rPr>
          <w:rStyle w:val="Emphasis"/>
          <w:highlight w:val="green"/>
        </w:rPr>
        <w:t>hyperinflation</w:t>
      </w:r>
      <w:r w:rsidRPr="009C4A5A">
        <w:rPr>
          <w:sz w:val="16"/>
        </w:rPr>
        <w:t xml:space="preserve">. At a panel hosted by the American Economic Association on Sunday, </w:t>
      </w:r>
      <w:r w:rsidRPr="00DD2D90">
        <w:rPr>
          <w:rStyle w:val="StyleUnderline"/>
        </w:rPr>
        <w:t>Yellen</w:t>
      </w:r>
      <w:r w:rsidRPr="009C4A5A">
        <w:rPr>
          <w:sz w:val="16"/>
        </w:rPr>
        <w:t xml:space="preserve"> said she </w:t>
      </w:r>
      <w:r w:rsidRPr="00DD2D90">
        <w:rPr>
          <w:rStyle w:val="StyleUnderline"/>
        </w:rPr>
        <w:t>worries the U.S. might be getting to the point where the car is too heavy for the brakes to work</w:t>
      </w:r>
      <w:r w:rsidRPr="009C4A5A">
        <w:rPr>
          <w:sz w:val="16"/>
        </w:rPr>
        <w:t xml:space="preserve">. “The preconditions for fiscal dominance are clearly strengthening,” Yellen warned, noting </w:t>
      </w:r>
      <w:r w:rsidRPr="00DD2D90">
        <w:rPr>
          <w:rStyle w:val="StyleUnderline"/>
          <w:highlight w:val="green"/>
        </w:rPr>
        <w:t>debt is on a</w:t>
      </w:r>
      <w:r w:rsidRPr="00DD2D90">
        <w:rPr>
          <w:rStyle w:val="StyleUnderline"/>
        </w:rPr>
        <w:t xml:space="preserve"> steep </w:t>
      </w:r>
      <w:r w:rsidRPr="00DD2D90">
        <w:rPr>
          <w:rStyle w:val="StyleUnderline"/>
          <w:highlight w:val="green"/>
        </w:rPr>
        <w:t>upward trajectory toward 150% of GDP</w:t>
      </w:r>
      <w:r w:rsidRPr="00DD2D90">
        <w:rPr>
          <w:rStyle w:val="StyleUnderline"/>
        </w:rPr>
        <w:t xml:space="preserve"> over the next three decades</w:t>
      </w:r>
      <w:r w:rsidRPr="009C4A5A">
        <w:rPr>
          <w:sz w:val="16"/>
        </w:rPr>
        <w:t xml:space="preserve">. While that definition centers monetary policy, other economists define fiscal dominance in different ways. Eric Leeper, a professor at the University of Virginia and former Federal Reserve economist, argues the problem is fundamentally behavioral in nature. For most of American history, Leeper told Fortune, the U.S. operated under the “Hamilton Norm”—the expectation that </w:t>
      </w:r>
      <w:r w:rsidRPr="00DD2D90">
        <w:rPr>
          <w:rStyle w:val="StyleUnderline"/>
        </w:rPr>
        <w:t>any debt issued today would be fully financed by future tax surpluses</w:t>
      </w:r>
      <w:r w:rsidRPr="009C4A5A">
        <w:rPr>
          <w:sz w:val="16"/>
        </w:rPr>
        <w:t xml:space="preserve">. The death of </w:t>
      </w:r>
      <w:r w:rsidRPr="00DD2D90">
        <w:rPr>
          <w:rStyle w:val="StyleUnderline"/>
        </w:rPr>
        <w:t>the</w:t>
      </w:r>
      <w:r w:rsidRPr="009C4A5A">
        <w:rPr>
          <w:sz w:val="16"/>
        </w:rPr>
        <w:t xml:space="preserve"> ‘</w:t>
      </w:r>
      <w:r w:rsidRPr="00DD2D90">
        <w:rPr>
          <w:rStyle w:val="StyleUnderline"/>
        </w:rPr>
        <w:t>Hamilton Norm’</w:t>
      </w:r>
      <w:r w:rsidRPr="009C4A5A">
        <w:rPr>
          <w:sz w:val="16"/>
        </w:rPr>
        <w:t xml:space="preserve"> That norm, Leeper said, </w:t>
      </w:r>
      <w:r w:rsidRPr="00DD2D90">
        <w:rPr>
          <w:rStyle w:val="Emphasis"/>
        </w:rPr>
        <w:t>died</w:t>
      </w:r>
      <w:r w:rsidRPr="00DD2D90">
        <w:rPr>
          <w:rStyle w:val="StyleUnderline"/>
        </w:rPr>
        <w:t xml:space="preserve"> in 2020</w:t>
      </w:r>
      <w:r w:rsidRPr="009C4A5A">
        <w:rPr>
          <w:sz w:val="16"/>
        </w:rPr>
        <w:t>. “</w:t>
      </w:r>
      <w:r w:rsidRPr="00DD2D90">
        <w:rPr>
          <w:rStyle w:val="StyleUnderline"/>
        </w:rPr>
        <w:t>Trump put his name on the checks</w:t>
      </w:r>
      <w:r w:rsidRPr="009C4A5A">
        <w:rPr>
          <w:sz w:val="16"/>
        </w:rPr>
        <w:t xml:space="preserve"> that went out to people,” Leeper noted, referring to the </w:t>
      </w:r>
      <w:r w:rsidRPr="00DD2D90">
        <w:rPr>
          <w:rStyle w:val="StyleUnderline"/>
        </w:rPr>
        <w:t>pandemic stimulus packages</w:t>
      </w:r>
      <w:r w:rsidRPr="009C4A5A">
        <w:rPr>
          <w:sz w:val="16"/>
        </w:rPr>
        <w:t xml:space="preserve"> that both Trump and former President Joe Biden championed, </w:t>
      </w:r>
      <w:r w:rsidRPr="00DD2D90">
        <w:rPr>
          <w:rStyle w:val="StyleUnderline"/>
        </w:rPr>
        <w:t xml:space="preserve">resulting in nearly </w:t>
      </w:r>
      <w:r w:rsidRPr="00DD2D90">
        <w:rPr>
          <w:rStyle w:val="Emphasis"/>
        </w:rPr>
        <w:t>$5 trillion</w:t>
      </w:r>
      <w:r w:rsidRPr="00DD2D90">
        <w:rPr>
          <w:rStyle w:val="StyleUnderline"/>
        </w:rPr>
        <w:t xml:space="preserve"> in spending</w:t>
      </w:r>
      <w:r w:rsidRPr="009C4A5A">
        <w:rPr>
          <w:sz w:val="16"/>
        </w:rPr>
        <w:t xml:space="preserve">. “If those checks come with an IOU that says, ‘Oh, you’re going to have to repay this in taxes,’ do you think the president would put his name on it? </w:t>
      </w:r>
      <w:r w:rsidRPr="00DD2D90">
        <w:rPr>
          <w:rStyle w:val="StyleUnderline"/>
        </w:rPr>
        <w:t>He was communicating that this is not a loan to tide you over. This is a gift</w:t>
      </w:r>
      <w:r w:rsidRPr="009C4A5A">
        <w:rPr>
          <w:sz w:val="16"/>
        </w:rPr>
        <w:t xml:space="preserve">.” </w:t>
      </w:r>
      <w:r w:rsidRPr="00DD2D90">
        <w:rPr>
          <w:rStyle w:val="StyleUnderline"/>
          <w:highlight w:val="green"/>
        </w:rPr>
        <w:t>When the public stops viewing government debt as an IOU for future taxes and starts viewing it as a “permanent gift</w:t>
      </w:r>
      <w:r w:rsidRPr="00DD2D90">
        <w:rPr>
          <w:rStyle w:val="StyleUnderline"/>
        </w:rPr>
        <w:t xml:space="preserve">,” Leeper said, </w:t>
      </w:r>
      <w:r w:rsidRPr="00DD2D90">
        <w:rPr>
          <w:rStyle w:val="StyleUnderline"/>
          <w:highlight w:val="green"/>
        </w:rPr>
        <w:t>the</w:t>
      </w:r>
      <w:r w:rsidRPr="00DD2D90">
        <w:rPr>
          <w:rStyle w:val="StyleUnderline"/>
        </w:rPr>
        <w:t xml:space="preserve"> </w:t>
      </w:r>
      <w:r w:rsidRPr="00DD2D90">
        <w:rPr>
          <w:rStyle w:val="StyleUnderline"/>
          <w:highlight w:val="green"/>
        </w:rPr>
        <w:t>Fed</w:t>
      </w:r>
      <w:r w:rsidRPr="00DD2D90">
        <w:rPr>
          <w:rStyle w:val="StyleUnderline"/>
        </w:rPr>
        <w:t xml:space="preserve">eral Reserve </w:t>
      </w:r>
      <w:r w:rsidRPr="00DD2D90">
        <w:rPr>
          <w:rStyle w:val="StyleUnderline"/>
          <w:highlight w:val="green"/>
        </w:rPr>
        <w:t>loses its grip</w:t>
      </w:r>
      <w:r w:rsidRPr="009C4A5A">
        <w:rPr>
          <w:sz w:val="16"/>
        </w:rPr>
        <w:t xml:space="preserve">. </w:t>
      </w:r>
      <w:r w:rsidRPr="00DD2D90">
        <w:rPr>
          <w:rStyle w:val="StyleUnderline"/>
        </w:rPr>
        <w:t>If people don’t believe taxes will</w:t>
      </w:r>
      <w:r w:rsidRPr="009C4A5A">
        <w:rPr>
          <w:sz w:val="16"/>
        </w:rPr>
        <w:t xml:space="preserve"> eventually </w:t>
      </w:r>
      <w:r w:rsidRPr="00DD2D90">
        <w:rPr>
          <w:rStyle w:val="StyleUnderline"/>
        </w:rPr>
        <w:t>rise</w:t>
      </w:r>
      <w:r w:rsidRPr="009C4A5A">
        <w:rPr>
          <w:sz w:val="16"/>
        </w:rPr>
        <w:t xml:space="preserve"> to pay off the $38 trillion, </w:t>
      </w:r>
      <w:r w:rsidRPr="00DD2D90">
        <w:rPr>
          <w:rStyle w:val="StyleUnderline"/>
        </w:rPr>
        <w:t>they spend their “gift” today, driving up prices</w:t>
      </w:r>
      <w:r w:rsidRPr="009C4A5A">
        <w:rPr>
          <w:sz w:val="16"/>
        </w:rPr>
        <w:t xml:space="preserve">. In this world, inflation isn’t a bug, but a feature of how the Fed chooses to balance the crisis. Leeper argued Yellen herself, during her tenure as Treasury Secretary, contributed to the current environment. “When Yellen finally utters that phrase, that we might be seeing some signs of fiscal dominance—well, she was kind of part of it,” Leeper said. “As Treasury secretary, she called on Congress to ‘go big’ during COVID. And at the same time, she said, ‘Don’t worry, the Fed has the tools to control inflation.’ That makes clear that she doesn’t really understand what fiscal dominance is. </w:t>
      </w:r>
      <w:r w:rsidRPr="00DD2D90">
        <w:rPr>
          <w:rStyle w:val="StyleUnderline"/>
          <w:highlight w:val="green"/>
        </w:rPr>
        <w:t>The Fed only has the tools if we’re not in a fiscal dominant world</w:t>
      </w:r>
      <w:r w:rsidRPr="009C4A5A">
        <w:rPr>
          <w:sz w:val="16"/>
        </w:rPr>
        <w:t xml:space="preserve">.” He pointed to the 2008 financial crisis as a contrast, noting that within five days of passing a stimulus package, the Obama administration announced plans to halve the deficit. He argues recent administrations have moved away from this commitment, treating debt more as a permanent increase in the money supply than a loan to be repaid. The expansionary paradox of interest rates That complicates the Economics 101 understanding of interest rates. In a traditional economy, the Fed raises interest rates to contract spending. However, </w:t>
      </w:r>
      <w:r w:rsidRPr="00DD2D90">
        <w:rPr>
          <w:rStyle w:val="StyleUnderline"/>
        </w:rPr>
        <w:t xml:space="preserve">with the national debt at 120% of GDP, Leeper argues </w:t>
      </w:r>
      <w:r w:rsidRPr="00DD2D90">
        <w:rPr>
          <w:rStyle w:val="StyleUnderline"/>
          <w:highlight w:val="green"/>
        </w:rPr>
        <w:t>the “brake” of high interest rates has turned into an “accelerator</w:t>
      </w:r>
      <w:r w:rsidRPr="009C4A5A">
        <w:rPr>
          <w:sz w:val="16"/>
        </w:rPr>
        <w:t xml:space="preserve">.” </w:t>
      </w:r>
      <w:r w:rsidRPr="00DD2D90">
        <w:rPr>
          <w:rStyle w:val="StyleUnderline"/>
        </w:rPr>
        <w:t xml:space="preserve">Because the debt load is so massive, the </w:t>
      </w:r>
      <w:r w:rsidRPr="00DD2D90">
        <w:rPr>
          <w:rStyle w:val="StyleUnderline"/>
          <w:highlight w:val="green"/>
        </w:rPr>
        <w:t>interest payments</w:t>
      </w:r>
      <w:r w:rsidRPr="00DD2D90">
        <w:rPr>
          <w:rStyle w:val="StyleUnderline"/>
        </w:rPr>
        <w:t xml:space="preserve"> the government must pay out have </w:t>
      </w:r>
      <w:r w:rsidRPr="00DD2D90">
        <w:rPr>
          <w:rStyle w:val="Emphasis"/>
          <w:highlight w:val="green"/>
        </w:rPr>
        <w:t>exploded</w:t>
      </w:r>
      <w:r w:rsidRPr="00DD2D90">
        <w:rPr>
          <w:rStyle w:val="StyleUnderline"/>
        </w:rPr>
        <w:t xml:space="preserve"> to more than $1 trillion per year</w:t>
      </w:r>
      <w:r w:rsidRPr="009C4A5A">
        <w:rPr>
          <w:sz w:val="16"/>
        </w:rPr>
        <w:t xml:space="preserve">. These </w:t>
      </w:r>
      <w:r w:rsidRPr="00DD2D90">
        <w:rPr>
          <w:rStyle w:val="StyleUnderline"/>
          <w:highlight w:val="green"/>
        </w:rPr>
        <w:t>payments</w:t>
      </w:r>
      <w:r w:rsidRPr="009C4A5A">
        <w:rPr>
          <w:sz w:val="16"/>
        </w:rPr>
        <w:t xml:space="preserve"> don’t vanish, but instead </w:t>
      </w:r>
      <w:r w:rsidRPr="00DD2D90">
        <w:rPr>
          <w:rStyle w:val="StyleUnderline"/>
          <w:highlight w:val="green"/>
        </w:rPr>
        <w:t>act as</w:t>
      </w:r>
      <w:r w:rsidRPr="00DD2D90">
        <w:rPr>
          <w:rStyle w:val="StyleUnderline"/>
        </w:rPr>
        <w:t xml:space="preserve"> a direct </w:t>
      </w:r>
      <w:r w:rsidRPr="00DD2D90">
        <w:rPr>
          <w:rStyle w:val="StyleUnderline"/>
          <w:highlight w:val="green"/>
        </w:rPr>
        <w:t>injection</w:t>
      </w:r>
      <w:r w:rsidRPr="00DD2D90">
        <w:rPr>
          <w:rStyle w:val="StyleUnderline"/>
        </w:rPr>
        <w:t xml:space="preserve"> of cash </w:t>
      </w:r>
      <w:r w:rsidRPr="00DD2D90">
        <w:rPr>
          <w:rStyle w:val="StyleUnderline"/>
          <w:highlight w:val="green"/>
        </w:rPr>
        <w:t>into the private sector</w:t>
      </w:r>
      <w:r w:rsidRPr="00DD2D90">
        <w:rPr>
          <w:rStyle w:val="StyleUnderline"/>
        </w:rPr>
        <w:t xml:space="preserve">. “The private sector’s income in the form of interest payments is going up. </w:t>
      </w:r>
      <w:r w:rsidRPr="00DD2D90">
        <w:rPr>
          <w:rStyle w:val="StyleUnderline"/>
          <w:highlight w:val="green"/>
        </w:rPr>
        <w:t>That’s</w:t>
      </w:r>
      <w:r w:rsidRPr="009C4A5A">
        <w:rPr>
          <w:sz w:val="16"/>
        </w:rPr>
        <w:t xml:space="preserve"> not contractionary. That’s </w:t>
      </w:r>
      <w:r w:rsidRPr="00DD2D90">
        <w:rPr>
          <w:rStyle w:val="Emphasis"/>
          <w:highlight w:val="green"/>
        </w:rPr>
        <w:t>expansionary</w:t>
      </w:r>
      <w:r w:rsidRPr="009C4A5A">
        <w:rPr>
          <w:sz w:val="16"/>
        </w:rPr>
        <w:t xml:space="preserve">,” Leeper said. He contrasted the current situation with the era of former Federal Reserve Chair Paul Volcker in the early 1980s. When Volcker raised rates to record highs to crush runaway inflation, the national debt was only about 25% of GDP. </w:t>
      </w:r>
      <w:r w:rsidRPr="00DD2D90">
        <w:rPr>
          <w:rStyle w:val="StyleUnderline"/>
        </w:rPr>
        <w:t>Because the debt was low, it took a long time for interest payments to affect the budget, giving the government time to make fiscal adjustments</w:t>
      </w:r>
      <w:r w:rsidRPr="009C4A5A">
        <w:rPr>
          <w:sz w:val="16"/>
        </w:rPr>
        <w:t xml:space="preserve">. But by 2026, </w:t>
      </w:r>
      <w:r w:rsidRPr="00DD2D90">
        <w:rPr>
          <w:rStyle w:val="StyleUnderline"/>
          <w:highlight w:val="green"/>
        </w:rPr>
        <w:t>the</w:t>
      </w:r>
      <w:r w:rsidRPr="00DD2D90">
        <w:rPr>
          <w:rStyle w:val="StyleUnderline"/>
        </w:rPr>
        <w:t xml:space="preserve"> sheer </w:t>
      </w:r>
      <w:r w:rsidRPr="00DD2D90">
        <w:rPr>
          <w:rStyle w:val="StyleUnderline"/>
          <w:highlight w:val="green"/>
        </w:rPr>
        <w:t xml:space="preserve">magnitude of the debt means the impact of rate hikes is </w:t>
      </w:r>
      <w:r w:rsidRPr="00DD2D90">
        <w:rPr>
          <w:rStyle w:val="Emphasis"/>
          <w:highlight w:val="green"/>
        </w:rPr>
        <w:t>instantaneous</w:t>
      </w:r>
      <w:r w:rsidRPr="009C4A5A">
        <w:rPr>
          <w:sz w:val="16"/>
        </w:rPr>
        <w:t xml:space="preserve">, </w:t>
      </w:r>
      <w:r w:rsidRPr="00DD2D90">
        <w:rPr>
          <w:rStyle w:val="StyleUnderline"/>
          <w:highlight w:val="green"/>
        </w:rPr>
        <w:t>and</w:t>
      </w:r>
      <w:r w:rsidRPr="009C4A5A">
        <w:rPr>
          <w:sz w:val="16"/>
        </w:rPr>
        <w:t xml:space="preserve"> thus, </w:t>
      </w:r>
      <w:r w:rsidRPr="00DD2D90">
        <w:rPr>
          <w:rStyle w:val="Emphasis"/>
          <w:highlight w:val="green"/>
        </w:rPr>
        <w:t>counterproductive</w:t>
      </w:r>
      <w:r w:rsidRPr="009C4A5A">
        <w:rPr>
          <w:sz w:val="16"/>
        </w:rPr>
        <w:t xml:space="preserve">. The market consequences of ‘deep doo-doo’ Beyond academic theory, the effects of fiscal dominance are manifesting in the bond market. Heather Long, the chief economist for Navy Federal Credit Union, noted the market is already showing signs of distress. “The bond market is the new king in the United States,” Long told Fortune. She said </w:t>
      </w:r>
      <w:r w:rsidRPr="00DD2D90">
        <w:rPr>
          <w:rStyle w:val="StyleUnderline"/>
        </w:rPr>
        <w:t>for most nations</w:t>
      </w:r>
      <w:r w:rsidRPr="009C4A5A">
        <w:rPr>
          <w:sz w:val="16"/>
        </w:rPr>
        <w:t xml:space="preserve">, </w:t>
      </w:r>
      <w:r w:rsidRPr="00DD2D90">
        <w:rPr>
          <w:rStyle w:val="StyleUnderline"/>
          <w:highlight w:val="green"/>
        </w:rPr>
        <w:t>crossing the 120% debt-to-GDP threshold is a “game-changer</w:t>
      </w:r>
      <w:r w:rsidRPr="00DD2D90">
        <w:rPr>
          <w:rStyle w:val="StyleUnderline"/>
        </w:rPr>
        <w:t>” that gives bond investors significant influence over the rest of the economy</w:t>
      </w:r>
      <w:r w:rsidRPr="009C4A5A">
        <w:rPr>
          <w:sz w:val="16"/>
        </w:rPr>
        <w:t xml:space="preserve">. This influence is felt by households through higher borrowing costs for mortgages and car loans, which Long says are increasingly independent of the Fed’s actual rate decisions. </w:t>
      </w:r>
      <w:r w:rsidRPr="00DD2D90">
        <w:rPr>
          <w:rStyle w:val="StyleUnderline"/>
          <w:highlight w:val="green"/>
        </w:rPr>
        <w:t>If investors lose faith</w:t>
      </w:r>
      <w:r w:rsidRPr="00DD2D90">
        <w:rPr>
          <w:rStyle w:val="StyleUnderline"/>
        </w:rPr>
        <w:t xml:space="preserve"> the U.S. will return to the “Hamilton Norm”—running surpluses to pay down debt—</w:t>
      </w:r>
      <w:r w:rsidRPr="00DD2D90">
        <w:rPr>
          <w:rStyle w:val="StyleUnderline"/>
          <w:highlight w:val="green"/>
        </w:rPr>
        <w:t>they may demand higher</w:t>
      </w:r>
      <w:r w:rsidRPr="00DD2D90">
        <w:rPr>
          <w:rStyle w:val="StyleUnderline"/>
        </w:rPr>
        <w:t xml:space="preserve"> “term </w:t>
      </w:r>
      <w:r w:rsidRPr="00DD2D90">
        <w:rPr>
          <w:rStyle w:val="StyleUnderline"/>
          <w:highlight w:val="green"/>
        </w:rPr>
        <w:t>premiums</w:t>
      </w:r>
      <w:r w:rsidRPr="00DD2D90">
        <w:rPr>
          <w:rStyle w:val="StyleUnderline"/>
        </w:rPr>
        <w:t xml:space="preserve">,” effectively </w:t>
      </w:r>
      <w:r w:rsidRPr="00DD2D90">
        <w:rPr>
          <w:rStyle w:val="StyleUnderline"/>
          <w:highlight w:val="green"/>
        </w:rPr>
        <w:t>raising interest rates for everyone</w:t>
      </w:r>
      <w:r w:rsidRPr="00DD2D90">
        <w:rPr>
          <w:rStyle w:val="StyleUnderline"/>
        </w:rPr>
        <w:t xml:space="preserve"> regardless of what the Fed wants</w:t>
      </w:r>
      <w:r w:rsidRPr="009C4A5A">
        <w:rPr>
          <w:sz w:val="16"/>
        </w:rPr>
        <w:t xml:space="preserve">, Long said. Leeper added that while </w:t>
      </w:r>
      <w:r w:rsidRPr="00DD2D90">
        <w:rPr>
          <w:rStyle w:val="StyleUnderline"/>
        </w:rPr>
        <w:t xml:space="preserve">the U.S. hasn’t reached </w:t>
      </w:r>
      <w:r w:rsidRPr="009C4A5A">
        <w:rPr>
          <w:sz w:val="16"/>
        </w:rPr>
        <w:t>an</w:t>
      </w:r>
      <w:r w:rsidRPr="00DD2D90">
        <w:rPr>
          <w:rStyle w:val="StyleUnderline"/>
        </w:rPr>
        <w:t xml:space="preserve"> Argentinian</w:t>
      </w:r>
      <w:r w:rsidRPr="009C4A5A">
        <w:rPr>
          <w:sz w:val="16"/>
        </w:rPr>
        <w:t xml:space="preserve">—or Roman—style hyperinflationary </w:t>
      </w:r>
      <w:r w:rsidRPr="00DD2D90">
        <w:rPr>
          <w:rStyle w:val="StyleUnderline"/>
        </w:rPr>
        <w:t>collapse</w:t>
      </w:r>
      <w:r w:rsidRPr="009C4A5A">
        <w:rPr>
          <w:sz w:val="16"/>
        </w:rPr>
        <w:t xml:space="preserve"> yet, </w:t>
      </w:r>
      <w:r w:rsidRPr="00DD2D90">
        <w:rPr>
          <w:rStyle w:val="StyleUnderline"/>
          <w:highlight w:val="green"/>
        </w:rPr>
        <w:t xml:space="preserve">the situation is </w:t>
      </w:r>
      <w:r w:rsidRPr="00DD2D90">
        <w:rPr>
          <w:rStyle w:val="Emphasis"/>
          <w:highlight w:val="green"/>
        </w:rPr>
        <w:t>precarious</w:t>
      </w:r>
      <w:r w:rsidRPr="009C4A5A">
        <w:rPr>
          <w:sz w:val="16"/>
        </w:rPr>
        <w:t>. He argued that because Congress and the White House no longer even give “lip service” to the idea of future surpluses, the public is starting to link fiscal policy directly to inflation. “America always does the right thing after exhausting every other option,” Leeper said, quoting the adage attributed to former U.K. Prime Minister Winston Churchill. “</w:t>
      </w:r>
      <w:r w:rsidRPr="00DD2D90">
        <w:rPr>
          <w:rStyle w:val="StyleUnderline"/>
          <w:highlight w:val="green"/>
        </w:rPr>
        <w:t>Until that faith</w:t>
      </w:r>
      <w:r w:rsidRPr="00DD2D90">
        <w:rPr>
          <w:rStyle w:val="StyleUnderline"/>
        </w:rPr>
        <w:t xml:space="preserve"> really </w:t>
      </w:r>
      <w:r w:rsidRPr="00DD2D90">
        <w:rPr>
          <w:rStyle w:val="StyleUnderline"/>
          <w:highlight w:val="green"/>
        </w:rPr>
        <w:t>gets shattered</w:t>
      </w:r>
      <w:r w:rsidRPr="00DD2D90">
        <w:rPr>
          <w:rStyle w:val="StyleUnderline"/>
        </w:rPr>
        <w:t xml:space="preserve">, </w:t>
      </w:r>
      <w:r w:rsidRPr="00DD2D90">
        <w:rPr>
          <w:rStyle w:val="StyleUnderline"/>
          <w:highlight w:val="green"/>
        </w:rPr>
        <w:t>we’re okay</w:t>
      </w:r>
      <w:r w:rsidRPr="00DD2D90">
        <w:rPr>
          <w:rStyle w:val="StyleUnderline"/>
        </w:rPr>
        <w:t xml:space="preserve">. But if that starts to get shattered, then we’re really in </w:t>
      </w:r>
      <w:r w:rsidRPr="00DD2D90">
        <w:rPr>
          <w:rStyle w:val="Emphasis"/>
        </w:rPr>
        <w:t>deep doo-doo</w:t>
      </w:r>
      <w:r w:rsidRPr="009C4A5A">
        <w:rPr>
          <w:sz w:val="16"/>
        </w:rPr>
        <w:t xml:space="preserve">.” </w:t>
      </w:r>
    </w:p>
    <w:p w14:paraId="3B9B003C" w14:textId="77777777" w:rsidR="00B0589A" w:rsidRPr="009C4A5A" w:rsidRDefault="00B0589A">
      <w:pPr>
        <w:rPr>
          <w:rFonts w:eastAsiaTheme="majorEastAsia" w:cstheme="majorBidi"/>
          <w:b/>
          <w:iCs/>
          <w:sz w:val="16"/>
        </w:rPr>
      </w:pPr>
      <w:r w:rsidRPr="009C4A5A">
        <w:rPr>
          <w:sz w:val="16"/>
        </w:rPr>
        <w:br w:type="page"/>
      </w:r>
    </w:p>
    <w:p w14:paraId="6DBDB1D2" w14:textId="0918F31C" w:rsidR="008732A1" w:rsidRPr="009C4A5A" w:rsidRDefault="00D97781" w:rsidP="008732A1">
      <w:pPr>
        <w:pStyle w:val="Heading4"/>
        <w:rPr>
          <w:szCs w:val="26"/>
        </w:rPr>
      </w:pPr>
      <w:r w:rsidRPr="009C4A5A">
        <w:rPr>
          <w:szCs w:val="26"/>
        </w:rPr>
        <w:t>Uncontrollable debt causes hyperinflation and dollar devaluation</w:t>
      </w:r>
      <w:r w:rsidR="00DF3FD8" w:rsidRPr="009C4A5A">
        <w:rPr>
          <w:szCs w:val="26"/>
        </w:rPr>
        <w:t xml:space="preserve"> – entitlement is key</w:t>
      </w:r>
    </w:p>
    <w:p w14:paraId="215BB0AA" w14:textId="77777777" w:rsidR="008732A1" w:rsidRPr="00DD2D90" w:rsidRDefault="008732A1" w:rsidP="008732A1">
      <w:r w:rsidRPr="009C4A5A">
        <w:rPr>
          <w:b/>
          <w:bCs/>
          <w:sz w:val="26"/>
          <w:szCs w:val="26"/>
        </w:rPr>
        <w:t>Will 2-4</w:t>
      </w:r>
      <w:r w:rsidRPr="00DD2D90">
        <w:t xml:space="preserve"> [George F. Will, Washington Post columnist with 50+ years of journalistic experience and graduate from Oxford and Princeton, 2-4-2026, "One path to U.S. fiscal disaster is most alarming — and most likely", Washington Post, https://www.washingtonpost.com/opinions/2026/02/04/congress-national-debt-trillions-crises/]/Kankee</w:t>
      </w:r>
    </w:p>
    <w:p w14:paraId="55952879" w14:textId="77777777" w:rsidR="008732A1" w:rsidRPr="009C4A5A" w:rsidRDefault="008732A1" w:rsidP="00D97781">
      <w:pPr>
        <w:rPr>
          <w:sz w:val="16"/>
        </w:rPr>
      </w:pPr>
      <w:r w:rsidRPr="009C4A5A">
        <w:rPr>
          <w:sz w:val="16"/>
        </w:rPr>
        <w:t xml:space="preserve">Nevertheless, the undiscourageable Committee for a Responsible Federal Budget persists. Although few others think mere information can galvanize congressional action to forestall a darkening fiscal future, the committee recently described six possible crisis scenarios. Five are dramatic. The sixth is less so, but most alarming, and most likely. </w:t>
      </w:r>
      <w:r w:rsidRPr="00DD2D90">
        <w:rPr>
          <w:rStyle w:val="StyleUnderline"/>
          <w:highlight w:val="green"/>
        </w:rPr>
        <w:t xml:space="preserve">Upwardly spiraling debt could provoke a </w:t>
      </w:r>
      <w:r w:rsidRPr="00DD2D90">
        <w:rPr>
          <w:rStyle w:val="Emphasis"/>
          <w:highlight w:val="green"/>
        </w:rPr>
        <w:t>financial crisis</w:t>
      </w:r>
      <w:r w:rsidRPr="009C4A5A">
        <w:rPr>
          <w:sz w:val="16"/>
        </w:rPr>
        <w:t xml:space="preserve">. </w:t>
      </w:r>
      <w:r w:rsidRPr="00DD2D90">
        <w:rPr>
          <w:rStyle w:val="StyleUnderline"/>
          <w:highlight w:val="green"/>
        </w:rPr>
        <w:t>Investors</w:t>
      </w:r>
      <w:r w:rsidRPr="009C4A5A">
        <w:rPr>
          <w:sz w:val="16"/>
        </w:rPr>
        <w:t xml:space="preserve"> anxious about the U.S. fiscal outlook </w:t>
      </w:r>
      <w:r w:rsidRPr="00DD2D90">
        <w:rPr>
          <w:rStyle w:val="StyleUnderline"/>
        </w:rPr>
        <w:t xml:space="preserve">would </w:t>
      </w:r>
      <w:r w:rsidRPr="00DD2D90">
        <w:rPr>
          <w:rStyle w:val="StyleUnderline"/>
          <w:highlight w:val="green"/>
        </w:rPr>
        <w:t>demand</w:t>
      </w:r>
      <w:r w:rsidRPr="00DD2D90">
        <w:rPr>
          <w:rStyle w:val="StyleUnderline"/>
        </w:rPr>
        <w:t xml:space="preserve"> sharply </w:t>
      </w:r>
      <w:r w:rsidRPr="00DD2D90">
        <w:rPr>
          <w:rStyle w:val="StyleUnderline"/>
          <w:highlight w:val="green"/>
        </w:rPr>
        <w:t>higher interest rates</w:t>
      </w:r>
      <w:r w:rsidRPr="009C4A5A">
        <w:rPr>
          <w:sz w:val="16"/>
        </w:rPr>
        <w:t xml:space="preserve"> to entice them to purchase Treasurys. </w:t>
      </w:r>
      <w:r w:rsidRPr="00DD2D90">
        <w:rPr>
          <w:rStyle w:val="StyleUnderline"/>
        </w:rPr>
        <w:t xml:space="preserve">This would ignite a </w:t>
      </w:r>
      <w:r w:rsidRPr="00DD2D90">
        <w:rPr>
          <w:rStyle w:val="Emphasis"/>
        </w:rPr>
        <w:t>self-reinforcing debt spiral</w:t>
      </w:r>
      <w:r w:rsidRPr="009C4A5A">
        <w:rPr>
          <w:sz w:val="16"/>
        </w:rPr>
        <w:t xml:space="preserve">: </w:t>
      </w:r>
      <w:r w:rsidRPr="00DD2D90">
        <w:rPr>
          <w:rStyle w:val="StyleUnderline"/>
          <w:highlight w:val="green"/>
        </w:rPr>
        <w:t>Higher interest rates would slow economic growth</w:t>
      </w:r>
      <w:r w:rsidRPr="009C4A5A">
        <w:rPr>
          <w:sz w:val="16"/>
        </w:rPr>
        <w:t xml:space="preserve">, </w:t>
      </w:r>
      <w:r w:rsidRPr="00DD2D90">
        <w:rPr>
          <w:rStyle w:val="StyleUnderline"/>
          <w:highlight w:val="green"/>
        </w:rPr>
        <w:t>reducing</w:t>
      </w:r>
      <w:r w:rsidRPr="009C4A5A">
        <w:rPr>
          <w:sz w:val="16"/>
        </w:rPr>
        <w:t xml:space="preserve"> government </w:t>
      </w:r>
      <w:r w:rsidRPr="00DD2D90">
        <w:rPr>
          <w:rStyle w:val="StyleUnderline"/>
          <w:highlight w:val="green"/>
        </w:rPr>
        <w:t>revenue while increasing</w:t>
      </w:r>
      <w:r w:rsidRPr="009C4A5A">
        <w:rPr>
          <w:sz w:val="16"/>
        </w:rPr>
        <w:t xml:space="preserve"> government </w:t>
      </w:r>
      <w:r w:rsidRPr="00DD2D90">
        <w:rPr>
          <w:rStyle w:val="StyleUnderline"/>
          <w:highlight w:val="green"/>
        </w:rPr>
        <w:t>spending</w:t>
      </w:r>
      <w:r w:rsidRPr="009C4A5A">
        <w:rPr>
          <w:sz w:val="16"/>
        </w:rPr>
        <w:t xml:space="preserve"> on debt service. </w:t>
      </w:r>
      <w:r w:rsidRPr="00DD2D90">
        <w:rPr>
          <w:rStyle w:val="StyleUnderline"/>
          <w:highlight w:val="green"/>
        </w:rPr>
        <w:t>Higher interest rates</w:t>
      </w:r>
      <w:r w:rsidRPr="009C4A5A">
        <w:rPr>
          <w:sz w:val="16"/>
        </w:rPr>
        <w:t xml:space="preserve"> on new debt </w:t>
      </w:r>
      <w:r w:rsidRPr="00DD2D90">
        <w:rPr>
          <w:rStyle w:val="StyleUnderline"/>
          <w:highlight w:val="green"/>
        </w:rPr>
        <w:t>would reduce the value of</w:t>
      </w:r>
      <w:r w:rsidRPr="009C4A5A">
        <w:rPr>
          <w:sz w:val="16"/>
        </w:rPr>
        <w:t xml:space="preserve"> the much larger amount of </w:t>
      </w:r>
      <w:r w:rsidRPr="00DD2D90">
        <w:rPr>
          <w:rStyle w:val="StyleUnderline"/>
          <w:highlight w:val="green"/>
        </w:rPr>
        <w:t>existing</w:t>
      </w:r>
      <w:r w:rsidRPr="009C4A5A">
        <w:rPr>
          <w:sz w:val="16"/>
          <w:highlight w:val="green"/>
        </w:rPr>
        <w:t xml:space="preserve"> </w:t>
      </w:r>
      <w:r w:rsidRPr="00DD2D90">
        <w:rPr>
          <w:rStyle w:val="StyleUnderline"/>
          <w:highlight w:val="green"/>
        </w:rPr>
        <w:t>debt</w:t>
      </w:r>
      <w:r w:rsidRPr="009C4A5A">
        <w:rPr>
          <w:sz w:val="16"/>
        </w:rPr>
        <w:t xml:space="preserve">. </w:t>
      </w:r>
      <w:r w:rsidRPr="00DD2D90">
        <w:rPr>
          <w:rStyle w:val="StyleUnderline"/>
          <w:highlight w:val="green"/>
        </w:rPr>
        <w:t>This would</w:t>
      </w:r>
      <w:r w:rsidRPr="00DD2D90">
        <w:rPr>
          <w:rStyle w:val="StyleUnderline"/>
        </w:rPr>
        <w:t xml:space="preserve"> </w:t>
      </w:r>
      <w:r w:rsidRPr="00DD2D90">
        <w:rPr>
          <w:rStyle w:val="Emphasis"/>
          <w:highlight w:val="green"/>
        </w:rPr>
        <w:t>weaken</w:t>
      </w:r>
      <w:r w:rsidRPr="00DD2D90">
        <w:rPr>
          <w:rStyle w:val="StyleUnderline"/>
        </w:rPr>
        <w:t xml:space="preserve"> the balance sheets of banks and other </w:t>
      </w:r>
      <w:r w:rsidRPr="00DD2D90">
        <w:rPr>
          <w:rStyle w:val="StyleUnderline"/>
          <w:highlight w:val="green"/>
        </w:rPr>
        <w:t>financial institutions</w:t>
      </w:r>
      <w:r w:rsidRPr="009C4A5A">
        <w:rPr>
          <w:sz w:val="16"/>
        </w:rPr>
        <w:t xml:space="preserve">. Because these would be deemed “too big to fail,” </w:t>
      </w:r>
      <w:r w:rsidRPr="00DD2D90">
        <w:rPr>
          <w:rStyle w:val="StyleUnderline"/>
          <w:highlight w:val="green"/>
        </w:rPr>
        <w:t>bailouts</w:t>
      </w:r>
      <w:r w:rsidRPr="009C4A5A">
        <w:rPr>
          <w:sz w:val="16"/>
        </w:rPr>
        <w:t xml:space="preserve"> and spending </w:t>
      </w:r>
      <w:r w:rsidRPr="00DD2D90">
        <w:rPr>
          <w:rStyle w:val="StyleUnderline"/>
        </w:rPr>
        <w:t xml:space="preserve">to stimulate the sputtering economy </w:t>
      </w:r>
      <w:r w:rsidRPr="00DD2D90">
        <w:rPr>
          <w:rStyle w:val="StyleUnderline"/>
          <w:highlight w:val="green"/>
        </w:rPr>
        <w:t>would</w:t>
      </w:r>
      <w:r w:rsidRPr="00DD2D90">
        <w:rPr>
          <w:rStyle w:val="StyleUnderline"/>
        </w:rPr>
        <w:t xml:space="preserve"> </w:t>
      </w:r>
      <w:r w:rsidRPr="00DD2D90">
        <w:rPr>
          <w:rStyle w:val="StyleUnderline"/>
          <w:highlight w:val="green"/>
        </w:rPr>
        <w:t>exacerbate the</w:t>
      </w:r>
      <w:r w:rsidRPr="00DD2D90">
        <w:rPr>
          <w:rStyle w:val="StyleUnderline"/>
        </w:rPr>
        <w:t xml:space="preserve"> financial </w:t>
      </w:r>
      <w:r w:rsidRPr="00DD2D90">
        <w:rPr>
          <w:rStyle w:val="StyleUnderline"/>
          <w:highlight w:val="green"/>
        </w:rPr>
        <w:t>crisis</w:t>
      </w:r>
      <w:r w:rsidRPr="009C4A5A">
        <w:rPr>
          <w:sz w:val="16"/>
        </w:rPr>
        <w:t xml:space="preserve">. An Everest of debt is an incentive for an inflation crisis to reduce the value of existing debt by paying lenders with debased dollars. But inflation would become baked into the expectations of investors, who would demand higher interest rates. Then R&gt;G would bite: </w:t>
      </w:r>
      <w:r w:rsidRPr="00DD2D90">
        <w:rPr>
          <w:rStyle w:val="StyleUnderline"/>
          <w:highlight w:val="green"/>
        </w:rPr>
        <w:t>When</w:t>
      </w:r>
      <w:r w:rsidRPr="009C4A5A">
        <w:rPr>
          <w:sz w:val="16"/>
          <w:highlight w:val="green"/>
        </w:rPr>
        <w:t xml:space="preserve"> </w:t>
      </w:r>
      <w:r w:rsidRPr="00DD2D90">
        <w:rPr>
          <w:rStyle w:val="StyleUnderline"/>
          <w:highlight w:val="green"/>
        </w:rPr>
        <w:t>interest rates paid on debt exceed the rate of economic growth, a crisis intensifies as rising interest rates depress economic growth</w:t>
      </w:r>
      <w:r w:rsidRPr="009C4A5A">
        <w:rPr>
          <w:sz w:val="16"/>
          <w:highlight w:val="green"/>
        </w:rPr>
        <w:t>.</w:t>
      </w:r>
      <w:r w:rsidRPr="009C4A5A">
        <w:rPr>
          <w:sz w:val="16"/>
        </w:rPr>
        <w:t xml:space="preserve"> </w:t>
      </w:r>
      <w:r w:rsidRPr="00DD2D90">
        <w:rPr>
          <w:rStyle w:val="StyleUnderline"/>
        </w:rPr>
        <w:t>An austerity crisis would occur with a large and abrupt combination of tax increases</w:t>
      </w:r>
      <w:r w:rsidRPr="009C4A5A">
        <w:rPr>
          <w:sz w:val="16"/>
        </w:rPr>
        <w:t xml:space="preserve"> and spending reductions. Unemployment would increase, and the Federal Reserve would have little ability to combat economic contraction by reducing interest rates. </w:t>
      </w:r>
      <w:r w:rsidRPr="00DD2D90">
        <w:rPr>
          <w:rStyle w:val="StyleUnderline"/>
          <w:highlight w:val="green"/>
        </w:rPr>
        <w:t>Austerity is</w:t>
      </w:r>
      <w:r w:rsidRPr="009C4A5A">
        <w:rPr>
          <w:sz w:val="16"/>
        </w:rPr>
        <w:t xml:space="preserve">, however, </w:t>
      </w:r>
      <w:r w:rsidRPr="00DD2D90">
        <w:rPr>
          <w:rStyle w:val="StyleUnderline"/>
          <w:highlight w:val="green"/>
        </w:rPr>
        <w:t>rare in nations accustomed to</w:t>
      </w:r>
      <w:r w:rsidRPr="009C4A5A">
        <w:rPr>
          <w:sz w:val="16"/>
        </w:rPr>
        <w:t xml:space="preserve"> assuming its opposite — an unending expectation, indeed </w:t>
      </w:r>
      <w:r w:rsidRPr="00DD2D90">
        <w:rPr>
          <w:rStyle w:val="Emphasis"/>
          <w:highlight w:val="green"/>
        </w:rPr>
        <w:t>entitlement</w:t>
      </w:r>
      <w:r w:rsidRPr="009C4A5A">
        <w:rPr>
          <w:sz w:val="16"/>
        </w:rPr>
        <w:t xml:space="preserve">, to opulence. The Economist says that “only once in the era of universal suffrage has a G7 economy” — a leading developed nation — “achieved a big fall in debt primarily by tightening its belt” (Canada in the 1990s). </w:t>
      </w:r>
      <w:r w:rsidRPr="00DD2D90">
        <w:rPr>
          <w:rStyle w:val="StyleUnderline"/>
          <w:highlight w:val="green"/>
        </w:rPr>
        <w:t>A currency crisis would result from a depreciating dollar incentivizing</w:t>
      </w:r>
      <w:r w:rsidRPr="00DD2D90">
        <w:rPr>
          <w:rStyle w:val="StyleUnderline"/>
        </w:rPr>
        <w:t xml:space="preserve"> foreign governments and private </w:t>
      </w:r>
      <w:r w:rsidRPr="00DD2D90">
        <w:rPr>
          <w:rStyle w:val="StyleUnderline"/>
          <w:highlight w:val="green"/>
        </w:rPr>
        <w:t>investors to diversify away from U.S. debt</w:t>
      </w:r>
      <w:r w:rsidRPr="009C4A5A">
        <w:rPr>
          <w:sz w:val="16"/>
        </w:rPr>
        <w:t xml:space="preserve">. A default crisis, although unlikely, would have the merit of bluntness: continuing to repay principal but not interest, or “restructuring,” which is government-speak for not repaying some debt. The most probable, and most ominous, outcome would be a gradual crisis. In 2021, debt service consumed less than 10 percent of federal revenue. In 2025: 18 percent. By being gradual, </w:t>
      </w:r>
      <w:r w:rsidRPr="00DD2D90">
        <w:rPr>
          <w:rStyle w:val="StyleUnderline"/>
          <w:highlight w:val="green"/>
        </w:rPr>
        <w:t>a</w:t>
      </w:r>
      <w:r w:rsidRPr="00DD2D90">
        <w:rPr>
          <w:rStyle w:val="StyleUnderline"/>
        </w:rPr>
        <w:t xml:space="preserve"> protracted </w:t>
      </w:r>
      <w:r w:rsidRPr="00DD2D90">
        <w:rPr>
          <w:rStyle w:val="StyleUnderline"/>
          <w:highlight w:val="green"/>
        </w:rPr>
        <w:t>crisis would</w:t>
      </w:r>
      <w:r w:rsidRPr="00DD2D90">
        <w:rPr>
          <w:rStyle w:val="StyleUnderline"/>
        </w:rPr>
        <w:t xml:space="preserve"> </w:t>
      </w:r>
      <w:r w:rsidRPr="00DD2D90">
        <w:rPr>
          <w:rStyle w:val="StyleUnderline"/>
          <w:highlight w:val="green"/>
        </w:rPr>
        <w:t>mean</w:t>
      </w:r>
      <w:r w:rsidRPr="00DD2D90">
        <w:rPr>
          <w:rStyle w:val="StyleUnderline"/>
        </w:rPr>
        <w:t xml:space="preserve"> </w:t>
      </w:r>
      <w:r w:rsidRPr="00DD2D90">
        <w:rPr>
          <w:rStyle w:val="StyleUnderline"/>
          <w:highlight w:val="green"/>
        </w:rPr>
        <w:t>a</w:t>
      </w:r>
      <w:r w:rsidRPr="00DD2D90">
        <w:rPr>
          <w:rStyle w:val="StyleUnderline"/>
        </w:rPr>
        <w:t xml:space="preserve"> demoralized </w:t>
      </w:r>
      <w:r w:rsidRPr="00DD2D90">
        <w:rPr>
          <w:rStyle w:val="StyleUnderline"/>
          <w:highlight w:val="green"/>
        </w:rPr>
        <w:t>nation</w:t>
      </w:r>
      <w:r w:rsidRPr="00DD2D90">
        <w:rPr>
          <w:rStyle w:val="StyleUnderline"/>
        </w:rPr>
        <w:t xml:space="preserve"> slowly </w:t>
      </w:r>
      <w:r w:rsidRPr="00DD2D90">
        <w:rPr>
          <w:rStyle w:val="StyleUnderline"/>
          <w:highlight w:val="green"/>
        </w:rPr>
        <w:t>accommodating perpetual economic sluggishness</w:t>
      </w:r>
      <w:r w:rsidRPr="00DD2D90">
        <w:rPr>
          <w:rStyle w:val="StyleUnderline"/>
        </w:rPr>
        <w:t xml:space="preserve">, </w:t>
      </w:r>
      <w:r w:rsidRPr="00DD2D90">
        <w:rPr>
          <w:rStyle w:val="StyleUnderline"/>
          <w:highlight w:val="green"/>
        </w:rPr>
        <w:t>waning investments in</w:t>
      </w:r>
      <w:r w:rsidRPr="00DD2D90">
        <w:rPr>
          <w:rStyle w:val="StyleUnderline"/>
        </w:rPr>
        <w:t xml:space="preserve"> </w:t>
      </w:r>
      <w:r w:rsidRPr="00DD2D90">
        <w:rPr>
          <w:rStyle w:val="StyleUnderline"/>
          <w:highlight w:val="green"/>
        </w:rPr>
        <w:t>r</w:t>
      </w:r>
      <w:r w:rsidRPr="00DD2D90">
        <w:rPr>
          <w:rStyle w:val="StyleUnderline"/>
        </w:rPr>
        <w:t xml:space="preserve">esearch </w:t>
      </w:r>
      <w:r w:rsidRPr="00DD2D90">
        <w:rPr>
          <w:rStyle w:val="StyleUnderline"/>
          <w:highlight w:val="green"/>
        </w:rPr>
        <w:t>and</w:t>
      </w:r>
      <w:r w:rsidRPr="00DD2D90">
        <w:rPr>
          <w:rStyle w:val="StyleUnderline"/>
        </w:rPr>
        <w:t xml:space="preserve"> </w:t>
      </w:r>
      <w:r w:rsidRPr="00DD2D90">
        <w:rPr>
          <w:rStyle w:val="StyleUnderline"/>
          <w:highlight w:val="green"/>
        </w:rPr>
        <w:t>d</w:t>
      </w:r>
      <w:r w:rsidRPr="00DD2D90">
        <w:rPr>
          <w:rStyle w:val="StyleUnderline"/>
        </w:rPr>
        <w:t xml:space="preserve">evelopment, social stagnation, </w:t>
      </w:r>
      <w:r w:rsidRPr="00DD2D90">
        <w:rPr>
          <w:rStyle w:val="StyleUnderline"/>
          <w:highlight w:val="green"/>
        </w:rPr>
        <w:t>diminished</w:t>
      </w:r>
      <w:r w:rsidRPr="009C4A5A">
        <w:rPr>
          <w:sz w:val="16"/>
        </w:rPr>
        <w:t xml:space="preserve"> contribution from the </w:t>
      </w:r>
      <w:r w:rsidRPr="00DD2D90">
        <w:rPr>
          <w:rStyle w:val="StyleUnderline"/>
          <w:highlight w:val="green"/>
        </w:rPr>
        <w:t>entrepreneurial energies</w:t>
      </w:r>
      <w:r w:rsidRPr="009C4A5A">
        <w:rPr>
          <w:sz w:val="16"/>
        </w:rPr>
        <w:t xml:space="preserve"> of talented immigrants, </w:t>
      </w:r>
      <w:r w:rsidRPr="00DD2D90">
        <w:rPr>
          <w:rStyle w:val="StyleUnderline"/>
          <w:highlight w:val="green"/>
        </w:rPr>
        <w:t>and waning</w:t>
      </w:r>
      <w:r w:rsidRPr="00DD2D90">
        <w:rPr>
          <w:rStyle w:val="StyleUnderline"/>
        </w:rPr>
        <w:t xml:space="preserve"> U.S. geopolitical </w:t>
      </w:r>
      <w:r w:rsidRPr="00DD2D90">
        <w:rPr>
          <w:rStyle w:val="StyleUnderline"/>
          <w:highlight w:val="green"/>
        </w:rPr>
        <w:t>influence</w:t>
      </w:r>
      <w:r w:rsidRPr="009C4A5A">
        <w:rPr>
          <w:sz w:val="16"/>
        </w:rPr>
        <w:t xml:space="preserve">. </w:t>
      </w:r>
      <w:r w:rsidRPr="00DD2D90">
        <w:rPr>
          <w:rStyle w:val="StyleUnderline"/>
        </w:rPr>
        <w:t>A gradual crisis would be anesthetizing, rather than an action-forcing, cymbal-crash event that could stimulate</w:t>
      </w:r>
      <w:r w:rsidRPr="009C4A5A">
        <w:rPr>
          <w:sz w:val="16"/>
        </w:rPr>
        <w:t xml:space="preserve"> recuperative </w:t>
      </w:r>
      <w:r w:rsidRPr="00DD2D90">
        <w:rPr>
          <w:rStyle w:val="StyleUnderline"/>
        </w:rPr>
        <w:t>reforms</w:t>
      </w:r>
      <w:r w:rsidRPr="009C4A5A">
        <w:rPr>
          <w:sz w:val="16"/>
        </w:rPr>
        <w:t xml:space="preserve"> of U.S. political culture. Instead, this culture would become more toxic. Political power would be fought for, and wielded, with the desperate ruthlessness of a zero-sum competition in which one faction’s gains must equal other factions’ losses. So, </w:t>
      </w:r>
      <w:r w:rsidRPr="00DD2D90">
        <w:rPr>
          <w:rStyle w:val="StyleUnderline"/>
        </w:rPr>
        <w:t xml:space="preserve">government would </w:t>
      </w:r>
      <w:r w:rsidRPr="009C4A5A">
        <w:rPr>
          <w:sz w:val="16"/>
        </w:rPr>
        <w:t xml:space="preserve">simultaneously </w:t>
      </w:r>
      <w:r w:rsidRPr="00DD2D90">
        <w:rPr>
          <w:rStyle w:val="StyleUnderline"/>
        </w:rPr>
        <w:t>become</w:t>
      </w:r>
      <w:r w:rsidRPr="009C4A5A">
        <w:rPr>
          <w:sz w:val="16"/>
        </w:rPr>
        <w:t xml:space="preserve"> more powerful, </w:t>
      </w:r>
      <w:r w:rsidRPr="00DD2D90">
        <w:rPr>
          <w:rStyle w:val="StyleUnderline"/>
        </w:rPr>
        <w:t>more divisive and less legitimate</w:t>
      </w:r>
      <w:r w:rsidRPr="009C4A5A">
        <w:rPr>
          <w:sz w:val="16"/>
        </w:rPr>
        <w:t xml:space="preserve">. </w:t>
      </w:r>
      <w:r w:rsidRPr="00DD2D90">
        <w:rPr>
          <w:rStyle w:val="StyleUnderline"/>
        </w:rPr>
        <w:t>The currency is how everyone meets the government every day</w:t>
      </w:r>
      <w:r w:rsidRPr="009C4A5A">
        <w:rPr>
          <w:sz w:val="16"/>
        </w:rPr>
        <w:t xml:space="preserve"> </w:t>
      </w:r>
      <w:r w:rsidRPr="00DD2D90">
        <w:rPr>
          <w:rStyle w:val="StyleUnderline"/>
        </w:rPr>
        <w:t>through the</w:t>
      </w:r>
      <w:r w:rsidRPr="009C4A5A">
        <w:rPr>
          <w:sz w:val="16"/>
        </w:rPr>
        <w:t xml:space="preserve"> unstated — because presumably obvious — government </w:t>
      </w:r>
      <w:r w:rsidRPr="00DD2D90">
        <w:rPr>
          <w:rStyle w:val="StyleUnderline"/>
        </w:rPr>
        <w:t>promise</w:t>
      </w:r>
      <w:r w:rsidRPr="009C4A5A">
        <w:rPr>
          <w:sz w:val="16"/>
        </w:rPr>
        <w:t xml:space="preserve"> that the </w:t>
      </w:r>
      <w:r w:rsidRPr="00DD2D90">
        <w:rPr>
          <w:rStyle w:val="StyleUnderline"/>
        </w:rPr>
        <w:t>currency</w:t>
      </w:r>
      <w:r w:rsidRPr="009C4A5A">
        <w:rPr>
          <w:sz w:val="16"/>
        </w:rPr>
        <w:t xml:space="preserve"> it issues </w:t>
      </w:r>
      <w:r w:rsidRPr="00DD2D90">
        <w:rPr>
          <w:rStyle w:val="StyleUnderline"/>
        </w:rPr>
        <w:t>is trustworthy</w:t>
      </w:r>
      <w:r w:rsidRPr="009C4A5A">
        <w:rPr>
          <w:sz w:val="16"/>
        </w:rPr>
        <w:t xml:space="preserve">. </w:t>
      </w:r>
      <w:r w:rsidRPr="00DD2D90">
        <w:rPr>
          <w:rStyle w:val="StyleUnderline"/>
          <w:highlight w:val="green"/>
        </w:rPr>
        <w:t>Nothing unsettles a middle-class nation more rapidly than inflation</w:t>
      </w:r>
      <w:r w:rsidRPr="009C4A5A">
        <w:rPr>
          <w:sz w:val="16"/>
        </w:rPr>
        <w:t xml:space="preserve">, a component of all of these crises. By it, </w:t>
      </w:r>
      <w:r w:rsidRPr="00DD2D90">
        <w:rPr>
          <w:rStyle w:val="StyleUnderline"/>
        </w:rPr>
        <w:t>people are reminded daily that the currency is failing as a store of value. This unnerves the public as much as crime</w:t>
      </w:r>
      <w:r w:rsidRPr="009C4A5A">
        <w:rPr>
          <w:sz w:val="16"/>
        </w:rPr>
        <w:t xml:space="preserve">, today’s deportation mayhem and other disorders. </w:t>
      </w:r>
      <w:r w:rsidRPr="00DD2D90">
        <w:rPr>
          <w:rStyle w:val="Emphasis"/>
        </w:rPr>
        <w:t>Inflation is disorder</w:t>
      </w:r>
      <w:r w:rsidRPr="009C4A5A">
        <w:rPr>
          <w:sz w:val="16"/>
        </w:rPr>
        <w:t xml:space="preserve">. </w:t>
      </w:r>
      <w:r w:rsidRPr="00DD2D90">
        <w:rPr>
          <w:rStyle w:val="StyleUnderline"/>
        </w:rPr>
        <w:t xml:space="preserve">Its quiet ubiquity is especially sinister, making everyone feel </w:t>
      </w:r>
      <w:r w:rsidRPr="00DD2D90">
        <w:rPr>
          <w:rStyle w:val="Emphasis"/>
        </w:rPr>
        <w:t>powerless</w:t>
      </w:r>
      <w:r w:rsidRPr="009C4A5A">
        <w:rPr>
          <w:sz w:val="16"/>
        </w:rPr>
        <w:t xml:space="preserve">. “Dystopian” is the antonym of “utopian.” “Utopia” was derived from Greek roots to denote something imaginary — “nowhere.” </w:t>
      </w:r>
      <w:r w:rsidRPr="00DD2D90">
        <w:rPr>
          <w:rStyle w:val="StyleUnderline"/>
          <w:highlight w:val="green"/>
        </w:rPr>
        <w:t xml:space="preserve">The </w:t>
      </w:r>
      <w:r w:rsidRPr="00DD2D90">
        <w:rPr>
          <w:rStyle w:val="Emphasis"/>
          <w:highlight w:val="green"/>
        </w:rPr>
        <w:t>dystopian consequences</w:t>
      </w:r>
      <w:r w:rsidRPr="00DD2D90">
        <w:rPr>
          <w:rStyle w:val="StyleUnderline"/>
          <w:highlight w:val="green"/>
        </w:rPr>
        <w:t xml:space="preserve"> of U.S. debt could </w:t>
      </w:r>
      <w:r w:rsidRPr="00DD2D90">
        <w:rPr>
          <w:rStyle w:val="StyleUnderline"/>
        </w:rPr>
        <w:t xml:space="preserve">someday </w:t>
      </w:r>
      <w:r w:rsidRPr="00DD2D90">
        <w:rPr>
          <w:rStyle w:val="StyleUnderline"/>
          <w:highlight w:val="green"/>
        </w:rPr>
        <w:t>be everywhere</w:t>
      </w:r>
      <w:r w:rsidRPr="009C4A5A">
        <w:rPr>
          <w:sz w:val="16"/>
        </w:rPr>
        <w:t xml:space="preserve">. </w:t>
      </w:r>
    </w:p>
    <w:p w14:paraId="6C69519C" w14:textId="77777777" w:rsidR="00B0589A" w:rsidRPr="009C4A5A" w:rsidRDefault="00B0589A">
      <w:pPr>
        <w:rPr>
          <w:rFonts w:eastAsiaTheme="majorEastAsia" w:cstheme="majorBidi"/>
          <w:b/>
          <w:iCs/>
          <w:sz w:val="16"/>
        </w:rPr>
      </w:pPr>
      <w:r w:rsidRPr="009C4A5A">
        <w:rPr>
          <w:sz w:val="16"/>
        </w:rPr>
        <w:br w:type="page"/>
      </w:r>
    </w:p>
    <w:p w14:paraId="09DAF2F0" w14:textId="59E0681C" w:rsidR="002233F1" w:rsidRPr="009C4A5A" w:rsidRDefault="00B2192A" w:rsidP="00B2192A">
      <w:pPr>
        <w:pStyle w:val="Heading4"/>
        <w:rPr>
          <w:szCs w:val="26"/>
        </w:rPr>
      </w:pPr>
      <w:r w:rsidRPr="009C4A5A">
        <w:rPr>
          <w:szCs w:val="26"/>
        </w:rPr>
        <w:t>Existing de</w:t>
      </w:r>
      <w:r w:rsidR="002233F1" w:rsidRPr="009C4A5A">
        <w:rPr>
          <w:szCs w:val="26"/>
        </w:rPr>
        <w:t xml:space="preserve">ficit problems </w:t>
      </w:r>
      <w:r w:rsidRPr="009C4A5A">
        <w:rPr>
          <w:szCs w:val="26"/>
        </w:rPr>
        <w:t xml:space="preserve">are </w:t>
      </w:r>
      <w:r w:rsidR="002233F1" w:rsidRPr="009C4A5A">
        <w:rPr>
          <w:szCs w:val="26"/>
        </w:rPr>
        <w:t xml:space="preserve">due to </w:t>
      </w:r>
      <w:r w:rsidRPr="009C4A5A">
        <w:rPr>
          <w:szCs w:val="26"/>
        </w:rPr>
        <w:t xml:space="preserve">too much government spending on </w:t>
      </w:r>
      <w:r w:rsidR="002233F1" w:rsidRPr="009C4A5A">
        <w:rPr>
          <w:szCs w:val="26"/>
        </w:rPr>
        <w:t>healthcare</w:t>
      </w:r>
      <w:r w:rsidR="00D66A97" w:rsidRPr="009C4A5A">
        <w:rPr>
          <w:szCs w:val="26"/>
        </w:rPr>
        <w:t xml:space="preserve"> – this proves greater government involvement is unaffordable</w:t>
      </w:r>
    </w:p>
    <w:p w14:paraId="2FA699D6" w14:textId="77777777" w:rsidR="002233F1" w:rsidRPr="00DD2D90" w:rsidRDefault="002233F1" w:rsidP="002233F1">
      <w:pPr>
        <w:rPr>
          <w:b/>
          <w:bCs/>
        </w:rPr>
      </w:pPr>
      <w:r w:rsidRPr="009C4A5A">
        <w:rPr>
          <w:rStyle w:val="Style13ptBold"/>
          <w:szCs w:val="26"/>
        </w:rPr>
        <w:t>Quakenbush and Patzman 24</w:t>
      </w:r>
      <w:r w:rsidRPr="00DD2D90">
        <w:rPr>
          <w:rStyle w:val="Style13ptBold"/>
          <w:sz w:val="22"/>
        </w:rPr>
        <w:t xml:space="preserve"> </w:t>
      </w:r>
      <w:r w:rsidRPr="00DD2D90">
        <w:t>[Caleb Quakenbush, researcher with a M.S. in applied economics from Johns Hopkins, and Andrew Patzman, researcher with a J.D. from Georgetown University, 10-21-2024, "Why the National Debt Matters for Rising Health Care Costs," Bipartisan Policy Center, https://bipartisanpolicy.org/explainer/national-debt-rising-health-care-costs/]/Kankee</w:t>
      </w:r>
    </w:p>
    <w:p w14:paraId="25686682" w14:textId="77777777" w:rsidR="002233F1" w:rsidRPr="009C4A5A" w:rsidRDefault="002233F1" w:rsidP="002233F1">
      <w:pPr>
        <w:rPr>
          <w:sz w:val="16"/>
        </w:rPr>
      </w:pPr>
      <w:r w:rsidRPr="00DD2D90">
        <w:rPr>
          <w:highlight w:val="green"/>
          <w:u w:val="single"/>
        </w:rPr>
        <w:t>Health care comprises</w:t>
      </w:r>
      <w:r w:rsidRPr="00DD2D90">
        <w:rPr>
          <w:u w:val="single"/>
        </w:rPr>
        <w:t xml:space="preserve"> the </w:t>
      </w:r>
      <w:r w:rsidRPr="00DD2D90">
        <w:rPr>
          <w:b/>
          <w:bCs/>
          <w:highlight w:val="green"/>
          <w:u w:val="single"/>
        </w:rPr>
        <w:t>largest share</w:t>
      </w:r>
      <w:r w:rsidRPr="00DD2D90">
        <w:rPr>
          <w:highlight w:val="green"/>
          <w:u w:val="single"/>
        </w:rPr>
        <w:t xml:space="preserve"> of</w:t>
      </w:r>
      <w:r w:rsidRPr="00DD2D90">
        <w:rPr>
          <w:u w:val="single"/>
        </w:rPr>
        <w:t xml:space="preserve"> the federal </w:t>
      </w:r>
      <w:r w:rsidRPr="00DD2D90">
        <w:rPr>
          <w:highlight w:val="green"/>
          <w:u w:val="single"/>
        </w:rPr>
        <w:t>budget</w:t>
      </w:r>
      <w:r w:rsidRPr="00DD2D90">
        <w:rPr>
          <w:u w:val="single"/>
        </w:rPr>
        <w:t xml:space="preserve"> </w:t>
      </w:r>
      <w:r w:rsidRPr="00DD2D90">
        <w:rPr>
          <w:highlight w:val="green"/>
          <w:u w:val="single"/>
        </w:rPr>
        <w:t>because of the enormous role the U.S. government plays in provisioning the system</w:t>
      </w:r>
      <w:r w:rsidRPr="00DD2D90">
        <w:rPr>
          <w:u w:val="single"/>
        </w:rPr>
        <w:t>.</w:t>
      </w:r>
      <w:r w:rsidRPr="009C4A5A">
        <w:rPr>
          <w:sz w:val="16"/>
        </w:rPr>
        <w:t xml:space="preserve"> The government provides or subsidizes health insurance for the vast majority of Americans: In fiscal year 2024, public health insurance programs are expected to total $1.6 trillion, while tax advantages for private employer-sponsored health plans will result in $384 billion in lost income and payroll tax receipts. These along with several smaller subsidies comprise more than $2 trillion of about $5 trillion in annual national health expenditures. The federal government also invests in medical research and development, public health, and other health-related endeavors. </w:t>
      </w:r>
      <w:r w:rsidRPr="00DD2D90">
        <w:rPr>
          <w:u w:val="single"/>
        </w:rPr>
        <w:t xml:space="preserve">Rising health care costs </w:t>
      </w:r>
      <w:r w:rsidRPr="00DD2D90">
        <w:rPr>
          <w:b/>
          <w:bCs/>
          <w:u w:val="single"/>
        </w:rPr>
        <w:t>significantly drive federal spending</w:t>
      </w:r>
      <w:r w:rsidRPr="00DD2D90">
        <w:rPr>
          <w:u w:val="single"/>
        </w:rPr>
        <w:t xml:space="preserve"> as well. Major health </w:t>
      </w:r>
      <w:r w:rsidRPr="00DD2D90">
        <w:rPr>
          <w:highlight w:val="green"/>
          <w:u w:val="single"/>
        </w:rPr>
        <w:t>programs’</w:t>
      </w:r>
      <w:r w:rsidRPr="00DD2D90">
        <w:rPr>
          <w:u w:val="single"/>
        </w:rPr>
        <w:t xml:space="preserve"> share of noninterest </w:t>
      </w:r>
      <w:r w:rsidRPr="00DD2D90">
        <w:rPr>
          <w:highlight w:val="green"/>
          <w:u w:val="single"/>
        </w:rPr>
        <w:t>outlays</w:t>
      </w:r>
      <w:r w:rsidRPr="00DD2D90">
        <w:rPr>
          <w:u w:val="single"/>
        </w:rPr>
        <w:t xml:space="preserve"> has </w:t>
      </w:r>
      <w:r w:rsidRPr="00DD2D90">
        <w:rPr>
          <w:highlight w:val="green"/>
          <w:u w:val="single"/>
        </w:rPr>
        <w:t>increased from 20%</w:t>
      </w:r>
      <w:r w:rsidRPr="00DD2D90">
        <w:rPr>
          <w:u w:val="single"/>
        </w:rPr>
        <w:t xml:space="preserve"> in 2000 </w:t>
      </w:r>
      <w:r w:rsidRPr="00DD2D90">
        <w:rPr>
          <w:highlight w:val="green"/>
          <w:u w:val="single"/>
        </w:rPr>
        <w:t>to</w:t>
      </w:r>
      <w:r w:rsidRPr="00DD2D90">
        <w:rPr>
          <w:u w:val="single"/>
        </w:rPr>
        <w:t xml:space="preserve"> </w:t>
      </w:r>
      <w:r w:rsidRPr="00DD2D90">
        <w:rPr>
          <w:highlight w:val="green"/>
          <w:u w:val="single"/>
        </w:rPr>
        <w:t xml:space="preserve">28% </w:t>
      </w:r>
      <w:r w:rsidRPr="00DD2D90">
        <w:rPr>
          <w:u w:val="single"/>
        </w:rPr>
        <w:t xml:space="preserve">in 2024 </w:t>
      </w:r>
      <w:r w:rsidRPr="00DD2D90">
        <w:rPr>
          <w:highlight w:val="green"/>
          <w:u w:val="single"/>
        </w:rPr>
        <w:t xml:space="preserve">and </w:t>
      </w:r>
      <w:r w:rsidRPr="00DD2D90">
        <w:rPr>
          <w:u w:val="single"/>
        </w:rPr>
        <w:t xml:space="preserve">is </w:t>
      </w:r>
      <w:r w:rsidRPr="00DD2D90">
        <w:rPr>
          <w:highlight w:val="green"/>
          <w:u w:val="single"/>
        </w:rPr>
        <w:t>projected to increase</w:t>
      </w:r>
      <w:r w:rsidRPr="00DD2D90">
        <w:rPr>
          <w:u w:val="single"/>
        </w:rPr>
        <w:t xml:space="preserve"> further </w:t>
      </w:r>
      <w:r w:rsidRPr="00DD2D90">
        <w:rPr>
          <w:highlight w:val="green"/>
          <w:u w:val="single"/>
        </w:rPr>
        <w:t>to</w:t>
      </w:r>
      <w:r w:rsidRPr="00DD2D90">
        <w:rPr>
          <w:u w:val="single"/>
        </w:rPr>
        <w:t xml:space="preserve"> </w:t>
      </w:r>
      <w:r w:rsidRPr="00DD2D90">
        <w:rPr>
          <w:highlight w:val="green"/>
          <w:u w:val="single"/>
        </w:rPr>
        <w:t>33%</w:t>
      </w:r>
      <w:r w:rsidRPr="00DD2D90">
        <w:rPr>
          <w:u w:val="single"/>
        </w:rPr>
        <w:t xml:space="preserve"> of noninterest outlays </w:t>
      </w:r>
      <w:r w:rsidRPr="00DD2D90">
        <w:rPr>
          <w:highlight w:val="green"/>
          <w:u w:val="single"/>
        </w:rPr>
        <w:t>by 2034</w:t>
      </w:r>
      <w:r w:rsidRPr="00DD2D90">
        <w:rPr>
          <w:u w:val="single"/>
        </w:rPr>
        <w:t>.</w:t>
      </w:r>
      <w:r w:rsidRPr="009C4A5A">
        <w:rPr>
          <w:sz w:val="16"/>
        </w:rPr>
        <w:t xml:space="preserve"> </w:t>
      </w:r>
      <w:r w:rsidRPr="00DD2D90">
        <w:rPr>
          <w:highlight w:val="green"/>
          <w:u w:val="single"/>
        </w:rPr>
        <w:t>Medicare and Medicaid</w:t>
      </w:r>
      <w:r w:rsidRPr="00DD2D90">
        <w:rPr>
          <w:u w:val="single"/>
        </w:rPr>
        <w:t xml:space="preserve"> </w:t>
      </w:r>
      <w:r w:rsidRPr="00DD2D90">
        <w:rPr>
          <w:highlight w:val="green"/>
          <w:u w:val="single"/>
        </w:rPr>
        <w:t xml:space="preserve">spending </w:t>
      </w:r>
      <w:r w:rsidRPr="00DD2D90">
        <w:rPr>
          <w:u w:val="single"/>
        </w:rPr>
        <w:t xml:space="preserve">alone </w:t>
      </w:r>
      <w:r w:rsidRPr="00DD2D90">
        <w:rPr>
          <w:highlight w:val="green"/>
          <w:u w:val="single"/>
        </w:rPr>
        <w:t xml:space="preserve">is projected to </w:t>
      </w:r>
      <w:r w:rsidRPr="00DD2D90">
        <w:rPr>
          <w:b/>
          <w:bCs/>
          <w:highlight w:val="green"/>
          <w:u w:val="single"/>
        </w:rPr>
        <w:t>rise by</w:t>
      </w:r>
      <w:r w:rsidRPr="00DD2D90">
        <w:rPr>
          <w:b/>
          <w:bCs/>
          <w:u w:val="single"/>
        </w:rPr>
        <w:t xml:space="preserve"> about </w:t>
      </w:r>
      <w:r w:rsidRPr="00DD2D90">
        <w:rPr>
          <w:b/>
          <w:bCs/>
          <w:highlight w:val="green"/>
          <w:u w:val="single"/>
        </w:rPr>
        <w:t>45%</w:t>
      </w:r>
      <w:r w:rsidRPr="00DD2D90">
        <w:rPr>
          <w:u w:val="single"/>
        </w:rPr>
        <w:t xml:space="preserve"> after accounting for inflation over the next decade</w:t>
      </w:r>
      <w:r w:rsidRPr="009C4A5A">
        <w:rPr>
          <w:sz w:val="16"/>
        </w:rPr>
        <w:t>. Specifically, rising prices for health care goods and services account for much of the growth in U.S. health care costs. This is acutely felt in the pharmaceutical sector (three in 10 American adults report not taking medications as prescribed due to cost), but it is also underpinned by America’s aging population, incidence of chronic disease, and continuing advances in costly but lifesaving treatments. Market factors such as consolidation among hospitals, health systems, insurers, clinics, and physician practices also drive up health care prices. For example, some estimates show that hospital prices can increase by as much as 65% following a merger.</w:t>
      </w:r>
    </w:p>
    <w:p w14:paraId="313152CF" w14:textId="77777777" w:rsidR="002233F1" w:rsidRPr="009C4A5A" w:rsidRDefault="002233F1" w:rsidP="002233F1">
      <w:pPr>
        <w:rPr>
          <w:sz w:val="16"/>
        </w:rPr>
      </w:pPr>
    </w:p>
    <w:p w14:paraId="4C4290E9" w14:textId="77777777" w:rsidR="002233F1" w:rsidRPr="009C4A5A" w:rsidRDefault="002233F1" w:rsidP="002233F1">
      <w:pPr>
        <w:rPr>
          <w:sz w:val="16"/>
        </w:rPr>
      </w:pPr>
    </w:p>
    <w:p w14:paraId="30BE1FF3" w14:textId="77777777" w:rsidR="002233F1" w:rsidRPr="009C4A5A" w:rsidRDefault="002233F1" w:rsidP="002233F1">
      <w:pPr>
        <w:rPr>
          <w:sz w:val="16"/>
        </w:rPr>
      </w:pPr>
    </w:p>
    <w:p w14:paraId="2EB025B8" w14:textId="77777777" w:rsidR="00B0589A" w:rsidRPr="009C4A5A" w:rsidRDefault="00B0589A">
      <w:pPr>
        <w:rPr>
          <w:rFonts w:eastAsiaTheme="majorEastAsia" w:cstheme="majorBidi"/>
          <w:b/>
          <w:iCs/>
          <w:sz w:val="16"/>
        </w:rPr>
      </w:pPr>
      <w:r w:rsidRPr="009C4A5A">
        <w:rPr>
          <w:sz w:val="16"/>
        </w:rPr>
        <w:br w:type="page"/>
      </w:r>
    </w:p>
    <w:p w14:paraId="6B809444" w14:textId="082B1383" w:rsidR="002233F1" w:rsidRPr="009C4A5A" w:rsidRDefault="002233F1" w:rsidP="002233F1">
      <w:pPr>
        <w:pStyle w:val="Heading4"/>
        <w:rPr>
          <w:szCs w:val="26"/>
        </w:rPr>
      </w:pPr>
      <w:r w:rsidRPr="009C4A5A">
        <w:rPr>
          <w:szCs w:val="26"/>
        </w:rPr>
        <w:t xml:space="preserve">Healthcare is one of the largest </w:t>
      </w:r>
      <w:r w:rsidR="000B4916" w:rsidRPr="009C4A5A">
        <w:rPr>
          <w:szCs w:val="26"/>
        </w:rPr>
        <w:t xml:space="preserve">contributions to the </w:t>
      </w:r>
      <w:r w:rsidRPr="009C4A5A">
        <w:rPr>
          <w:szCs w:val="26"/>
        </w:rPr>
        <w:t>national debt.</w:t>
      </w:r>
    </w:p>
    <w:p w14:paraId="208A8CEE" w14:textId="485BFA85" w:rsidR="002233F1" w:rsidRPr="00DD2D90" w:rsidRDefault="002233F1" w:rsidP="002233F1">
      <w:pPr>
        <w:rPr>
          <w:b/>
          <w:bCs/>
        </w:rPr>
      </w:pPr>
      <w:r w:rsidRPr="009C4A5A">
        <w:rPr>
          <w:rStyle w:val="Style13ptBold"/>
          <w:szCs w:val="26"/>
        </w:rPr>
        <w:t>Bulgac 25</w:t>
      </w:r>
      <w:r w:rsidRPr="00DD2D90">
        <w:rPr>
          <w:rStyle w:val="Style13ptBold"/>
          <w:sz w:val="22"/>
        </w:rPr>
        <w:t xml:space="preserve"> </w:t>
      </w:r>
      <w:r w:rsidRPr="00DD2D90">
        <w:t>[Gadai Bulgac, B.A. Houston, 10-30-2025, “Government Healthcare Spending and the National Debt”, Economic Policy Innovation Center, https://epicforamerica.org/federal-budget/government-healthcare-spending-and-the-national-debt/]/Kankee</w:t>
      </w:r>
    </w:p>
    <w:p w14:paraId="7E4D4FBD" w14:textId="77777777" w:rsidR="002233F1" w:rsidRPr="009C4A5A" w:rsidRDefault="002233F1" w:rsidP="002233F1">
      <w:pPr>
        <w:rPr>
          <w:sz w:val="16"/>
        </w:rPr>
      </w:pPr>
      <w:r w:rsidRPr="00DD2D90">
        <w:rPr>
          <w:u w:val="single"/>
        </w:rPr>
        <w:t xml:space="preserve">The </w:t>
      </w:r>
      <w:r w:rsidRPr="00DD2D90">
        <w:rPr>
          <w:highlight w:val="green"/>
          <w:u w:val="single"/>
        </w:rPr>
        <w:t>national debt</w:t>
      </w:r>
      <w:r w:rsidRPr="00DD2D90">
        <w:rPr>
          <w:u w:val="single"/>
        </w:rPr>
        <w:t xml:space="preserve"> recently </w:t>
      </w:r>
      <w:r w:rsidRPr="00DD2D90">
        <w:rPr>
          <w:highlight w:val="green"/>
          <w:u w:val="single"/>
        </w:rPr>
        <w:t>surpassed</w:t>
      </w:r>
      <w:r w:rsidRPr="00DD2D90">
        <w:rPr>
          <w:u w:val="single"/>
        </w:rPr>
        <w:t xml:space="preserve"> </w:t>
      </w:r>
      <w:r w:rsidRPr="00DD2D90">
        <w:rPr>
          <w:b/>
          <w:bCs/>
          <w:u w:val="single"/>
        </w:rPr>
        <w:t>$</w:t>
      </w:r>
      <w:r w:rsidRPr="00DD2D90">
        <w:rPr>
          <w:b/>
          <w:bCs/>
          <w:highlight w:val="green"/>
          <w:u w:val="single"/>
        </w:rPr>
        <w:t>38 trillion dollars</w:t>
      </w:r>
      <w:r w:rsidRPr="00DD2D90">
        <w:rPr>
          <w:highlight w:val="green"/>
          <w:u w:val="single"/>
        </w:rPr>
        <w:t>, which</w:t>
      </w:r>
      <w:r w:rsidRPr="00DD2D90">
        <w:rPr>
          <w:u w:val="single"/>
        </w:rPr>
        <w:t xml:space="preserve"> concerningly </w:t>
      </w:r>
      <w:r w:rsidRPr="00DD2D90">
        <w:rPr>
          <w:highlight w:val="green"/>
          <w:u w:val="single"/>
        </w:rPr>
        <w:t>leaves</w:t>
      </w:r>
      <w:r w:rsidRPr="00DD2D90">
        <w:rPr>
          <w:u w:val="single"/>
        </w:rPr>
        <w:t xml:space="preserve"> our government with </w:t>
      </w:r>
      <w:r w:rsidRPr="00DD2D90">
        <w:rPr>
          <w:highlight w:val="green"/>
          <w:u w:val="single"/>
        </w:rPr>
        <w:t>little</w:t>
      </w:r>
      <w:r w:rsidRPr="00DD2D90">
        <w:rPr>
          <w:u w:val="single"/>
        </w:rPr>
        <w:t xml:space="preserve"> fiscal </w:t>
      </w:r>
      <w:r w:rsidRPr="00DD2D90">
        <w:rPr>
          <w:highlight w:val="green"/>
          <w:u w:val="single"/>
        </w:rPr>
        <w:t>space to respond to</w:t>
      </w:r>
      <w:r w:rsidRPr="00DD2D90">
        <w:rPr>
          <w:u w:val="single"/>
        </w:rPr>
        <w:t xml:space="preserve"> any </w:t>
      </w:r>
      <w:r w:rsidRPr="00DD2D90">
        <w:rPr>
          <w:b/>
          <w:bCs/>
          <w:u w:val="single"/>
        </w:rPr>
        <w:t xml:space="preserve">potential </w:t>
      </w:r>
      <w:r w:rsidRPr="00DD2D90">
        <w:rPr>
          <w:b/>
          <w:bCs/>
          <w:highlight w:val="green"/>
          <w:u w:val="single"/>
        </w:rPr>
        <w:t>future crises</w:t>
      </w:r>
      <w:r w:rsidRPr="00DD2D90">
        <w:rPr>
          <w:u w:val="single"/>
        </w:rPr>
        <w:t>.</w:t>
      </w:r>
      <w:r w:rsidRPr="009C4A5A">
        <w:rPr>
          <w:sz w:val="16"/>
        </w:rPr>
        <w:t xml:space="preserve"> The debt continues to spiral out of control as spending grows larger. </w:t>
      </w:r>
      <w:r w:rsidRPr="00DD2D90">
        <w:rPr>
          <w:u w:val="single"/>
        </w:rPr>
        <w:t xml:space="preserve">Some of </w:t>
      </w:r>
      <w:r w:rsidRPr="00DD2D90">
        <w:rPr>
          <w:highlight w:val="green"/>
          <w:u w:val="single"/>
        </w:rPr>
        <w:t xml:space="preserve">the </w:t>
      </w:r>
      <w:r w:rsidRPr="00DD2D90">
        <w:rPr>
          <w:b/>
          <w:bCs/>
          <w:highlight w:val="green"/>
          <w:u w:val="single"/>
        </w:rPr>
        <w:t xml:space="preserve">largest </w:t>
      </w:r>
      <w:r w:rsidRPr="00DD2D90">
        <w:rPr>
          <w:b/>
          <w:bCs/>
          <w:u w:val="single"/>
        </w:rPr>
        <w:t xml:space="preserve">budget </w:t>
      </w:r>
      <w:r w:rsidRPr="00DD2D90">
        <w:rPr>
          <w:b/>
          <w:bCs/>
          <w:highlight w:val="green"/>
          <w:u w:val="single"/>
        </w:rPr>
        <w:t>items</w:t>
      </w:r>
      <w:r w:rsidRPr="00DD2D90">
        <w:rPr>
          <w:u w:val="single"/>
        </w:rPr>
        <w:t xml:space="preserve"> growing our debt </w:t>
      </w:r>
      <w:r w:rsidRPr="00DD2D90">
        <w:rPr>
          <w:highlight w:val="green"/>
          <w:u w:val="single"/>
        </w:rPr>
        <w:t>are</w:t>
      </w:r>
      <w:r w:rsidRPr="00DD2D90">
        <w:rPr>
          <w:u w:val="single"/>
        </w:rPr>
        <w:t xml:space="preserve"> federal </w:t>
      </w:r>
      <w:r w:rsidRPr="00DD2D90">
        <w:rPr>
          <w:b/>
          <w:bCs/>
          <w:highlight w:val="green"/>
          <w:u w:val="single"/>
        </w:rPr>
        <w:t>healthcare</w:t>
      </w:r>
      <w:r w:rsidRPr="00DD2D90">
        <w:rPr>
          <w:b/>
          <w:bCs/>
          <w:u w:val="single"/>
        </w:rPr>
        <w:t xml:space="preserve"> programs</w:t>
      </w:r>
      <w:r w:rsidRPr="00DD2D90">
        <w:rPr>
          <w:u w:val="single"/>
        </w:rPr>
        <w:t xml:space="preserve"> such as Medicare and Medicaid.</w:t>
      </w:r>
      <w:r w:rsidRPr="009C4A5A">
        <w:rPr>
          <w:sz w:val="16"/>
        </w:rPr>
        <w:t xml:space="preserve"> As the chart below shows, </w:t>
      </w:r>
      <w:r w:rsidRPr="00DD2D90">
        <w:rPr>
          <w:highlight w:val="green"/>
          <w:u w:val="single"/>
        </w:rPr>
        <w:t>federal spending</w:t>
      </w:r>
      <w:r w:rsidRPr="00DD2D90">
        <w:rPr>
          <w:u w:val="single"/>
        </w:rPr>
        <w:t xml:space="preserve"> on healthcare programs </w:t>
      </w:r>
      <w:r w:rsidRPr="00DD2D90">
        <w:rPr>
          <w:highlight w:val="green"/>
          <w:u w:val="single"/>
        </w:rPr>
        <w:t>is linked to the national debt</w:t>
      </w:r>
      <w:r w:rsidRPr="00DD2D90">
        <w:rPr>
          <w:u w:val="single"/>
        </w:rPr>
        <w:t>.</w:t>
      </w:r>
      <w:r w:rsidRPr="009C4A5A">
        <w:rPr>
          <w:sz w:val="16"/>
        </w:rPr>
        <w:t xml:space="preserve"> After adding together all of the federal healthcare program spending from 1960 onward, we get a cumulative total of federal healthcare spending. </w:t>
      </w:r>
      <w:r w:rsidRPr="00DD2D90">
        <w:rPr>
          <w:highlight w:val="green"/>
          <w:u w:val="single"/>
        </w:rPr>
        <w:t>Comparing</w:t>
      </w:r>
      <w:r w:rsidRPr="00DD2D90">
        <w:rPr>
          <w:u w:val="single"/>
        </w:rPr>
        <w:t xml:space="preserve"> it </w:t>
      </w:r>
      <w:r w:rsidRPr="00DD2D90">
        <w:rPr>
          <w:highlight w:val="green"/>
          <w:u w:val="single"/>
        </w:rPr>
        <w:t>to</w:t>
      </w:r>
      <w:r w:rsidRPr="00DD2D90">
        <w:rPr>
          <w:u w:val="single"/>
        </w:rPr>
        <w:t xml:space="preserve"> the </w:t>
      </w:r>
      <w:r w:rsidRPr="00DD2D90">
        <w:rPr>
          <w:highlight w:val="green"/>
          <w:u w:val="single"/>
        </w:rPr>
        <w:t>national debt</w:t>
      </w:r>
      <w:r w:rsidRPr="00DD2D90">
        <w:rPr>
          <w:u w:val="single"/>
        </w:rPr>
        <w:t xml:space="preserve">, which is a cumulative total of federal deficits (minus surpluses), we see </w:t>
      </w:r>
      <w:r w:rsidRPr="00DD2D90">
        <w:rPr>
          <w:highlight w:val="green"/>
          <w:u w:val="single"/>
        </w:rPr>
        <w:t xml:space="preserve">the two track each other </w:t>
      </w:r>
      <w:r w:rsidRPr="00DD2D90">
        <w:rPr>
          <w:b/>
          <w:bCs/>
          <w:u w:val="single"/>
        </w:rPr>
        <w:t xml:space="preserve">extremely </w:t>
      </w:r>
      <w:r w:rsidRPr="00DD2D90">
        <w:rPr>
          <w:b/>
          <w:bCs/>
          <w:highlight w:val="green"/>
          <w:u w:val="single"/>
        </w:rPr>
        <w:t>closely</w:t>
      </w:r>
      <w:r w:rsidRPr="00DD2D90">
        <w:rPr>
          <w:highlight w:val="green"/>
          <w:u w:val="single"/>
        </w:rPr>
        <w:t>. Between 1960 and 2023, the</w:t>
      </w:r>
      <w:r w:rsidRPr="00DD2D90">
        <w:rPr>
          <w:u w:val="single"/>
        </w:rPr>
        <w:t xml:space="preserve"> federal </w:t>
      </w:r>
      <w:r w:rsidRPr="00DD2D90">
        <w:rPr>
          <w:highlight w:val="green"/>
          <w:u w:val="single"/>
        </w:rPr>
        <w:t>government spent $32</w:t>
      </w:r>
      <w:r w:rsidRPr="00DD2D90">
        <w:rPr>
          <w:u w:val="single"/>
        </w:rPr>
        <w:t xml:space="preserve">.6 </w:t>
      </w:r>
      <w:r w:rsidRPr="00DD2D90">
        <w:rPr>
          <w:highlight w:val="green"/>
          <w:u w:val="single"/>
        </w:rPr>
        <w:t>trillion on</w:t>
      </w:r>
      <w:r w:rsidRPr="00DD2D90">
        <w:rPr>
          <w:u w:val="single"/>
        </w:rPr>
        <w:t xml:space="preserve"> </w:t>
      </w:r>
      <w:r w:rsidRPr="00DD2D90">
        <w:rPr>
          <w:highlight w:val="green"/>
          <w:u w:val="single"/>
        </w:rPr>
        <w:t>health</w:t>
      </w:r>
      <w:r w:rsidRPr="00DD2D90">
        <w:rPr>
          <w:u w:val="single"/>
        </w:rPr>
        <w:t xml:space="preserve"> </w:t>
      </w:r>
      <w:r w:rsidRPr="00DD2D90">
        <w:rPr>
          <w:highlight w:val="green"/>
          <w:u w:val="single"/>
        </w:rPr>
        <w:t>programs while</w:t>
      </w:r>
      <w:r w:rsidRPr="00DD2D90">
        <w:rPr>
          <w:u w:val="single"/>
        </w:rPr>
        <w:t xml:space="preserve"> the national </w:t>
      </w:r>
      <w:r w:rsidRPr="00DD2D90">
        <w:rPr>
          <w:highlight w:val="green"/>
          <w:u w:val="single"/>
        </w:rPr>
        <w:t>debt grew</w:t>
      </w:r>
      <w:r w:rsidRPr="00DD2D90">
        <w:rPr>
          <w:u w:val="single"/>
        </w:rPr>
        <w:t xml:space="preserve"> from under $0.3 trillion to </w:t>
      </w:r>
      <w:r w:rsidRPr="00DD2D90">
        <w:rPr>
          <w:highlight w:val="green"/>
          <w:u w:val="single"/>
        </w:rPr>
        <w:t>$34 trillion</w:t>
      </w:r>
      <w:r w:rsidRPr="00DD2D90">
        <w:rPr>
          <w:u w:val="single"/>
        </w:rPr>
        <w:t xml:space="preserve"> In 2023, federal spending on healthcare programs totaled $2.1 trillion dollars; the federal deficit for the same year was $1.7 trillion dollars.</w:t>
      </w:r>
      <w:r w:rsidRPr="009C4A5A">
        <w:rPr>
          <w:sz w:val="16"/>
        </w:rPr>
        <w:t xml:space="preserve"> Despite the growing amount of government spending and intervention in healthcare, outcomes and access have only gotten worse for patients. Currently, the government is “shut down” due to debates over adding an additional $1.5 trillion in spending over the next 10 years. Part of that spending increase would include making temporary, COVID-era subsidies to health insurance companies permanent and reversing Medicaid reforms that reduce waste, fraud, and abuse. </w:t>
      </w:r>
      <w:r w:rsidRPr="00DD2D90">
        <w:rPr>
          <w:highlight w:val="green"/>
          <w:u w:val="single"/>
        </w:rPr>
        <w:t>The U</w:t>
      </w:r>
      <w:r w:rsidRPr="00DD2D90">
        <w:rPr>
          <w:u w:val="single"/>
        </w:rPr>
        <w:t xml:space="preserve">nited </w:t>
      </w:r>
      <w:r w:rsidRPr="00DD2D90">
        <w:rPr>
          <w:highlight w:val="green"/>
          <w:u w:val="single"/>
        </w:rPr>
        <w:t>S</w:t>
      </w:r>
      <w:r w:rsidRPr="00DD2D90">
        <w:rPr>
          <w:u w:val="single"/>
        </w:rPr>
        <w:t xml:space="preserve">tates </w:t>
      </w:r>
      <w:r w:rsidRPr="00DD2D90">
        <w:rPr>
          <w:b/>
          <w:bCs/>
          <w:highlight w:val="green"/>
          <w:u w:val="single"/>
        </w:rPr>
        <w:t>cannot afford</w:t>
      </w:r>
      <w:r w:rsidRPr="00DD2D90">
        <w:rPr>
          <w:highlight w:val="green"/>
          <w:u w:val="single"/>
        </w:rPr>
        <w:t xml:space="preserve"> to keep spending</w:t>
      </w:r>
      <w:r w:rsidRPr="00DD2D90">
        <w:rPr>
          <w:u w:val="single"/>
        </w:rPr>
        <w:t xml:space="preserve"> and accumulating debt </w:t>
      </w:r>
      <w:r w:rsidRPr="00DD2D90">
        <w:rPr>
          <w:highlight w:val="green"/>
          <w:u w:val="single"/>
        </w:rPr>
        <w:t>at</w:t>
      </w:r>
      <w:r w:rsidRPr="00DD2D90">
        <w:rPr>
          <w:u w:val="single"/>
        </w:rPr>
        <w:t xml:space="preserve"> our </w:t>
      </w:r>
      <w:r w:rsidRPr="00DD2D90">
        <w:rPr>
          <w:highlight w:val="green"/>
          <w:u w:val="single"/>
        </w:rPr>
        <w:t>current pace</w:t>
      </w:r>
      <w:r w:rsidRPr="00DD2D90">
        <w:rPr>
          <w:u w:val="single"/>
        </w:rPr>
        <w:t>.</w:t>
      </w:r>
      <w:r w:rsidRPr="009C4A5A">
        <w:rPr>
          <w:sz w:val="16"/>
        </w:rPr>
        <w:t xml:space="preserve"> </w:t>
      </w:r>
      <w:r w:rsidRPr="00DD2D90">
        <w:rPr>
          <w:rStyle w:val="StyleUnderline"/>
        </w:rPr>
        <w:t>Allowing the subsidies to expire</w:t>
      </w:r>
      <w:r w:rsidRPr="009C4A5A">
        <w:rPr>
          <w:sz w:val="16"/>
        </w:rPr>
        <w:t xml:space="preserve"> and continuing the Medicaid reforms of the One Big Beautiful Bill </w:t>
      </w:r>
      <w:r w:rsidRPr="00DD2D90">
        <w:rPr>
          <w:rStyle w:val="StyleUnderline"/>
        </w:rPr>
        <w:t>are good first steps to bringing our spending under</w:t>
      </w:r>
      <w:r w:rsidRPr="009C4A5A">
        <w:rPr>
          <w:sz w:val="16"/>
        </w:rPr>
        <w:t xml:space="preserve"> </w:t>
      </w:r>
      <w:r w:rsidRPr="00DD2D90">
        <w:rPr>
          <w:rStyle w:val="StyleUnderline"/>
        </w:rPr>
        <w:t>control</w:t>
      </w:r>
      <w:r w:rsidRPr="009C4A5A">
        <w:rPr>
          <w:sz w:val="16"/>
        </w:rPr>
        <w:t xml:space="preserve"> and making healthcare truly affordable for both patients and taxpayers alike.</w:t>
      </w:r>
    </w:p>
    <w:p w14:paraId="44F87137" w14:textId="77777777" w:rsidR="00B0589A" w:rsidRPr="009C4A5A" w:rsidRDefault="00B0589A">
      <w:pPr>
        <w:rPr>
          <w:rFonts w:eastAsiaTheme="majorEastAsia" w:cstheme="majorBidi"/>
          <w:b/>
          <w:iCs/>
          <w:sz w:val="16"/>
        </w:rPr>
      </w:pPr>
      <w:r w:rsidRPr="009C4A5A">
        <w:rPr>
          <w:sz w:val="16"/>
        </w:rPr>
        <w:br w:type="page"/>
      </w:r>
    </w:p>
    <w:p w14:paraId="1A5C4315" w14:textId="77777777" w:rsidR="00B00C2C" w:rsidRPr="009C4A5A" w:rsidRDefault="00B00C2C" w:rsidP="00B00C2C">
      <w:pPr>
        <w:pStyle w:val="Heading4"/>
        <w:rPr>
          <w:szCs w:val="26"/>
        </w:rPr>
      </w:pPr>
      <w:r w:rsidRPr="009C4A5A">
        <w:rPr>
          <w:szCs w:val="26"/>
        </w:rPr>
        <w:t>Increased national debt increases inflation</w:t>
      </w:r>
    </w:p>
    <w:p w14:paraId="6086393F" w14:textId="77777777" w:rsidR="00B00C2C" w:rsidRPr="00DD2D90" w:rsidRDefault="00B00C2C" w:rsidP="00B00C2C">
      <w:r w:rsidRPr="009C4A5A">
        <w:rPr>
          <w:rStyle w:val="Style13ptBold"/>
          <w:szCs w:val="26"/>
        </w:rPr>
        <w:t>Budget Lab 25</w:t>
      </w:r>
      <w:r w:rsidRPr="00DD2D90">
        <w:t xml:space="preserve"> [The Budget Lab at Yale, 3-12-2025, “The Inflationary Risks of Rising Federal Deficits and Debt”, Yale, https://budgetlab.yale.edu/sites/default/files/page_to_pdf/447/publication_447.pdf]/Kankee</w:t>
      </w:r>
    </w:p>
    <w:p w14:paraId="184EFDB5" w14:textId="77777777" w:rsidR="00B00C2C" w:rsidRPr="009C4A5A" w:rsidRDefault="00B00C2C" w:rsidP="00B00C2C">
      <w:pPr>
        <w:rPr>
          <w:sz w:val="16"/>
        </w:rPr>
      </w:pPr>
      <w:r w:rsidRPr="00DD2D90">
        <w:rPr>
          <w:u w:val="single"/>
        </w:rPr>
        <w:t xml:space="preserve">This paper argues that </w:t>
      </w:r>
      <w:r w:rsidRPr="00DD2D90">
        <w:rPr>
          <w:highlight w:val="green"/>
          <w:u w:val="single"/>
        </w:rPr>
        <w:t xml:space="preserve">elevated </w:t>
      </w:r>
      <w:r w:rsidRPr="00DD2D90">
        <w:rPr>
          <w:u w:val="single"/>
        </w:rPr>
        <w:t xml:space="preserve">federal </w:t>
      </w:r>
      <w:r w:rsidRPr="00DD2D90">
        <w:rPr>
          <w:highlight w:val="green"/>
          <w:u w:val="single"/>
        </w:rPr>
        <w:t>debt increases</w:t>
      </w:r>
      <w:r w:rsidRPr="00DD2D90">
        <w:rPr>
          <w:u w:val="single"/>
        </w:rPr>
        <w:t xml:space="preserve"> the risk of </w:t>
      </w:r>
      <w:r w:rsidRPr="00DD2D90">
        <w:rPr>
          <w:highlight w:val="green"/>
          <w:u w:val="single"/>
        </w:rPr>
        <w:t>inflation</w:t>
      </w:r>
      <w:r w:rsidRPr="00DD2D90">
        <w:rPr>
          <w:u w:val="single"/>
        </w:rPr>
        <w:t xml:space="preserve">ary pressure </w:t>
      </w:r>
      <w:r w:rsidRPr="00DD2D90">
        <w:rPr>
          <w:highlight w:val="green"/>
          <w:u w:val="single"/>
        </w:rPr>
        <w:t xml:space="preserve">through </w:t>
      </w:r>
      <w:r w:rsidRPr="00DD2D90">
        <w:rPr>
          <w:b/>
          <w:bCs/>
          <w:highlight w:val="green"/>
          <w:u w:val="single"/>
        </w:rPr>
        <w:t>several channels</w:t>
      </w:r>
      <w:r w:rsidRPr="00DD2D90">
        <w:rPr>
          <w:u w:val="single"/>
        </w:rPr>
        <w:t xml:space="preserve"> in both the short- and the long-term. Some are familiar and conventional mechanisms, such as short-run aggregate demand. Other channels include crowding-out of capacity investment, amplifying fiscal dominance concerns, and amplifying inflation expectations.</w:t>
      </w:r>
      <w:r w:rsidRPr="009C4A5A">
        <w:rPr>
          <w:sz w:val="16"/>
        </w:rPr>
        <w:t xml:space="preserve"> Overview: Why Low Inflation Remains a Policy Priority At its core, inflation can act as a stealth tax on economic certainty. When prices rise unpredictably, households face a dual burden: first, the erosion of their nominal incomes, and second, heightened uncertainty about future purchasing power. Lower-income households bear these uncertainty costs disproportionately, as they allocate larger shares of their budgets to non-discretionary items like food and housing—categories less flexible for substitution and particularly vulnerable to supply shocks, though it is not clear that low-income households always bear more of the actual costs of inflation. </w:t>
      </w:r>
      <w:r w:rsidRPr="00DD2D90">
        <w:rPr>
          <w:u w:val="single"/>
        </w:rPr>
        <w:t xml:space="preserve">Equally corrosive is inflation’s impact on decision-making frameworks. </w:t>
      </w:r>
      <w:r w:rsidRPr="00DD2D90">
        <w:rPr>
          <w:highlight w:val="green"/>
          <w:u w:val="single"/>
        </w:rPr>
        <w:t>When businesses and consumers cannot distinguish</w:t>
      </w:r>
      <w:r w:rsidRPr="00DD2D90">
        <w:rPr>
          <w:u w:val="single"/>
        </w:rPr>
        <w:t xml:space="preserve"> relative </w:t>
      </w:r>
      <w:r w:rsidRPr="00DD2D90">
        <w:rPr>
          <w:highlight w:val="green"/>
          <w:u w:val="single"/>
        </w:rPr>
        <w:t xml:space="preserve">price changes from </w:t>
      </w:r>
      <w:r w:rsidRPr="00DD2D90">
        <w:rPr>
          <w:u w:val="single"/>
        </w:rPr>
        <w:t xml:space="preserve">economy-wide </w:t>
      </w:r>
      <w:r w:rsidRPr="00DD2D90">
        <w:rPr>
          <w:highlight w:val="green"/>
          <w:u w:val="single"/>
        </w:rPr>
        <w:t xml:space="preserve">trends, </w:t>
      </w:r>
      <w:r w:rsidRPr="00DD2D90">
        <w:rPr>
          <w:b/>
          <w:bCs/>
          <w:highlight w:val="green"/>
          <w:u w:val="single"/>
        </w:rPr>
        <w:t>resource allocation grows inefficient</w:t>
      </w:r>
      <w:r w:rsidRPr="00DD2D90">
        <w:rPr>
          <w:highlight w:val="green"/>
          <w:u w:val="single"/>
        </w:rPr>
        <w:t>. Firms delay investments, households hoard goods, and lenders demand</w:t>
      </w:r>
      <w:r w:rsidRPr="00DD2D90">
        <w:rPr>
          <w:u w:val="single"/>
        </w:rPr>
        <w:t xml:space="preserve"> higher risk </w:t>
      </w:r>
      <w:r w:rsidRPr="00DD2D90">
        <w:rPr>
          <w:highlight w:val="green"/>
          <w:u w:val="single"/>
        </w:rPr>
        <w:t>premiums</w:t>
      </w:r>
      <w:r w:rsidRPr="009C4A5A">
        <w:rPr>
          <w:sz w:val="16"/>
        </w:rPr>
        <w:t xml:space="preserve">—a dynamic starkly visible during the 1970s “Great Inflation,” when annual U.S. PCE price growth averaged 6.6%, versus 2.2% over the 1960s.1 </w:t>
      </w:r>
      <w:r w:rsidRPr="00DD2D90">
        <w:rPr>
          <w:u w:val="single"/>
        </w:rPr>
        <w:t xml:space="preserve">Research shows that higher </w:t>
      </w:r>
      <w:r w:rsidRPr="00DD2D90">
        <w:rPr>
          <w:highlight w:val="green"/>
          <w:u w:val="single"/>
        </w:rPr>
        <w:t>inflation</w:t>
      </w:r>
      <w:r w:rsidRPr="00DD2D90">
        <w:rPr>
          <w:u w:val="single"/>
        </w:rPr>
        <w:t xml:space="preserve"> volatility </w:t>
      </w:r>
      <w:r w:rsidRPr="00DD2D90">
        <w:rPr>
          <w:highlight w:val="green"/>
          <w:u w:val="single"/>
        </w:rPr>
        <w:t xml:space="preserve">can </w:t>
      </w:r>
      <w:r w:rsidRPr="00DD2D90">
        <w:rPr>
          <w:b/>
          <w:bCs/>
          <w:highlight w:val="green"/>
          <w:u w:val="single"/>
        </w:rPr>
        <w:t>detract from growth</w:t>
      </w:r>
      <w:r w:rsidRPr="00DD2D90">
        <w:rPr>
          <w:u w:val="single"/>
        </w:rPr>
        <w:t>, especially among countries with records of high inflation and low-credibility central banks.</w:t>
      </w:r>
      <w:r w:rsidRPr="009C4A5A">
        <w:rPr>
          <w:sz w:val="16"/>
        </w:rPr>
        <w:t xml:space="preserve"> Modern central banking in advanced countries has been shaped by the lessons of past inflationary crises. This evolution has taken many forms in the post-World War II decades, including the adoption of explicit inflation targeting or price stability frameworks, the gradual enshrining of political independence, and, more recently, the expansion of monetary policy toolkits to include unconventional actions like quantitative easing and forward guidance. As recently as 2023, all but six central banks globally explicitly prioritized low inflation, often codified in law. As discussed later, the rise of central bank credibility and anchored inflation expectations has shifted the trade-offs between debt and inflationary pressure.2 Literature Review: The Inflationary Channels of Elevated Federal Debt The relationship between public debt and inflation has been a central macroeconomic debate for decades.</w:t>
      </w:r>
      <w:r w:rsidRPr="00DD2D90">
        <w:rPr>
          <w:u w:val="single"/>
        </w:rPr>
        <w:t xml:space="preserve"> This review synthesizes empirical and theoretical insights into short- and long-run mechanisms </w:t>
      </w:r>
      <w:r w:rsidRPr="00DD2D90">
        <w:rPr>
          <w:b/>
          <w:bCs/>
          <w:u w:val="single"/>
        </w:rPr>
        <w:t>linking debt to inflation</w:t>
      </w:r>
      <w:r w:rsidRPr="00DD2D90">
        <w:rPr>
          <w:u w:val="single"/>
        </w:rPr>
        <w:t xml:space="preserve">. Short-Run Mechanisms: Demand Shocks, Supply Chains, and Central Bank Missteps In the short-run, </w:t>
      </w:r>
      <w:r w:rsidRPr="00DD2D90">
        <w:rPr>
          <w:highlight w:val="green"/>
          <w:u w:val="single"/>
        </w:rPr>
        <w:t>debt adds to pressure from</w:t>
      </w:r>
      <w:r w:rsidRPr="00DD2D90">
        <w:rPr>
          <w:u w:val="single"/>
        </w:rPr>
        <w:t xml:space="preserve"> the </w:t>
      </w:r>
      <w:r w:rsidRPr="00DD2D90">
        <w:rPr>
          <w:b/>
          <w:bCs/>
          <w:highlight w:val="green"/>
          <w:u w:val="single"/>
        </w:rPr>
        <w:t>interplay of Keynesian demand dynamics and</w:t>
      </w:r>
      <w:r w:rsidRPr="00DD2D90">
        <w:rPr>
          <w:b/>
          <w:bCs/>
          <w:u w:val="single"/>
        </w:rPr>
        <w:t xml:space="preserve"> temporary </w:t>
      </w:r>
      <w:r w:rsidRPr="00DD2D90">
        <w:rPr>
          <w:b/>
          <w:bCs/>
          <w:highlight w:val="green"/>
          <w:u w:val="single"/>
        </w:rPr>
        <w:t>supply-side constraints</w:t>
      </w:r>
      <w:r w:rsidRPr="00DD2D90">
        <w:rPr>
          <w:u w:val="single"/>
        </w:rPr>
        <w:t>.</w:t>
      </w:r>
      <w:r w:rsidRPr="009C4A5A">
        <w:rPr>
          <w:sz w:val="16"/>
        </w:rPr>
        <w:t xml:space="preserve"> The pandemic was only the latest example of this economic story. One global comparative study, Jordà and Nechio (2022), concluded that while both deficits and inflation rose globally during the pandemic, the marginal fiscal actions by the United States in 2020 and 2021 and their effects on demand accounted for 3 percentage points of inflation by the end of 2021, though other advanced economies’ cumulative pandemic inflation began catching up with the US in 2022. </w:t>
      </w:r>
      <w:r w:rsidRPr="00DD2D90">
        <w:rPr>
          <w:u w:val="single"/>
        </w:rPr>
        <w:t xml:space="preserve">CEA (2023) concluded that </w:t>
      </w:r>
      <w:r w:rsidRPr="00DD2D90">
        <w:rPr>
          <w:highlight w:val="green"/>
          <w:u w:val="single"/>
        </w:rPr>
        <w:t>while supply-side issues were</w:t>
      </w:r>
      <w:r w:rsidRPr="00DD2D90">
        <w:rPr>
          <w:u w:val="single"/>
        </w:rPr>
        <w:t xml:space="preserve"> a </w:t>
      </w:r>
      <w:r w:rsidRPr="00DD2D90">
        <w:rPr>
          <w:b/>
          <w:bCs/>
          <w:highlight w:val="green"/>
          <w:u w:val="single"/>
        </w:rPr>
        <w:t xml:space="preserve">major </w:t>
      </w:r>
      <w:r w:rsidRPr="00DD2D90">
        <w:rPr>
          <w:b/>
          <w:bCs/>
          <w:u w:val="single"/>
        </w:rPr>
        <w:t xml:space="preserve">inflationary </w:t>
      </w:r>
      <w:r w:rsidRPr="00DD2D90">
        <w:rPr>
          <w:b/>
          <w:bCs/>
          <w:highlight w:val="green"/>
          <w:u w:val="single"/>
        </w:rPr>
        <w:t>driver</w:t>
      </w:r>
      <w:r w:rsidRPr="00DD2D90">
        <w:rPr>
          <w:u w:val="single"/>
        </w:rPr>
        <w:t xml:space="preserve"> in their own right, </w:t>
      </w:r>
      <w:r w:rsidRPr="00DD2D90">
        <w:rPr>
          <w:highlight w:val="green"/>
          <w:u w:val="single"/>
        </w:rPr>
        <w:t>they also interacted with</w:t>
      </w:r>
      <w:r w:rsidRPr="00DD2D90">
        <w:rPr>
          <w:u w:val="single"/>
        </w:rPr>
        <w:t xml:space="preserve"> the extraordinary </w:t>
      </w:r>
      <w:r w:rsidRPr="00DD2D90">
        <w:rPr>
          <w:highlight w:val="green"/>
          <w:u w:val="single"/>
        </w:rPr>
        <w:t xml:space="preserve">global fiscal impulse, </w:t>
      </w:r>
      <w:r w:rsidRPr="00DD2D90">
        <w:rPr>
          <w:b/>
          <w:bCs/>
          <w:highlight w:val="green"/>
          <w:u w:val="single"/>
        </w:rPr>
        <w:t>heightening</w:t>
      </w:r>
      <w:r w:rsidRPr="00DD2D90">
        <w:rPr>
          <w:b/>
          <w:bCs/>
          <w:u w:val="single"/>
        </w:rPr>
        <w:t xml:space="preserve"> the direct </w:t>
      </w:r>
      <w:r w:rsidRPr="00DD2D90">
        <w:rPr>
          <w:b/>
          <w:bCs/>
          <w:highlight w:val="green"/>
          <w:u w:val="single"/>
        </w:rPr>
        <w:t>inflationary effects</w:t>
      </w:r>
      <w:r w:rsidRPr="00DD2D90">
        <w:rPr>
          <w:b/>
          <w:bCs/>
          <w:u w:val="single"/>
        </w:rPr>
        <w:t xml:space="preserve"> of fiscal policy</w:t>
      </w:r>
      <w:r w:rsidRPr="00DD2D90">
        <w:rPr>
          <w:u w:val="single"/>
        </w:rPr>
        <w:t xml:space="preserve">. These </w:t>
      </w:r>
      <w:r w:rsidRPr="00DD2D90">
        <w:rPr>
          <w:highlight w:val="green"/>
          <w:u w:val="single"/>
        </w:rPr>
        <w:t xml:space="preserve">shocks fed into </w:t>
      </w:r>
      <w:r w:rsidRPr="00DD2D90">
        <w:rPr>
          <w:u w:val="single"/>
        </w:rPr>
        <w:t xml:space="preserve">heightened </w:t>
      </w:r>
      <w:r w:rsidRPr="00DD2D90">
        <w:rPr>
          <w:highlight w:val="green"/>
          <w:u w:val="single"/>
        </w:rPr>
        <w:t>inflation</w:t>
      </w:r>
      <w:r w:rsidRPr="00DD2D90">
        <w:rPr>
          <w:u w:val="single"/>
        </w:rPr>
        <w:t xml:space="preserve"> expectations among both households and businesses.</w:t>
      </w:r>
      <w:r w:rsidRPr="009C4A5A">
        <w:rPr>
          <w:sz w:val="16"/>
        </w:rPr>
        <w:t xml:space="preserve"> Long-Run Channels: Expectations Anchoring and Crowding-Out Over extended horizons, debt sustainability hinges on inflation expectations and fiscal-monetary coordination. </w:t>
      </w:r>
      <w:r w:rsidRPr="00DD2D90">
        <w:rPr>
          <w:highlight w:val="green"/>
          <w:u w:val="single"/>
        </w:rPr>
        <w:t>Elevated debt-to-GDP ratios amplify crowd</w:t>
      </w:r>
      <w:r w:rsidRPr="00DD2D90">
        <w:rPr>
          <w:u w:val="single"/>
        </w:rPr>
        <w:t>ing-</w:t>
      </w:r>
      <w:r w:rsidRPr="00DD2D90">
        <w:rPr>
          <w:highlight w:val="green"/>
          <w:u w:val="single"/>
        </w:rPr>
        <w:t xml:space="preserve">out </w:t>
      </w:r>
      <w:r w:rsidRPr="00DD2D90">
        <w:rPr>
          <w:u w:val="single"/>
        </w:rPr>
        <w:t xml:space="preserve">risks in the neoclassical framework: the possibility that growing government </w:t>
      </w:r>
      <w:r w:rsidRPr="00DD2D90">
        <w:rPr>
          <w:highlight w:val="green"/>
          <w:u w:val="single"/>
        </w:rPr>
        <w:t>debt ties up</w:t>
      </w:r>
      <w:r w:rsidRPr="00DD2D90">
        <w:rPr>
          <w:u w:val="single"/>
        </w:rPr>
        <w:t xml:space="preserve"> an ever-greater share of private </w:t>
      </w:r>
      <w:r w:rsidRPr="00DD2D90">
        <w:rPr>
          <w:highlight w:val="green"/>
          <w:u w:val="single"/>
        </w:rPr>
        <w:t>capital</w:t>
      </w:r>
      <w:r w:rsidRPr="00DD2D90">
        <w:rPr>
          <w:u w:val="single"/>
        </w:rPr>
        <w:t xml:space="preserve"> over time, </w:t>
      </w:r>
      <w:r w:rsidRPr="00DD2D90">
        <w:rPr>
          <w:highlight w:val="green"/>
          <w:u w:val="single"/>
        </w:rPr>
        <w:t xml:space="preserve">raising interest rates and </w:t>
      </w:r>
      <w:r w:rsidRPr="00DD2D90">
        <w:rPr>
          <w:b/>
          <w:bCs/>
          <w:highlight w:val="green"/>
          <w:u w:val="single"/>
        </w:rPr>
        <w:t>reducing investment</w:t>
      </w:r>
      <w:r w:rsidRPr="00DD2D90">
        <w:rPr>
          <w:u w:val="single"/>
        </w:rPr>
        <w:t>.</w:t>
      </w:r>
      <w:r w:rsidRPr="009C4A5A">
        <w:rPr>
          <w:sz w:val="16"/>
        </w:rPr>
        <w:t xml:space="preserve"> CBO generally assumes </w:t>
      </w:r>
      <w:r w:rsidRPr="00DD2D90">
        <w:rPr>
          <w:highlight w:val="green"/>
          <w:u w:val="single"/>
        </w:rPr>
        <w:t>each</w:t>
      </w:r>
      <w:r w:rsidRPr="00DD2D90">
        <w:rPr>
          <w:u w:val="single"/>
        </w:rPr>
        <w:t xml:space="preserve"> additional percentage </w:t>
      </w:r>
      <w:r w:rsidRPr="00DD2D90">
        <w:rPr>
          <w:highlight w:val="green"/>
          <w:u w:val="single"/>
        </w:rPr>
        <w:t>point of debt-to-GDP adds 2 basis points to</w:t>
      </w:r>
      <w:r w:rsidRPr="00DD2D90">
        <w:rPr>
          <w:u w:val="single"/>
        </w:rPr>
        <w:t xml:space="preserve"> the US 10-year </w:t>
      </w:r>
      <w:r w:rsidRPr="00DD2D90">
        <w:rPr>
          <w:highlight w:val="green"/>
          <w:u w:val="single"/>
        </w:rPr>
        <w:t>Treasury yield</w:t>
      </w:r>
      <w:r w:rsidRPr="00DD2D90">
        <w:rPr>
          <w:u w:val="single"/>
        </w:rPr>
        <w:t xml:space="preserve">. While directionally </w:t>
      </w:r>
      <w:r w:rsidRPr="00DD2D90">
        <w:rPr>
          <w:highlight w:val="green"/>
          <w:u w:val="single"/>
        </w:rPr>
        <w:t xml:space="preserve">this is a </w:t>
      </w:r>
      <w:r w:rsidRPr="00DD2D90">
        <w:rPr>
          <w:b/>
          <w:bCs/>
          <w:highlight w:val="green"/>
          <w:u w:val="single"/>
        </w:rPr>
        <w:t>well-established finding</w:t>
      </w:r>
      <w:r w:rsidRPr="00DD2D90">
        <w:rPr>
          <w:highlight w:val="green"/>
          <w:u w:val="single"/>
        </w:rPr>
        <w:t xml:space="preserve"> in the</w:t>
      </w:r>
      <w:r w:rsidRPr="00DD2D90">
        <w:rPr>
          <w:u w:val="single"/>
        </w:rPr>
        <w:t xml:space="preserve"> economic </w:t>
      </w:r>
      <w:r w:rsidRPr="00DD2D90">
        <w:rPr>
          <w:highlight w:val="green"/>
          <w:u w:val="single"/>
        </w:rPr>
        <w:t>lit</w:t>
      </w:r>
      <w:r w:rsidRPr="00DD2D90">
        <w:rPr>
          <w:u w:val="single"/>
        </w:rPr>
        <w:t>erature</w:t>
      </w:r>
      <w:r w:rsidRPr="009C4A5A">
        <w:rPr>
          <w:sz w:val="16"/>
        </w:rPr>
        <w:t xml:space="preserve">, as a long-term effect the point estimate is highly uncertain. Moreover, other factors weigh on interest rates as well; some, like demography, have been otherwise putting downward pressure on them. </w:t>
      </w:r>
      <w:r w:rsidRPr="00DD2D90">
        <w:rPr>
          <w:u w:val="single"/>
        </w:rPr>
        <w:t xml:space="preserve">A </w:t>
      </w:r>
      <w:r w:rsidRPr="00DD2D90">
        <w:rPr>
          <w:highlight w:val="green"/>
          <w:u w:val="single"/>
        </w:rPr>
        <w:t>smaller capital stock</w:t>
      </w:r>
      <w:r w:rsidRPr="00DD2D90">
        <w:rPr>
          <w:u w:val="single"/>
        </w:rPr>
        <w:t xml:space="preserve"> over time leaves a country more vulnerable to future supply chain shocks, which </w:t>
      </w:r>
      <w:r w:rsidRPr="00DD2D90">
        <w:rPr>
          <w:highlight w:val="green"/>
          <w:u w:val="single"/>
        </w:rPr>
        <w:t xml:space="preserve">can </w:t>
      </w:r>
      <w:r w:rsidRPr="00DD2D90">
        <w:rPr>
          <w:b/>
          <w:bCs/>
          <w:highlight w:val="green"/>
          <w:u w:val="single"/>
        </w:rPr>
        <w:t>raise inflation volatility</w:t>
      </w:r>
      <w:r w:rsidRPr="00DD2D90">
        <w:rPr>
          <w:u w:val="single"/>
        </w:rPr>
        <w:t xml:space="preserve">. </w:t>
      </w:r>
      <w:r w:rsidRPr="009C4A5A">
        <w:rPr>
          <w:sz w:val="16"/>
        </w:rPr>
        <w:t xml:space="preserve">This is a particular risk given the rising uncertainty around future climate events, which have the potential to cause substantial supply-side damage and add to price pressure. In regimes without central bank credibility, debt levels influence inflation expectations through fiscal dominance channels as well. (Fiscal dominance is the risk that debt and deficits reach a point where the government and central bank can no longer control inflation.) </w:t>
      </w:r>
      <w:r w:rsidRPr="00DD2D90">
        <w:rPr>
          <w:u w:val="single"/>
        </w:rPr>
        <w:t>When investors perceive fiscal unsustainability, they demand higher inflation premiums, particularly in economies with short-maturity debt structures</w:t>
      </w:r>
      <w:r w:rsidRPr="009C4A5A">
        <w:rPr>
          <w:sz w:val="16"/>
        </w:rPr>
        <w:t xml:space="preserve">. In advanced economies like the United States, such effects are muted due to stronger institutional credibility on the part of the central bank. Note, however, that even in the best-case scenario, this just means that in advanced economies the trade-off runs through higher interest rates rather than higher inflation. Hence, throughout this paper, we more precisely refer to the trade-off in the context of the United States in terms of inflationary pressure, since the Federal Reserve in practice has to impose a cost from inflationary pressures through raising interest rates. Some economists worry that persistent unsustainable deficits elevate fiscal dominance risk even in advanced economies, if lawmakers start putting political pressure on central banks to keep interest rates low to contain debt service costs. Emerging markets offer an opportunity to study the direct trade-off between debt and inflation, often without the institutional complexities of a strong central bank. Studies find that dollarized debt and inflation-targeting regime adoption critically moderate economic outcomes. Emerging markets without inflation targeting experience persistent expectation de-anchoring after debt shocks. High initial debt compounds these effects. The nature of the shock can also matter. For example, Valencia et al. (2023) demonstrates that supply-driven inflation shocks in EMs raise debt-to-GDP ratios by eroding primary balances and spiking borrowing costs, whereas demand-driven shocks (e.g., stimulus-fueled growth) can reduce debt burdens if expectations remain anchored. This asymmetry underscores the peril of fiscal dominance in low-credibility regimes. Modeling Short-Run Effects </w:t>
      </w:r>
      <w:r w:rsidRPr="00DD2D90">
        <w:rPr>
          <w:u w:val="single"/>
        </w:rPr>
        <w:t>Estimating inflationary pressure from all of these various channels necessitates economic modeling</w:t>
      </w:r>
      <w:r w:rsidRPr="009C4A5A">
        <w:rPr>
          <w:sz w:val="16"/>
        </w:rPr>
        <w:t xml:space="preserve">. Different models of the economy at different horizons envision different mechanisms for debt to affect inflationary pressure and inflation. That’s because the relationship between public debt and inflation varies across economic paradigms. Please see the Appendix for a longer discussion. The table above shows first how we would expect prices to evolve without a Federal Reserve response, and what that would mean for the purchasing power of household disposable income. Second and separately, it shows the cost in additional interest payments for mortgages if the Federal Reserve did respond. </w:t>
      </w:r>
      <w:r w:rsidRPr="00DD2D90">
        <w:rPr>
          <w:u w:val="single"/>
        </w:rPr>
        <w:t xml:space="preserve">The </w:t>
      </w:r>
      <w:r w:rsidRPr="00DD2D90">
        <w:rPr>
          <w:highlight w:val="green"/>
          <w:u w:val="single"/>
        </w:rPr>
        <w:t>simulations</w:t>
      </w:r>
      <w:r w:rsidRPr="00DD2D90">
        <w:rPr>
          <w:u w:val="single"/>
        </w:rPr>
        <w:t xml:space="preserve"> without a Federal Reserve shock </w:t>
      </w:r>
      <w:r w:rsidRPr="00DD2D90">
        <w:rPr>
          <w:highlight w:val="green"/>
          <w:u w:val="single"/>
        </w:rPr>
        <w:t>show</w:t>
      </w:r>
      <w:r w:rsidRPr="00DD2D90">
        <w:rPr>
          <w:u w:val="single"/>
        </w:rPr>
        <w:t xml:space="preserve"> the </w:t>
      </w:r>
      <w:r w:rsidRPr="00DD2D90">
        <w:rPr>
          <w:highlight w:val="green"/>
          <w:u w:val="single"/>
        </w:rPr>
        <w:t>result of an increase in</w:t>
      </w:r>
      <w:r w:rsidRPr="00DD2D90">
        <w:rPr>
          <w:u w:val="single"/>
        </w:rPr>
        <w:t xml:space="preserve"> the </w:t>
      </w:r>
      <w:r w:rsidRPr="00DD2D90">
        <w:rPr>
          <w:highlight w:val="green"/>
          <w:u w:val="single"/>
        </w:rPr>
        <w:t>deficit</w:t>
      </w:r>
      <w:r w:rsidRPr="00DD2D90">
        <w:rPr>
          <w:u w:val="single"/>
        </w:rPr>
        <w:t xml:space="preserve"> and debt </w:t>
      </w:r>
      <w:r w:rsidRPr="00DD2D90">
        <w:rPr>
          <w:highlight w:val="green"/>
          <w:u w:val="single"/>
        </w:rPr>
        <w:t xml:space="preserve">from a </w:t>
      </w:r>
      <w:r w:rsidRPr="00DD2D90">
        <w:rPr>
          <w:u w:val="single"/>
        </w:rPr>
        <w:t xml:space="preserve">permanent </w:t>
      </w:r>
      <w:r w:rsidRPr="00DD2D90">
        <w:rPr>
          <w:highlight w:val="green"/>
          <w:u w:val="single"/>
        </w:rPr>
        <w:t>1%-of-GDP increase in</w:t>
      </w:r>
      <w:r w:rsidRPr="00DD2D90">
        <w:rPr>
          <w:u w:val="single"/>
        </w:rPr>
        <w:t xml:space="preserve"> federal </w:t>
      </w:r>
      <w:r w:rsidRPr="00DD2D90">
        <w:rPr>
          <w:highlight w:val="green"/>
          <w:u w:val="single"/>
        </w:rPr>
        <w:t>transfers</w:t>
      </w:r>
      <w:r w:rsidRPr="009C4A5A">
        <w:rPr>
          <w:sz w:val="16"/>
        </w:rPr>
        <w:t xml:space="preserve">, without any reaction from the Federal Reserve. We chose a generic transfers shock because it would minimize any longer-run change in substitution effects and economic incentives resulting from federal policy (think of this shock as being equivalent to an on-going lump sum subsidy of ~$1,000 per adult per year in 2024$). This is not substantially different in magnitude from the effect of extending the individual provisions of the TCJA, whose cost through 2035 averages to an increase in debt-to-GDP of slightly more than 1 percentage point a year against current law. This is the appropriate way to model gross inflationary pressure from a fiscal shock. </w:t>
      </w:r>
      <w:r w:rsidRPr="00DD2D90">
        <w:rPr>
          <w:highlight w:val="green"/>
          <w:u w:val="single"/>
        </w:rPr>
        <w:t>The shock boosts</w:t>
      </w:r>
      <w:r w:rsidRPr="00DD2D90">
        <w:rPr>
          <w:u w:val="single"/>
        </w:rPr>
        <w:t xml:space="preserve"> aggregate </w:t>
      </w:r>
      <w:r w:rsidRPr="00DD2D90">
        <w:rPr>
          <w:highlight w:val="green"/>
          <w:u w:val="single"/>
        </w:rPr>
        <w:t>demand and</w:t>
      </w:r>
      <w:r w:rsidRPr="00DD2D90">
        <w:rPr>
          <w:u w:val="single"/>
        </w:rPr>
        <w:t xml:space="preserve">, without intervention from the Fed, </w:t>
      </w:r>
      <w:r w:rsidRPr="00DD2D90">
        <w:rPr>
          <w:b/>
          <w:bCs/>
          <w:highlight w:val="green"/>
          <w:u w:val="single"/>
        </w:rPr>
        <w:t>causes a feedback loop</w:t>
      </w:r>
      <w:r w:rsidRPr="00DD2D90">
        <w:rPr>
          <w:highlight w:val="green"/>
          <w:u w:val="single"/>
        </w:rPr>
        <w:t xml:space="preserve"> between </w:t>
      </w:r>
      <w:r w:rsidRPr="00DD2D90">
        <w:rPr>
          <w:u w:val="single"/>
        </w:rPr>
        <w:t xml:space="preserve">actual </w:t>
      </w:r>
      <w:r w:rsidRPr="00DD2D90">
        <w:rPr>
          <w:highlight w:val="green"/>
          <w:u w:val="single"/>
        </w:rPr>
        <w:t xml:space="preserve">inflation, </w:t>
      </w:r>
      <w:r w:rsidRPr="00DD2D90">
        <w:rPr>
          <w:u w:val="single"/>
        </w:rPr>
        <w:t xml:space="preserve">inflation </w:t>
      </w:r>
      <w:r w:rsidRPr="00DD2D90">
        <w:rPr>
          <w:highlight w:val="green"/>
          <w:u w:val="single"/>
        </w:rPr>
        <w:t>expectations, and wage growth</w:t>
      </w:r>
      <w:r w:rsidRPr="009C4A5A">
        <w:rPr>
          <w:sz w:val="16"/>
        </w:rPr>
        <w:t xml:space="preserve">. Note that the household income effects we report in the table above are equivalent inflationary or interest rate effects in isolation; they do not incorporate the broader negative economic effects of debt on real income nor do they include the positive effects of our illustrative policy. Inflationary/Price Pressure Trade-Off </w:t>
      </w:r>
      <w:r w:rsidRPr="00DD2D90">
        <w:rPr>
          <w:highlight w:val="green"/>
          <w:u w:val="single"/>
        </w:rPr>
        <w:t>While</w:t>
      </w:r>
      <w:r w:rsidRPr="00DD2D90">
        <w:rPr>
          <w:u w:val="single"/>
        </w:rPr>
        <w:t xml:space="preserve"> the </w:t>
      </w:r>
      <w:r w:rsidRPr="00DD2D90">
        <w:rPr>
          <w:highlight w:val="green"/>
          <w:u w:val="single"/>
        </w:rPr>
        <w:t>models have different results, all</w:t>
      </w:r>
      <w:r w:rsidRPr="00DD2D90">
        <w:rPr>
          <w:u w:val="single"/>
        </w:rPr>
        <w:t xml:space="preserve"> of them </w:t>
      </w:r>
      <w:r w:rsidRPr="00DD2D90">
        <w:rPr>
          <w:highlight w:val="green"/>
          <w:u w:val="single"/>
        </w:rPr>
        <w:t xml:space="preserve">show a rise </w:t>
      </w:r>
      <w:r w:rsidRPr="00DD2D90">
        <w:rPr>
          <w:u w:val="single"/>
        </w:rPr>
        <w:t>in prices without Federal Reserve intervention. For instance, Figure 1 below shows FRB/US</w:t>
      </w:r>
      <w:r w:rsidRPr="009C4A5A">
        <w:rPr>
          <w:sz w:val="16"/>
        </w:rPr>
        <w:t xml:space="preserve"> (the Federal Reserve’s workhorse macroeconomic model) </w:t>
      </w:r>
      <w:r w:rsidRPr="00DD2D90">
        <w:rPr>
          <w:u w:val="single"/>
        </w:rPr>
        <w:t>with core PCE prices at roughly 0.2 percentage points higher five years out. Think of this as the cumulative inflation effect over the first five years.</w:t>
      </w:r>
      <w:r w:rsidRPr="009C4A5A">
        <w:rPr>
          <w:sz w:val="16"/>
        </w:rPr>
        <w:t xml:space="preserve"> As seen earlier in Table 1, </w:t>
      </w:r>
      <w:r w:rsidRPr="00DD2D90">
        <w:rPr>
          <w:u w:val="single"/>
        </w:rPr>
        <w:t>one way to conceptualize the loss in consumer welfare from price increases is that it would be equivalent to average household disposable income being $330 lower per household per year</w:t>
      </w:r>
      <w:r w:rsidRPr="009C4A5A">
        <w:rPr>
          <w:sz w:val="16"/>
        </w:rPr>
        <w:t xml:space="preserve"> in 2024$—note that this is separate from the positive income effects of the policy itself, which here is purely a mechanism chosen for rising debt. </w:t>
      </w:r>
      <w:r w:rsidRPr="00DD2D90">
        <w:rPr>
          <w:highlight w:val="green"/>
          <w:u w:val="single"/>
        </w:rPr>
        <w:t>MA/US</w:t>
      </w:r>
      <w:r w:rsidRPr="00DD2D90">
        <w:rPr>
          <w:u w:val="single"/>
        </w:rPr>
        <w:t>—a private-sector model similar in structure to FRB/US—</w:t>
      </w:r>
      <w:r w:rsidRPr="00DD2D90">
        <w:rPr>
          <w:highlight w:val="green"/>
          <w:u w:val="single"/>
        </w:rPr>
        <w:t>suggests</w:t>
      </w:r>
      <w:r w:rsidRPr="00DD2D90">
        <w:rPr>
          <w:u w:val="single"/>
        </w:rPr>
        <w:t xml:space="preserve"> a deeper inflationary cost from debt than FRB/US does. That’s because inflation in MA/US is less inertial than in FRB/US: by the end of five year, </w:t>
      </w:r>
      <w:r w:rsidRPr="00DD2D90">
        <w:rPr>
          <w:highlight w:val="green"/>
          <w:u w:val="single"/>
        </w:rPr>
        <w:t>the fiscal shock</w:t>
      </w:r>
      <w:r w:rsidRPr="00DD2D90">
        <w:rPr>
          <w:u w:val="single"/>
        </w:rPr>
        <w:t xml:space="preserve"> has </w:t>
      </w:r>
      <w:r w:rsidRPr="00DD2D90">
        <w:rPr>
          <w:highlight w:val="green"/>
          <w:u w:val="single"/>
        </w:rPr>
        <w:t>caused</w:t>
      </w:r>
      <w:r w:rsidRPr="00DD2D90">
        <w:rPr>
          <w:u w:val="single"/>
        </w:rPr>
        <w:t xml:space="preserve"> the core PCE price level to be 0.76% higher—equivalent to </w:t>
      </w:r>
      <w:r w:rsidRPr="00DD2D90">
        <w:rPr>
          <w:highlight w:val="green"/>
          <w:u w:val="single"/>
        </w:rPr>
        <w:t xml:space="preserve">a loss in </w:t>
      </w:r>
      <w:r w:rsidRPr="00DD2D90">
        <w:rPr>
          <w:u w:val="single"/>
        </w:rPr>
        <w:t xml:space="preserve">disposable </w:t>
      </w:r>
      <w:r w:rsidRPr="00DD2D90">
        <w:rPr>
          <w:highlight w:val="green"/>
          <w:u w:val="single"/>
        </w:rPr>
        <w:t>income of $1,250 per house</w:t>
      </w:r>
      <w:r w:rsidRPr="00DD2D90">
        <w:rPr>
          <w:u w:val="single"/>
        </w:rPr>
        <w:t>hold</w:t>
      </w:r>
      <w:r w:rsidRPr="009C4A5A">
        <w:rPr>
          <w:sz w:val="16"/>
        </w:rPr>
        <w:t xml:space="preserve"> in 2024$ as seen in Table 1—and annual core PCE inflation is running 0.3 percentage points higher by the end of the five-year window. We can also look at how the probability risks around short-run inflation change with greater debt. By running FRB/US thousands of times with random historical shocks, we can examining the range of outcomes and produce a distribution. Figure 3 below shows how the 5-year inflation risk curve shifts under our illustrative fiscal shock, again without Fed intervention like the first FRB/US simulation. As you can see, the entire curve shifts, not just the median outcome, but outcomes under both good and bad surprises. </w:t>
      </w:r>
      <w:r w:rsidRPr="00DD2D90">
        <w:rPr>
          <w:highlight w:val="green"/>
          <w:u w:val="single"/>
        </w:rPr>
        <w:t xml:space="preserve">The </w:t>
      </w:r>
      <w:r w:rsidRPr="00DD2D90">
        <w:rPr>
          <w:u w:val="single"/>
        </w:rPr>
        <w:t xml:space="preserve">median </w:t>
      </w:r>
      <w:r w:rsidRPr="00DD2D90">
        <w:rPr>
          <w:highlight w:val="green"/>
          <w:u w:val="single"/>
        </w:rPr>
        <w:t xml:space="preserve">outcome </w:t>
      </w:r>
      <w:r w:rsidRPr="00DD2D90">
        <w:rPr>
          <w:u w:val="single"/>
        </w:rPr>
        <w:t xml:space="preserve">without a fiscal shock </w:t>
      </w:r>
      <w:r w:rsidRPr="00DD2D90">
        <w:rPr>
          <w:highlight w:val="green"/>
          <w:u w:val="single"/>
        </w:rPr>
        <w:t>is cumulative</w:t>
      </w:r>
      <w:r w:rsidRPr="00DD2D90">
        <w:rPr>
          <w:u w:val="single"/>
        </w:rPr>
        <w:t xml:space="preserve"> 5-year </w:t>
      </w:r>
      <w:r w:rsidRPr="00DD2D90">
        <w:rPr>
          <w:highlight w:val="green"/>
          <w:u w:val="single"/>
        </w:rPr>
        <w:t>inflation</w:t>
      </w:r>
      <w:r w:rsidRPr="00DD2D90">
        <w:rPr>
          <w:u w:val="single"/>
        </w:rPr>
        <w:t xml:space="preserve"> of just </w:t>
      </w:r>
      <w:r w:rsidRPr="00DD2D90">
        <w:rPr>
          <w:highlight w:val="green"/>
          <w:u w:val="single"/>
        </w:rPr>
        <w:t>over 10.5%</w:t>
      </w:r>
      <w:r w:rsidRPr="00DD2D90">
        <w:rPr>
          <w:u w:val="single"/>
        </w:rPr>
        <w:t xml:space="preserve"> (a bit over 2% inflation per year on average); with the fiscal shock, </w:t>
      </w:r>
      <w:r w:rsidRPr="00DD2D90">
        <w:rPr>
          <w:highlight w:val="green"/>
          <w:u w:val="single"/>
        </w:rPr>
        <w:t>the median shifts higher</w:t>
      </w:r>
      <w:r w:rsidRPr="00DD2D90">
        <w:rPr>
          <w:u w:val="single"/>
        </w:rPr>
        <w:t xml:space="preserve"> (to the right) by the same 0.2 percentage points we found in the first exercise</w:t>
      </w:r>
      <w:r w:rsidRPr="009C4A5A">
        <w:rPr>
          <w:sz w:val="16"/>
        </w:rPr>
        <w:t xml:space="preserve">. The 5%-low-probability outcome is roughly 5.5% cumulative inflation (just over 1% a year on average), while the 5%-high-probability outcome is over 16% inflation (over 3% a year on average); </w:t>
      </w:r>
      <w:r w:rsidRPr="00DD2D90">
        <w:rPr>
          <w:u w:val="single"/>
        </w:rPr>
        <w:t xml:space="preserve">both shift higher </w:t>
      </w:r>
      <w:r w:rsidRPr="00DD2D90">
        <w:rPr>
          <w:highlight w:val="green"/>
          <w:u w:val="single"/>
        </w:rPr>
        <w:t>as a result of higher debt.</w:t>
      </w:r>
      <w:r w:rsidRPr="00DD2D90">
        <w:rPr>
          <w:u w:val="single"/>
        </w:rPr>
        <w:t xml:space="preserve"> </w:t>
      </w:r>
      <w:r w:rsidRPr="00DD2D90">
        <w:rPr>
          <w:highlight w:val="green"/>
          <w:u w:val="single"/>
        </w:rPr>
        <w:t xml:space="preserve">FRB/US and MA/US are </w:t>
      </w:r>
      <w:r w:rsidRPr="00DD2D90">
        <w:rPr>
          <w:u w:val="single"/>
        </w:rPr>
        <w:t xml:space="preserve">large structural </w:t>
      </w:r>
      <w:r w:rsidRPr="00DD2D90">
        <w:rPr>
          <w:highlight w:val="green"/>
          <w:u w:val="single"/>
        </w:rPr>
        <w:t xml:space="preserve">models </w:t>
      </w:r>
      <w:r w:rsidRPr="00DD2D90">
        <w:rPr>
          <w:b/>
          <w:bCs/>
          <w:highlight w:val="green"/>
          <w:u w:val="single"/>
        </w:rPr>
        <w:t>that take a Keynesian lens</w:t>
      </w:r>
      <w:r w:rsidRPr="00DD2D90">
        <w:rPr>
          <w:u w:val="single"/>
        </w:rPr>
        <w:t xml:space="preserve"> to debt shocks in the short-run</w:t>
      </w:r>
      <w:r w:rsidRPr="009C4A5A">
        <w:rPr>
          <w:sz w:val="16"/>
        </w:rPr>
        <w:t xml:space="preserve">. What about other short-run perspectives? One is the Fiscal Theory of the Price Level (FTPL), which holds that market participants have perfect foresight into the future and gradually adjust prices in an economy so that the current stock of inflation-adjusted debt is equal to the expected value of future primary surpluses. In the FTPL context, a permanent shock to the deficit of 1% of GDP both increases debt on an ongoing basis and decreases the net present value of primary surpluses. Actors in our toy FTPL model continuously update their expectations as they see the higher deficits persist. This leads to a much larger price level effect than in FRB/US or MA/US: five years out, prices are more than 9% higher after adjustment (see Figure 4 below), an almost-$15,000 loss for the average household in 2024$ as seen earlier in Table 1. </w:t>
      </w:r>
      <w:r w:rsidRPr="00DD2D90">
        <w:rPr>
          <w:highlight w:val="green"/>
          <w:u w:val="single"/>
        </w:rPr>
        <w:t>Other models are</w:t>
      </w:r>
      <w:r w:rsidRPr="00DD2D90">
        <w:rPr>
          <w:u w:val="single"/>
        </w:rPr>
        <w:t xml:space="preserve"> more </w:t>
      </w:r>
      <w:r w:rsidRPr="00DD2D90">
        <w:rPr>
          <w:b/>
          <w:bCs/>
          <w:highlight w:val="green"/>
          <w:u w:val="single"/>
        </w:rPr>
        <w:t>purely empirical</w:t>
      </w:r>
      <w:r w:rsidRPr="00DD2D90">
        <w:rPr>
          <w:u w:val="single"/>
        </w:rPr>
        <w:t>. Under a pure demand-side simulation in Bernanke &amp; Blanchard’s 2023 model (BB2023), where we assume no supply-shortage response—the price level is 0.25% higher after five years</w:t>
      </w:r>
      <w:r w:rsidRPr="009C4A5A">
        <w:rPr>
          <w:sz w:val="16"/>
        </w:rPr>
        <w:t xml:space="preserve"> (see Figure 5), higher than the FRB/US response but a bit below MA/US. </w:t>
      </w:r>
      <w:r w:rsidRPr="00DD2D90">
        <w:rPr>
          <w:u w:val="single"/>
        </w:rPr>
        <w:t>This is the equivalent of a loss of $400 per household</w:t>
      </w:r>
      <w:r w:rsidRPr="009C4A5A">
        <w:rPr>
          <w:sz w:val="16"/>
        </w:rPr>
        <w:t xml:space="preserve"> in 2024$ as seen earlier in Table 1. </w:t>
      </w:r>
      <w:r w:rsidRPr="00DD2D90">
        <w:rPr>
          <w:u w:val="single"/>
        </w:rPr>
        <w:t xml:space="preserve">We also show the price response under an illustrative scenario where </w:t>
      </w:r>
      <w:r w:rsidRPr="00DD2D90">
        <w:rPr>
          <w:highlight w:val="green"/>
          <w:u w:val="single"/>
        </w:rPr>
        <w:t>the shock also prompts a temporary supply shortage</w:t>
      </w:r>
      <w:r w:rsidRPr="00DD2D90">
        <w:rPr>
          <w:u w:val="single"/>
        </w:rPr>
        <w:t xml:space="preserve">: in this case, the BB2023 measure of </w:t>
      </w:r>
      <w:r w:rsidRPr="00DD2D90">
        <w:rPr>
          <w:highlight w:val="green"/>
          <w:u w:val="single"/>
        </w:rPr>
        <w:t>shortages rise</w:t>
      </w:r>
      <w:r w:rsidRPr="00DD2D90">
        <w:rPr>
          <w:u w:val="single"/>
        </w:rPr>
        <w:t xml:space="preserve">s to </w:t>
      </w:r>
      <w:r w:rsidRPr="00DD2D90">
        <w:rPr>
          <w:highlight w:val="green"/>
          <w:u w:val="single"/>
        </w:rPr>
        <w:t>20%</w:t>
      </w:r>
      <w:r w:rsidRPr="00DD2D90">
        <w:rPr>
          <w:u w:val="single"/>
        </w:rPr>
        <w:t xml:space="preserve"> of its maximum </w:t>
      </w:r>
      <w:r w:rsidRPr="00DD2D90">
        <w:rPr>
          <w:highlight w:val="green"/>
          <w:u w:val="single"/>
        </w:rPr>
        <w:t>for a full year</w:t>
      </w:r>
      <w:r w:rsidRPr="00DD2D90">
        <w:rPr>
          <w:u w:val="single"/>
        </w:rPr>
        <w:t xml:space="preserve"> before returning to normal.3 This shows what the price response might look like if supply were endogenous to the demand shock. As you can see in Figure 5, </w:t>
      </w:r>
      <w:r w:rsidRPr="00DD2D90">
        <w:rPr>
          <w:highlight w:val="green"/>
          <w:u w:val="single"/>
        </w:rPr>
        <w:t>prices rise</w:t>
      </w:r>
      <w:r w:rsidRPr="00DD2D90">
        <w:rPr>
          <w:u w:val="single"/>
        </w:rPr>
        <w:t xml:space="preserve"> far more, </w:t>
      </w:r>
      <w:r w:rsidRPr="00DD2D90">
        <w:rPr>
          <w:highlight w:val="green"/>
          <w:u w:val="single"/>
        </w:rPr>
        <w:t>by</w:t>
      </w:r>
      <w:r w:rsidRPr="00DD2D90">
        <w:rPr>
          <w:u w:val="single"/>
        </w:rPr>
        <w:t xml:space="preserve"> roughly 0.9% after five years in response to the debt shock, a </w:t>
      </w:r>
      <w:r w:rsidRPr="00DD2D90">
        <w:rPr>
          <w:highlight w:val="green"/>
          <w:u w:val="single"/>
        </w:rPr>
        <w:t>$1,500-per-household</w:t>
      </w:r>
      <w:r w:rsidRPr="00DD2D90">
        <w:rPr>
          <w:u w:val="single"/>
        </w:rPr>
        <w:t xml:space="preserve"> loss </w:t>
      </w:r>
      <w:r w:rsidRPr="00DD2D90">
        <w:rPr>
          <w:highlight w:val="green"/>
          <w:u w:val="single"/>
        </w:rPr>
        <w:t>on average</w:t>
      </w:r>
      <w:r w:rsidRPr="009C4A5A">
        <w:rPr>
          <w:sz w:val="16"/>
        </w:rPr>
        <w:t xml:space="preserve"> (Table 1). Running a similar simulation in the Ball, Leigh, &amp; Mishra (2022) model show a price level that is 0.55% higher after five years (Figure 6), the equivalent of a $900 per household loss on average in 2024$ (Table 1). </w:t>
      </w:r>
      <w:r w:rsidRPr="00DD2D90">
        <w:rPr>
          <w:u w:val="single"/>
        </w:rPr>
        <w:t xml:space="preserve">Interest Rate Trade-Off Of course, in reality, </w:t>
      </w:r>
      <w:r w:rsidRPr="00DD2D90">
        <w:rPr>
          <w:highlight w:val="green"/>
          <w:u w:val="single"/>
        </w:rPr>
        <w:t xml:space="preserve">as the Fed tightens </w:t>
      </w:r>
      <w:r w:rsidRPr="00DD2D90">
        <w:rPr>
          <w:u w:val="single"/>
        </w:rPr>
        <w:t xml:space="preserve">monetary </w:t>
      </w:r>
      <w:r w:rsidRPr="00DD2D90">
        <w:rPr>
          <w:highlight w:val="green"/>
          <w:u w:val="single"/>
        </w:rPr>
        <w:t xml:space="preserve">policy </w:t>
      </w:r>
      <w:r w:rsidRPr="00DD2D90">
        <w:rPr>
          <w:u w:val="single"/>
        </w:rPr>
        <w:t xml:space="preserve">in reaction to heightened inflationary pressure, </w:t>
      </w:r>
      <w:r w:rsidRPr="00DD2D90">
        <w:rPr>
          <w:highlight w:val="green"/>
          <w:u w:val="single"/>
        </w:rPr>
        <w:t>the trade-off shows up</w:t>
      </w:r>
      <w:r w:rsidRPr="00DD2D90">
        <w:rPr>
          <w:u w:val="single"/>
        </w:rPr>
        <w:t xml:space="preserve"> more </w:t>
      </w:r>
      <w:r w:rsidRPr="00DD2D90">
        <w:rPr>
          <w:highlight w:val="green"/>
          <w:u w:val="single"/>
        </w:rPr>
        <w:t>in the form of higher</w:t>
      </w:r>
      <w:r w:rsidRPr="00DD2D90">
        <w:rPr>
          <w:u w:val="single"/>
        </w:rPr>
        <w:t xml:space="preserve"> interest </w:t>
      </w:r>
      <w:r w:rsidRPr="00DD2D90">
        <w:rPr>
          <w:highlight w:val="green"/>
          <w:u w:val="single"/>
        </w:rPr>
        <w:t>rates</w:t>
      </w:r>
      <w:r w:rsidRPr="00DD2D90">
        <w:rPr>
          <w:u w:val="single"/>
        </w:rPr>
        <w:t xml:space="preserve"> and less in the form of realized inflation.</w:t>
      </w:r>
      <w:r w:rsidRPr="009C4A5A">
        <w:rPr>
          <w:sz w:val="16"/>
        </w:rPr>
        <w:t xml:space="preserve"> To show how the debt-inflation trade-off often actually operates in the US in the short-run, we repeat the same exercise, but allow the Federal Reserve to react immediately in a manner prescribed by a classic Taylor Rule. In FRB/US, the effect to inflation is now imperceptible—mere basis points—and even after five years the price level is only 0.05% higher (Figure 7). </w:t>
      </w:r>
      <w:r w:rsidRPr="00DD2D90">
        <w:rPr>
          <w:highlight w:val="green"/>
          <w:u w:val="single"/>
        </w:rPr>
        <w:t xml:space="preserve">But </w:t>
      </w:r>
      <w:r w:rsidRPr="00DD2D90">
        <w:rPr>
          <w:b/>
          <w:bCs/>
          <w:u w:val="single"/>
        </w:rPr>
        <w:t xml:space="preserve">debt-financing </w:t>
      </w:r>
      <w:r w:rsidRPr="00DD2D90">
        <w:rPr>
          <w:b/>
          <w:bCs/>
          <w:highlight w:val="green"/>
          <w:u w:val="single"/>
        </w:rPr>
        <w:t>still comes with costs</w:t>
      </w:r>
      <w:r w:rsidRPr="00DD2D90">
        <w:rPr>
          <w:u w:val="single"/>
        </w:rPr>
        <w:t xml:space="preserve">. Now, </w:t>
      </w:r>
      <w:r w:rsidRPr="00DD2D90">
        <w:rPr>
          <w:highlight w:val="green"/>
          <w:u w:val="single"/>
        </w:rPr>
        <w:t xml:space="preserve">short-run </w:t>
      </w:r>
      <w:r w:rsidRPr="00DD2D90">
        <w:rPr>
          <w:u w:val="single"/>
        </w:rPr>
        <w:t xml:space="preserve">interest </w:t>
      </w:r>
      <w:r w:rsidRPr="00DD2D90">
        <w:rPr>
          <w:highlight w:val="green"/>
          <w:u w:val="single"/>
        </w:rPr>
        <w:t xml:space="preserve">rates are </w:t>
      </w:r>
      <w:r w:rsidRPr="00DD2D90">
        <w:rPr>
          <w:u w:val="single"/>
        </w:rPr>
        <w:t xml:space="preserve">persistently </w:t>
      </w:r>
      <w:r w:rsidRPr="00DD2D90">
        <w:rPr>
          <w:highlight w:val="green"/>
          <w:u w:val="single"/>
        </w:rPr>
        <w:t>higher</w:t>
      </w:r>
      <w:r w:rsidRPr="00DD2D90">
        <w:rPr>
          <w:u w:val="single"/>
        </w:rPr>
        <w:t>, by about 0.25%. This has reverberations</w:t>
      </w:r>
      <w:r w:rsidRPr="009C4A5A">
        <w:rPr>
          <w:sz w:val="16"/>
        </w:rPr>
        <w:t xml:space="preserve"> throughout different types of consumer products. </w:t>
      </w:r>
      <w:r w:rsidRPr="00DD2D90">
        <w:rPr>
          <w:highlight w:val="green"/>
          <w:u w:val="single"/>
        </w:rPr>
        <w:t>Mortgage rates are 23</w:t>
      </w:r>
      <w:r w:rsidRPr="00DD2D90">
        <w:rPr>
          <w:u w:val="single"/>
        </w:rPr>
        <w:t xml:space="preserve"> basis </w:t>
      </w:r>
      <w:r w:rsidRPr="00DD2D90">
        <w:rPr>
          <w:highlight w:val="green"/>
          <w:u w:val="single"/>
        </w:rPr>
        <w:t>points higher</w:t>
      </w:r>
      <w:r w:rsidRPr="00DD2D90">
        <w:rPr>
          <w:u w:val="single"/>
        </w:rPr>
        <w:t xml:space="preserve"> after five years, which, in today’s housing market, would add about $600 per year in interest payments to the median home.</w:t>
      </w:r>
      <w:r w:rsidRPr="009C4A5A">
        <w:rPr>
          <w:sz w:val="16"/>
        </w:rPr>
        <w:t xml:space="preserve"> For the average auto loan on a new car, this would be the equivalent of $60 a year in extra interest.4 </w:t>
      </w:r>
      <w:r w:rsidRPr="00DD2D90">
        <w:rPr>
          <w:highlight w:val="green"/>
          <w:u w:val="single"/>
        </w:rPr>
        <w:t>For the</w:t>
      </w:r>
      <w:r w:rsidRPr="00DD2D90">
        <w:rPr>
          <w:u w:val="single"/>
        </w:rPr>
        <w:t xml:space="preserve"> average </w:t>
      </w:r>
      <w:r w:rsidRPr="00DD2D90">
        <w:rPr>
          <w:highlight w:val="green"/>
          <w:u w:val="single"/>
        </w:rPr>
        <w:t xml:space="preserve">small business </w:t>
      </w:r>
      <w:r w:rsidRPr="00DD2D90">
        <w:rPr>
          <w:u w:val="single"/>
        </w:rPr>
        <w:t xml:space="preserve">loan, </w:t>
      </w:r>
      <w:r w:rsidRPr="00DD2D90">
        <w:rPr>
          <w:highlight w:val="green"/>
          <w:u w:val="single"/>
        </w:rPr>
        <w:t xml:space="preserve">that means an extra $1,000 in interest </w:t>
      </w:r>
      <w:r w:rsidRPr="00DD2D90">
        <w:rPr>
          <w:u w:val="single"/>
        </w:rPr>
        <w:t>annually</w:t>
      </w:r>
      <w:r w:rsidRPr="009C4A5A">
        <w:rPr>
          <w:sz w:val="16"/>
        </w:rPr>
        <w:t xml:space="preserve">.5 Meanwhile, </w:t>
      </w:r>
      <w:r w:rsidRPr="00DD2D90">
        <w:rPr>
          <w:highlight w:val="green"/>
          <w:u w:val="single"/>
        </w:rPr>
        <w:t>real household wealth falls</w:t>
      </w:r>
      <w:r w:rsidRPr="00DD2D90">
        <w:rPr>
          <w:u w:val="single"/>
        </w:rPr>
        <w:t xml:space="preserve"> by 1.2%</w:t>
      </w:r>
      <w:r w:rsidRPr="009C4A5A">
        <w:rPr>
          <w:sz w:val="16"/>
        </w:rPr>
        <w:t xml:space="preserve"> over 5 years (Figure 7), </w:t>
      </w:r>
      <w:r w:rsidRPr="00DD2D90">
        <w:rPr>
          <w:u w:val="single"/>
        </w:rPr>
        <w:t xml:space="preserve">the equivalent of a </w:t>
      </w:r>
      <w:r w:rsidRPr="00DD2D90">
        <w:rPr>
          <w:highlight w:val="green"/>
          <w:u w:val="single"/>
        </w:rPr>
        <w:t>$14,000</w:t>
      </w:r>
      <w:r w:rsidRPr="00DD2D90">
        <w:rPr>
          <w:u w:val="single"/>
        </w:rPr>
        <w:t xml:space="preserve"> loss on average today</w:t>
      </w:r>
      <w:r w:rsidRPr="009C4A5A">
        <w:rPr>
          <w:sz w:val="16"/>
        </w:rPr>
        <w:t xml:space="preserve"> (Table 1). And even within the five years, the capital stock begins to take damage from higher interests and crowding-out. So even with a credible central bank, households still face a cost-of-living tradeoff from higher debt even in the short-run, just through interest costs rather than prices. Meanwhile, in MA/US, mortgage rates are 47 basis points higher at the end of five years—the equivalent of an extra $1,240 in interest payments annually in today’s market.  </w:t>
      </w:r>
      <w:r w:rsidRPr="00DD2D90">
        <w:rPr>
          <w:u w:val="single"/>
        </w:rPr>
        <w:t xml:space="preserve">Long-Run Modeling We </w:t>
      </w:r>
      <w:r w:rsidRPr="00DD2D90">
        <w:rPr>
          <w:highlight w:val="green"/>
          <w:u w:val="single"/>
        </w:rPr>
        <w:t>also look at the long-run impacts</w:t>
      </w:r>
      <w:r w:rsidRPr="00DD2D90">
        <w:rPr>
          <w:u w:val="single"/>
        </w:rPr>
        <w:t xml:space="preserve"> of a fiscal shock. As Figure 8 below shows, in a Solow Growth model (whose parameters are explained in the appendix), </w:t>
      </w:r>
      <w:r w:rsidRPr="00DD2D90">
        <w:rPr>
          <w:highlight w:val="green"/>
          <w:u w:val="single"/>
        </w:rPr>
        <w:t>over 50 years</w:t>
      </w:r>
      <w:r w:rsidRPr="00DD2D90">
        <w:rPr>
          <w:u w:val="single"/>
        </w:rPr>
        <w:t xml:space="preserve"> the </w:t>
      </w:r>
      <w:r w:rsidRPr="00DD2D90">
        <w:rPr>
          <w:highlight w:val="green"/>
          <w:u w:val="single"/>
        </w:rPr>
        <w:t>capital stock is</w:t>
      </w:r>
      <w:r w:rsidRPr="00DD2D90">
        <w:rPr>
          <w:u w:val="single"/>
        </w:rPr>
        <w:t xml:space="preserve"> more than </w:t>
      </w:r>
      <w:r w:rsidRPr="00DD2D90">
        <w:rPr>
          <w:highlight w:val="green"/>
          <w:u w:val="single"/>
        </w:rPr>
        <w:t>10% smaller</w:t>
      </w:r>
      <w:r w:rsidRPr="00DD2D90">
        <w:rPr>
          <w:u w:val="single"/>
        </w:rPr>
        <w:t xml:space="preserve">, and </w:t>
      </w:r>
      <w:r w:rsidRPr="00DD2D90">
        <w:rPr>
          <w:highlight w:val="green"/>
          <w:u w:val="single"/>
        </w:rPr>
        <w:t>real output is</w:t>
      </w:r>
      <w:r w:rsidRPr="00DD2D90">
        <w:rPr>
          <w:u w:val="single"/>
        </w:rPr>
        <w:t xml:space="preserve"> more than </w:t>
      </w:r>
      <w:r w:rsidRPr="00DD2D90">
        <w:rPr>
          <w:highlight w:val="green"/>
          <w:u w:val="single"/>
        </w:rPr>
        <w:t>3% lower</w:t>
      </w:r>
      <w:r w:rsidRPr="00DD2D90">
        <w:rPr>
          <w:u w:val="single"/>
        </w:rPr>
        <w:t>.</w:t>
      </w:r>
      <w:r w:rsidRPr="009C4A5A">
        <w:rPr>
          <w:sz w:val="16"/>
        </w:rPr>
        <w:t xml:space="preserve"> We can also return to the FRB/US model, where we find that </w:t>
      </w:r>
      <w:r w:rsidRPr="00DD2D90">
        <w:rPr>
          <w:highlight w:val="green"/>
          <w:u w:val="single"/>
        </w:rPr>
        <w:t xml:space="preserve">price pressures grow </w:t>
      </w:r>
      <w:r w:rsidRPr="00DD2D90">
        <w:rPr>
          <w:u w:val="single"/>
        </w:rPr>
        <w:t xml:space="preserve">over time in the wake of the debt shock, </w:t>
      </w:r>
      <w:r w:rsidRPr="00DD2D90">
        <w:rPr>
          <w:highlight w:val="green"/>
          <w:u w:val="single"/>
        </w:rPr>
        <w:t>reaching</w:t>
      </w:r>
      <w:r w:rsidRPr="00DD2D90">
        <w:rPr>
          <w:u w:val="single"/>
        </w:rPr>
        <w:t xml:space="preserve"> the equivalent of an-almost </w:t>
      </w:r>
      <w:r w:rsidRPr="00DD2D90">
        <w:rPr>
          <w:highlight w:val="green"/>
          <w:u w:val="single"/>
        </w:rPr>
        <w:t>10% higher price level</w:t>
      </w:r>
      <w:r w:rsidRPr="00DD2D90">
        <w:rPr>
          <w:u w:val="single"/>
        </w:rPr>
        <w:t xml:space="preserve"> after 30 years</w:t>
      </w:r>
      <w:r w:rsidRPr="009C4A5A">
        <w:rPr>
          <w:sz w:val="16"/>
        </w:rPr>
        <w:t xml:space="preserve"> (Figure 9), </w:t>
      </w:r>
      <w:r w:rsidRPr="00DD2D90">
        <w:rPr>
          <w:u w:val="single"/>
        </w:rPr>
        <w:t>the equivalent of a more-than-$16,000 loss in 2024$ per household</w:t>
      </w:r>
      <w:r w:rsidRPr="009C4A5A">
        <w:rPr>
          <w:sz w:val="16"/>
        </w:rPr>
        <w:t xml:space="preserve"> (Table 1). </w:t>
      </w:r>
      <w:r w:rsidRPr="00DD2D90">
        <w:rPr>
          <w:highlight w:val="green"/>
          <w:u w:val="single"/>
        </w:rPr>
        <w:t>Higher debt crowds out</w:t>
      </w:r>
      <w:r w:rsidRPr="00DD2D90">
        <w:rPr>
          <w:u w:val="single"/>
        </w:rPr>
        <w:t xml:space="preserve"> private </w:t>
      </w:r>
      <w:r w:rsidRPr="00DD2D90">
        <w:rPr>
          <w:highlight w:val="green"/>
          <w:u w:val="single"/>
        </w:rPr>
        <w:t>investment, raising</w:t>
      </w:r>
      <w:r w:rsidRPr="00DD2D90">
        <w:rPr>
          <w:u w:val="single"/>
        </w:rPr>
        <w:t xml:space="preserve"> interest </w:t>
      </w:r>
      <w:r w:rsidRPr="00DD2D90">
        <w:rPr>
          <w:highlight w:val="green"/>
          <w:u w:val="single"/>
        </w:rPr>
        <w:t xml:space="preserve">rates, </w:t>
      </w:r>
      <w:r w:rsidRPr="00DD2D90">
        <w:rPr>
          <w:b/>
          <w:bCs/>
          <w:highlight w:val="green"/>
          <w:u w:val="single"/>
        </w:rPr>
        <w:t>lowering</w:t>
      </w:r>
      <w:r w:rsidRPr="00DD2D90">
        <w:rPr>
          <w:b/>
          <w:bCs/>
          <w:u w:val="single"/>
        </w:rPr>
        <w:t xml:space="preserve"> the </w:t>
      </w:r>
      <w:r w:rsidRPr="00DD2D90">
        <w:rPr>
          <w:b/>
          <w:bCs/>
          <w:highlight w:val="green"/>
          <w:u w:val="single"/>
        </w:rPr>
        <w:t>capital stock</w:t>
      </w:r>
      <w:r w:rsidRPr="00DD2D90">
        <w:rPr>
          <w:highlight w:val="green"/>
          <w:u w:val="single"/>
        </w:rPr>
        <w:t xml:space="preserve">, and </w:t>
      </w:r>
      <w:r w:rsidRPr="00DD2D90">
        <w:rPr>
          <w:b/>
          <w:bCs/>
          <w:highlight w:val="green"/>
          <w:u w:val="single"/>
        </w:rPr>
        <w:t>depressing income</w:t>
      </w:r>
      <w:r w:rsidRPr="009C4A5A">
        <w:rPr>
          <w:sz w:val="16"/>
        </w:rPr>
        <w:t xml:space="preserve">. Three decades out, the private capital stock is 4% lower—a smaller effect than our Solow growth simulation but still substantial—and real gross national product is more than a full percentage point lower. </w:t>
      </w:r>
      <w:r w:rsidRPr="00DD2D90">
        <w:rPr>
          <w:u w:val="single"/>
        </w:rPr>
        <w:t xml:space="preserve">That’s the equivalent of $4,000 per household less by 2055 in 2024$. </w:t>
      </w:r>
      <w:r w:rsidRPr="00DD2D90">
        <w:rPr>
          <w:highlight w:val="green"/>
          <w:u w:val="single"/>
        </w:rPr>
        <w:t xml:space="preserve">Real household wealth is </w:t>
      </w:r>
      <w:r w:rsidRPr="00DD2D90">
        <w:rPr>
          <w:u w:val="single"/>
        </w:rPr>
        <w:t>2% smaller</w:t>
      </w:r>
      <w:r w:rsidRPr="00DD2D90">
        <w:rPr>
          <w:highlight w:val="green"/>
          <w:u w:val="single"/>
        </w:rPr>
        <w:t>, a $24,000 loss</w:t>
      </w:r>
      <w:r w:rsidRPr="00DD2D90">
        <w:rPr>
          <w:u w:val="single"/>
        </w:rPr>
        <w:t xml:space="preserve"> in 2024$.</w:t>
      </w:r>
      <w:r w:rsidRPr="009C4A5A">
        <w:rPr>
          <w:sz w:val="16"/>
        </w:rPr>
        <w:t xml:space="preserve"> Everyday interest rates rise as debt puts upward pressure on benchmark yields: conventional mortgage rates, for example, are 85 basis points higher in 30 years (in today’s context, that would add roughly $2,300 per year to the interest payment on the median-priced house). New car loan interest on the average 2025 loan would rise by $200 per year, and interest on the average 2025 small business loan would rise by $3,400 annually. If we run the model using the 10% capital stock decline in our earlier Solow growth simulation, price pressure over 30 years from our debt shock is roughly the same at almost 10 percent, however other economic outcomes are more dire. In particular, real income declines are doubled, with real GNP per household $8,000 smaller on average in 2024$ (Figure 10). Mortgage rates are 95 basis points higher—the equivalent of $2,500 extra per year in interest payments today—and real household wealth is now 3% smaller, or $36,000 per household in 2024$ on average. </w:t>
      </w:r>
      <w:r w:rsidRPr="00DD2D90">
        <w:rPr>
          <w:u w:val="single"/>
        </w:rPr>
        <w:t xml:space="preserve">Nonlinearity Considerations A final note is that </w:t>
      </w:r>
      <w:r w:rsidRPr="00DD2D90">
        <w:rPr>
          <w:highlight w:val="green"/>
          <w:u w:val="single"/>
        </w:rPr>
        <w:t>the relationship</w:t>
      </w:r>
      <w:r w:rsidRPr="00DD2D90">
        <w:rPr>
          <w:u w:val="single"/>
        </w:rPr>
        <w:t xml:space="preserve"> between government debt and economic outcomes, including inflationary pressure, </w:t>
      </w:r>
      <w:r w:rsidRPr="00DD2D90">
        <w:rPr>
          <w:highlight w:val="green"/>
          <w:u w:val="single"/>
        </w:rPr>
        <w:t>is</w:t>
      </w:r>
      <w:r w:rsidRPr="00DD2D90">
        <w:rPr>
          <w:u w:val="single"/>
        </w:rPr>
        <w:t xml:space="preserve"> complex and uncertain in the long-run</w:t>
      </w:r>
      <w:r w:rsidRPr="009C4A5A">
        <w:rPr>
          <w:sz w:val="16"/>
        </w:rPr>
        <w:t xml:space="preserve">. A key risk with debt is </w:t>
      </w:r>
      <w:r w:rsidRPr="00DD2D90">
        <w:rPr>
          <w:highlight w:val="green"/>
          <w:u w:val="single"/>
        </w:rPr>
        <w:t>nonlinear</w:t>
      </w:r>
      <w:r w:rsidRPr="00DD2D90">
        <w:rPr>
          <w:u w:val="single"/>
        </w:rPr>
        <w:t xml:space="preserve">ities—the dynamic wherein </w:t>
      </w:r>
      <w:r w:rsidRPr="00DD2D90">
        <w:rPr>
          <w:highlight w:val="green"/>
          <w:u w:val="single"/>
        </w:rPr>
        <w:t>linear increases in</w:t>
      </w:r>
      <w:r w:rsidRPr="00DD2D90">
        <w:rPr>
          <w:u w:val="single"/>
        </w:rPr>
        <w:t xml:space="preserve"> primary </w:t>
      </w:r>
      <w:r w:rsidRPr="00DD2D90">
        <w:rPr>
          <w:highlight w:val="green"/>
          <w:u w:val="single"/>
        </w:rPr>
        <w:t>deficits lead to macroeconomic</w:t>
      </w:r>
      <w:r w:rsidRPr="00DD2D90">
        <w:rPr>
          <w:u w:val="single"/>
        </w:rPr>
        <w:t xml:space="preserve"> and debt </w:t>
      </w:r>
      <w:r w:rsidRPr="00DD2D90">
        <w:rPr>
          <w:highlight w:val="green"/>
          <w:u w:val="single"/>
        </w:rPr>
        <w:t xml:space="preserve">outcomes that </w:t>
      </w:r>
      <w:r w:rsidRPr="00DD2D90">
        <w:rPr>
          <w:b/>
          <w:bCs/>
          <w:highlight w:val="green"/>
          <w:u w:val="single"/>
        </w:rPr>
        <w:t>spiral out of control</w:t>
      </w:r>
      <w:r w:rsidRPr="00DD2D90">
        <w:rPr>
          <w:u w:val="single"/>
        </w:rPr>
        <w:t xml:space="preserve">. There are a few mechanisms that might drive this. One is just </w:t>
      </w:r>
      <w:r w:rsidRPr="00DD2D90">
        <w:rPr>
          <w:highlight w:val="green"/>
          <w:u w:val="single"/>
        </w:rPr>
        <w:t>the intersection of crowd</w:t>
      </w:r>
      <w:r w:rsidRPr="00DD2D90">
        <w:rPr>
          <w:u w:val="single"/>
        </w:rPr>
        <w:t>ing-</w:t>
      </w:r>
      <w:r w:rsidRPr="00DD2D90">
        <w:rPr>
          <w:highlight w:val="green"/>
          <w:u w:val="single"/>
        </w:rPr>
        <w:t>out and</w:t>
      </w:r>
      <w:r w:rsidRPr="00DD2D90">
        <w:rPr>
          <w:u w:val="single"/>
        </w:rPr>
        <w:t xml:space="preserve"> the basic math of r – g (</w:t>
      </w:r>
      <w:r w:rsidRPr="00DD2D90">
        <w:rPr>
          <w:highlight w:val="green"/>
          <w:u w:val="single"/>
        </w:rPr>
        <w:t xml:space="preserve">the difference between </w:t>
      </w:r>
      <w:r w:rsidRPr="00DD2D90">
        <w:rPr>
          <w:u w:val="single"/>
        </w:rPr>
        <w:t xml:space="preserve">interest </w:t>
      </w:r>
      <w:r w:rsidRPr="00DD2D90">
        <w:rPr>
          <w:highlight w:val="green"/>
          <w:u w:val="single"/>
        </w:rPr>
        <w:t>rates and</w:t>
      </w:r>
      <w:r w:rsidRPr="00DD2D90">
        <w:rPr>
          <w:u w:val="single"/>
        </w:rPr>
        <w:t xml:space="preserve"> economic </w:t>
      </w:r>
      <w:r w:rsidRPr="00DD2D90">
        <w:rPr>
          <w:highlight w:val="green"/>
          <w:u w:val="single"/>
        </w:rPr>
        <w:t>growth</w:t>
      </w:r>
      <w:r w:rsidRPr="00DD2D90">
        <w:rPr>
          <w:u w:val="single"/>
        </w:rPr>
        <w:t xml:space="preserve">). At r = g, primary balance keeps debt-to-GDP stable over time. But </w:t>
      </w:r>
      <w:r w:rsidRPr="00DD2D90">
        <w:rPr>
          <w:highlight w:val="green"/>
          <w:u w:val="single"/>
        </w:rPr>
        <w:t xml:space="preserve">if </w:t>
      </w:r>
      <w:r w:rsidRPr="00DD2D90">
        <w:rPr>
          <w:u w:val="single"/>
        </w:rPr>
        <w:t xml:space="preserve">interest </w:t>
      </w:r>
      <w:r w:rsidRPr="00DD2D90">
        <w:rPr>
          <w:highlight w:val="green"/>
          <w:u w:val="single"/>
        </w:rPr>
        <w:t>rates</w:t>
      </w:r>
      <w:r w:rsidRPr="00DD2D90">
        <w:rPr>
          <w:u w:val="single"/>
        </w:rPr>
        <w:t xml:space="preserve"> suddenly </w:t>
      </w:r>
      <w:r w:rsidRPr="00DD2D90">
        <w:rPr>
          <w:highlight w:val="green"/>
          <w:u w:val="single"/>
        </w:rPr>
        <w:t>rise above growth</w:t>
      </w:r>
      <w:r w:rsidRPr="00DD2D90">
        <w:rPr>
          <w:u w:val="single"/>
        </w:rPr>
        <w:t xml:space="preserve"> rates for some reason, </w:t>
      </w:r>
      <w:r w:rsidRPr="00DD2D90">
        <w:rPr>
          <w:b/>
          <w:bCs/>
          <w:highlight w:val="green"/>
          <w:u w:val="single"/>
        </w:rPr>
        <w:t>debt</w:t>
      </w:r>
      <w:r w:rsidRPr="00DD2D90">
        <w:rPr>
          <w:b/>
          <w:bCs/>
          <w:u w:val="single"/>
        </w:rPr>
        <w:t xml:space="preserve"> suddenly </w:t>
      </w:r>
      <w:r w:rsidRPr="00DD2D90">
        <w:rPr>
          <w:b/>
          <w:bCs/>
          <w:highlight w:val="green"/>
          <w:u w:val="single"/>
        </w:rPr>
        <w:t xml:space="preserve">shifts to an unsustainable, </w:t>
      </w:r>
      <w:r w:rsidRPr="00DD2D90">
        <w:rPr>
          <w:b/>
          <w:bCs/>
          <w:u w:val="single"/>
        </w:rPr>
        <w:t xml:space="preserve">convex </w:t>
      </w:r>
      <w:r w:rsidRPr="00DD2D90">
        <w:rPr>
          <w:b/>
          <w:bCs/>
          <w:highlight w:val="green"/>
          <w:u w:val="single"/>
        </w:rPr>
        <w:t>trajectory</w:t>
      </w:r>
      <w:r w:rsidRPr="00DD2D90">
        <w:rPr>
          <w:u w:val="single"/>
        </w:rPr>
        <w:t xml:space="preserve"> even if the government runs a primary balance.</w:t>
      </w:r>
      <w:r w:rsidRPr="009C4A5A">
        <w:rPr>
          <w:sz w:val="16"/>
        </w:rPr>
        <w:t xml:space="preserve"> And if interest rates rise because the government is not running a primary balance but is already starting from an unsustainable trajectory, then the feedback from interest rates to deficits to debt and back to interest rates can lead to a debt outlook that explodes over the long-term. Many of the models used in this analysis—such as FRB/US and the Solow growth model—capture the nonlinearities associated with interest rate feedback. </w:t>
      </w:r>
      <w:r w:rsidRPr="00DD2D90">
        <w:rPr>
          <w:u w:val="single"/>
        </w:rPr>
        <w:t xml:space="preserve">A related possible nonlinearity is that </w:t>
      </w:r>
      <w:r w:rsidRPr="00DD2D90">
        <w:rPr>
          <w:highlight w:val="green"/>
          <w:u w:val="single"/>
        </w:rPr>
        <w:t xml:space="preserve">there are threshold effects </w:t>
      </w:r>
      <w:r w:rsidRPr="00DD2D90">
        <w:rPr>
          <w:u w:val="single"/>
        </w:rPr>
        <w:t>associated with debt</w:t>
      </w:r>
      <w:r w:rsidRPr="00DD2D90">
        <w:rPr>
          <w:highlight w:val="green"/>
          <w:u w:val="single"/>
        </w:rPr>
        <w:t>. At low</w:t>
      </w:r>
      <w:r w:rsidRPr="00DD2D90">
        <w:rPr>
          <w:u w:val="single"/>
        </w:rPr>
        <w:t xml:space="preserve"> to moderate debt </w:t>
      </w:r>
      <w:r w:rsidRPr="00DD2D90">
        <w:rPr>
          <w:highlight w:val="green"/>
          <w:u w:val="single"/>
        </w:rPr>
        <w:t>levels, increases in</w:t>
      </w:r>
      <w:r w:rsidRPr="00DD2D90">
        <w:rPr>
          <w:u w:val="single"/>
        </w:rPr>
        <w:t xml:space="preserve"> government debt </w:t>
      </w:r>
      <w:r w:rsidRPr="00DD2D90">
        <w:rPr>
          <w:highlight w:val="green"/>
          <w:u w:val="single"/>
        </w:rPr>
        <w:t>may have limited impact</w:t>
      </w:r>
      <w:r w:rsidRPr="00DD2D90">
        <w:rPr>
          <w:u w:val="single"/>
        </w:rPr>
        <w:t xml:space="preserve"> on inflationary pressure and interest rates. </w:t>
      </w:r>
      <w:r w:rsidRPr="00DD2D90">
        <w:rPr>
          <w:highlight w:val="green"/>
          <w:u w:val="single"/>
        </w:rPr>
        <w:t>However, once debt surpasses a</w:t>
      </w:r>
      <w:r w:rsidRPr="00DD2D90">
        <w:rPr>
          <w:u w:val="single"/>
        </w:rPr>
        <w:t xml:space="preserve"> certain </w:t>
      </w:r>
      <w:r w:rsidRPr="00DD2D90">
        <w:rPr>
          <w:highlight w:val="green"/>
          <w:u w:val="single"/>
        </w:rPr>
        <w:t>threshold</w:t>
      </w:r>
      <w:r w:rsidRPr="00DD2D90">
        <w:rPr>
          <w:u w:val="single"/>
        </w:rPr>
        <w:t xml:space="preserve">, further increases </w:t>
      </w:r>
      <w:r w:rsidRPr="00DD2D90">
        <w:rPr>
          <w:highlight w:val="green"/>
          <w:u w:val="single"/>
        </w:rPr>
        <w:t>may lead to more pronounced inflation</w:t>
      </w:r>
      <w:r w:rsidRPr="00DD2D90">
        <w:rPr>
          <w:u w:val="single"/>
        </w:rPr>
        <w:t>ary pressures.</w:t>
      </w:r>
      <w:r w:rsidRPr="009C4A5A">
        <w:rPr>
          <w:sz w:val="16"/>
        </w:rPr>
        <w:t xml:space="preserve"> This possibility suggests that the impact of debt on inflationary pressure is not constant but rather depends critically on the existing debt stock. </w:t>
      </w:r>
      <w:r w:rsidRPr="00DD2D90">
        <w:rPr>
          <w:highlight w:val="green"/>
          <w:u w:val="single"/>
        </w:rPr>
        <w:t xml:space="preserve">Countries with </w:t>
      </w:r>
      <w:r w:rsidRPr="00DD2D90">
        <w:rPr>
          <w:u w:val="single"/>
        </w:rPr>
        <w:t xml:space="preserve">already </w:t>
      </w:r>
      <w:r w:rsidRPr="00DD2D90">
        <w:rPr>
          <w:highlight w:val="green"/>
          <w:u w:val="single"/>
        </w:rPr>
        <w:t>high debt</w:t>
      </w:r>
      <w:r w:rsidRPr="00DD2D90">
        <w:rPr>
          <w:u w:val="single"/>
        </w:rPr>
        <w:t xml:space="preserve"> levels may </w:t>
      </w:r>
      <w:r w:rsidRPr="00DD2D90">
        <w:rPr>
          <w:highlight w:val="green"/>
          <w:u w:val="single"/>
        </w:rPr>
        <w:t>find</w:t>
      </w:r>
      <w:r w:rsidRPr="00DD2D90">
        <w:rPr>
          <w:u w:val="single"/>
        </w:rPr>
        <w:t xml:space="preserve"> that </w:t>
      </w:r>
      <w:r w:rsidRPr="00DD2D90">
        <w:rPr>
          <w:highlight w:val="green"/>
          <w:u w:val="single"/>
        </w:rPr>
        <w:t xml:space="preserve">additional borrowing has </w:t>
      </w:r>
      <w:r w:rsidRPr="00DD2D90">
        <w:rPr>
          <w:b/>
          <w:bCs/>
          <w:highlight w:val="green"/>
          <w:u w:val="single"/>
        </w:rPr>
        <w:t xml:space="preserve">outsized effects on inflation </w:t>
      </w:r>
      <w:r w:rsidRPr="00DD2D90">
        <w:rPr>
          <w:b/>
          <w:bCs/>
          <w:u w:val="single"/>
        </w:rPr>
        <w:t>expectations and realized inflation</w:t>
      </w:r>
      <w:r w:rsidRPr="00DD2D90">
        <w:rPr>
          <w:u w:val="single"/>
        </w:rPr>
        <w:t>.</w:t>
      </w:r>
      <w:r w:rsidRPr="009C4A5A">
        <w:rPr>
          <w:sz w:val="16"/>
        </w:rPr>
        <w:t xml:space="preserve"> The existence of threshold effects for sovereign debt is hotly debated in public finance. Even researchers that agree on their relevance disagree on where the threshold lies or whether it applies to large advanced economies like the United States.6  Conclusion The relationship between government debt and inflationary pressure is complex and multifaceted, with both short-term and long-term implications for economic stability and growth. </w:t>
      </w:r>
      <w:r w:rsidRPr="00DD2D90">
        <w:rPr>
          <w:u w:val="single"/>
        </w:rPr>
        <w:t xml:space="preserve">The various models and simulations presented in this paper demonstrate that elevated federal debt can increase the risk of inflationary pressure through </w:t>
      </w:r>
      <w:r w:rsidRPr="00DD2D90">
        <w:rPr>
          <w:b/>
          <w:bCs/>
          <w:u w:val="single"/>
        </w:rPr>
        <w:t>several channels</w:t>
      </w:r>
      <w:r w:rsidRPr="00DD2D90">
        <w:rPr>
          <w:u w:val="single"/>
        </w:rPr>
        <w:t>, including direct demand effects, expectations feedback, reduced capacity and capital stock, and potential fiscal dominance concerns.</w:t>
      </w:r>
      <w:r w:rsidRPr="009C4A5A">
        <w:rPr>
          <w:sz w:val="16"/>
        </w:rPr>
        <w:t xml:space="preserve"> While the magnitude of these effects varies across different models and time horizons, </w:t>
      </w:r>
      <w:r w:rsidRPr="00DD2D90">
        <w:rPr>
          <w:u w:val="single"/>
        </w:rPr>
        <w:t xml:space="preserve">the consistent message is that persistent </w:t>
      </w:r>
      <w:r w:rsidRPr="00DD2D90">
        <w:rPr>
          <w:highlight w:val="green"/>
          <w:u w:val="single"/>
        </w:rPr>
        <w:t>high levels of</w:t>
      </w:r>
      <w:r w:rsidRPr="00DD2D90">
        <w:rPr>
          <w:u w:val="single"/>
        </w:rPr>
        <w:t xml:space="preserve"> government </w:t>
      </w:r>
      <w:r w:rsidRPr="00DD2D90">
        <w:rPr>
          <w:highlight w:val="green"/>
          <w:u w:val="single"/>
        </w:rPr>
        <w:t>debt</w:t>
      </w:r>
      <w:r w:rsidRPr="00DD2D90">
        <w:rPr>
          <w:u w:val="single"/>
        </w:rPr>
        <w:t xml:space="preserve"> can </w:t>
      </w:r>
      <w:r w:rsidRPr="00DD2D90">
        <w:rPr>
          <w:highlight w:val="green"/>
          <w:u w:val="single"/>
        </w:rPr>
        <w:t xml:space="preserve">have significant consequences for price stability, interest rates, </w:t>
      </w:r>
      <w:r w:rsidRPr="00DD2D90">
        <w:rPr>
          <w:b/>
          <w:bCs/>
          <w:highlight w:val="green"/>
          <w:u w:val="single"/>
        </w:rPr>
        <w:t>and</w:t>
      </w:r>
      <w:r w:rsidRPr="00DD2D90">
        <w:rPr>
          <w:b/>
          <w:bCs/>
          <w:u w:val="single"/>
        </w:rPr>
        <w:t xml:space="preserve"> overall </w:t>
      </w:r>
      <w:r w:rsidRPr="00DD2D90">
        <w:rPr>
          <w:b/>
          <w:bCs/>
          <w:highlight w:val="green"/>
          <w:u w:val="single"/>
        </w:rPr>
        <w:t>economic performance</w:t>
      </w:r>
      <w:r w:rsidRPr="00DD2D90">
        <w:rPr>
          <w:u w:val="single"/>
        </w:rPr>
        <w:t>.</w:t>
      </w:r>
      <w:r w:rsidRPr="009C4A5A">
        <w:rPr>
          <w:sz w:val="16"/>
        </w:rPr>
        <w:t xml:space="preserve"> The analysis also highlights the critical role of central bank credibility and fiscal-monetary coordination in mitigating the inflationary risks associated with high debt levels. As demonstrated by the FRB/US model simulations with Federal Reserve reaction, a credible monetary policy can help contain short-term inflationary pressures. But this still comes at the cost of higher interest rates. Moreover, the long-run simulations underscore the potential for substantial negative effects on capital accumulation, output, and living standards if debt levels continue to rise unchecked. These findings emphasize the importance of prudent fiscal management and the need for policymakers to carefully consider the long-term consequences of persistent deficit spending, particularly as the U.S. debt-to-GDP ratio approaches historic highs.</w:t>
      </w:r>
    </w:p>
    <w:p w14:paraId="2967B7BC" w14:textId="77777777" w:rsidR="00B00C2C" w:rsidRPr="009C4A5A" w:rsidRDefault="00B00C2C" w:rsidP="00B00C2C">
      <w:pPr>
        <w:rPr>
          <w:rFonts w:eastAsiaTheme="majorEastAsia" w:cstheme="majorBidi"/>
          <w:b/>
          <w:iCs/>
          <w:sz w:val="16"/>
        </w:rPr>
      </w:pPr>
      <w:r w:rsidRPr="009C4A5A">
        <w:rPr>
          <w:sz w:val="16"/>
        </w:rPr>
        <w:br w:type="page"/>
      </w:r>
    </w:p>
    <w:p w14:paraId="55613A4D" w14:textId="77777777" w:rsidR="00B00C2C" w:rsidRPr="009C4A5A" w:rsidRDefault="00B00C2C" w:rsidP="00B00C2C">
      <w:pPr>
        <w:pStyle w:val="Heading4"/>
        <w:rPr>
          <w:szCs w:val="26"/>
        </w:rPr>
      </w:pPr>
      <w:r w:rsidRPr="009C4A5A">
        <w:rPr>
          <w:szCs w:val="26"/>
        </w:rPr>
        <w:t>Increased national debt turns case – it makes the healthcare system unworkable and hampers disease prevention</w:t>
      </w:r>
    </w:p>
    <w:p w14:paraId="0E066D59" w14:textId="77777777" w:rsidR="00B00C2C" w:rsidRPr="00DD2D90" w:rsidRDefault="00B00C2C" w:rsidP="00B00C2C">
      <w:pPr>
        <w:rPr>
          <w:b/>
          <w:bCs/>
        </w:rPr>
      </w:pPr>
      <w:r w:rsidRPr="009C4A5A">
        <w:rPr>
          <w:rStyle w:val="Style13ptBold"/>
          <w:szCs w:val="26"/>
        </w:rPr>
        <w:t>Quakenbush and Patzman 24</w:t>
      </w:r>
      <w:r w:rsidRPr="00DD2D90">
        <w:rPr>
          <w:rStyle w:val="Style13ptBold"/>
          <w:sz w:val="22"/>
        </w:rPr>
        <w:t xml:space="preserve"> </w:t>
      </w:r>
      <w:r w:rsidRPr="00DD2D90">
        <w:t>[Caleb Quakenbush, researcher with a M.S. in applied economics from Johns Hopkins, and Andrew Patzman, researcher with a J.D. from Georgetown University, 10-21-2024, "Why the National Debt Matters for Rising Health Care Costs," Bipartisan Policy Center, https://bipartisanpolicy.org/explainer/national-debt-rising-health-care-costs/]/Kankee</w:t>
      </w:r>
    </w:p>
    <w:p w14:paraId="279DACDA" w14:textId="77777777" w:rsidR="00B00C2C" w:rsidRPr="00DD2D90" w:rsidRDefault="00B00C2C" w:rsidP="00B00C2C">
      <w:pPr>
        <w:rPr>
          <w:u w:val="single"/>
        </w:rPr>
      </w:pPr>
      <w:r w:rsidRPr="00DD2D90">
        <w:rPr>
          <w:highlight w:val="green"/>
          <w:u w:val="single"/>
        </w:rPr>
        <w:t>When the</w:t>
      </w:r>
      <w:r w:rsidRPr="00DD2D90">
        <w:rPr>
          <w:u w:val="single"/>
        </w:rPr>
        <w:t xml:space="preserve"> federal </w:t>
      </w:r>
      <w:r w:rsidRPr="00DD2D90">
        <w:rPr>
          <w:highlight w:val="green"/>
          <w:u w:val="single"/>
        </w:rPr>
        <w:t>government runs</w:t>
      </w:r>
      <w:r w:rsidRPr="00DD2D90">
        <w:rPr>
          <w:u w:val="single"/>
        </w:rPr>
        <w:t xml:space="preserve"> large annual budget </w:t>
      </w:r>
      <w:r w:rsidRPr="00DD2D90">
        <w:rPr>
          <w:highlight w:val="green"/>
          <w:u w:val="single"/>
        </w:rPr>
        <w:t xml:space="preserve">deficits, it can </w:t>
      </w:r>
      <w:r w:rsidRPr="00DD2D90">
        <w:rPr>
          <w:b/>
          <w:bCs/>
          <w:highlight w:val="green"/>
          <w:u w:val="single"/>
        </w:rPr>
        <w:t>spur inflation</w:t>
      </w:r>
      <w:r w:rsidRPr="00DD2D90">
        <w:rPr>
          <w:u w:val="single"/>
        </w:rPr>
        <w:t>.</w:t>
      </w:r>
      <w:r w:rsidRPr="00DD2D90">
        <w:t xml:space="preserve"> For example, Federal Reserve researchers estimate that fiscal stimulus in response to the COVID-19 public health emergency—when annual deficits peaked at more than $3 trillion—contributed to a 2.5 percentage point increase in inflation. </w:t>
      </w:r>
      <w:r w:rsidRPr="00DD2D90">
        <w:rPr>
          <w:highlight w:val="green"/>
          <w:u w:val="single"/>
        </w:rPr>
        <w:t>Higher</w:t>
      </w:r>
      <w:r w:rsidRPr="00DD2D90">
        <w:rPr>
          <w:u w:val="single"/>
        </w:rPr>
        <w:t xml:space="preserve"> overall </w:t>
      </w:r>
      <w:r w:rsidRPr="00DD2D90">
        <w:rPr>
          <w:highlight w:val="green"/>
          <w:u w:val="single"/>
        </w:rPr>
        <w:t xml:space="preserve">inflation may </w:t>
      </w:r>
      <w:r w:rsidRPr="00DD2D90">
        <w:rPr>
          <w:b/>
          <w:bCs/>
          <w:highlight w:val="green"/>
          <w:u w:val="single"/>
        </w:rPr>
        <w:t>push up the costs of health services</w:t>
      </w:r>
      <w:r w:rsidRPr="00DD2D90">
        <w:rPr>
          <w:u w:val="single"/>
        </w:rPr>
        <w:t>, especially if wage inflation occurs in the health care sector.</w:t>
      </w:r>
      <w:r w:rsidRPr="00DD2D90">
        <w:t xml:space="preserve"> This could increase the cost of private health insurance and especially strain employers’ ability to provide affordable health insurance options to their workers. </w:t>
      </w:r>
      <w:r w:rsidRPr="00DD2D90">
        <w:rPr>
          <w:highlight w:val="green"/>
          <w:u w:val="single"/>
        </w:rPr>
        <w:t>Health care providers</w:t>
      </w:r>
      <w:r w:rsidRPr="00DD2D90">
        <w:rPr>
          <w:u w:val="single"/>
        </w:rPr>
        <w:t xml:space="preserve"> whose </w:t>
      </w:r>
      <w:r w:rsidRPr="00DD2D90">
        <w:rPr>
          <w:highlight w:val="green"/>
          <w:u w:val="single"/>
        </w:rPr>
        <w:t>reimbursement streams</w:t>
      </w:r>
      <w:r w:rsidRPr="00DD2D90">
        <w:rPr>
          <w:u w:val="single"/>
        </w:rPr>
        <w:t xml:space="preserve"> are already </w:t>
      </w:r>
      <w:r w:rsidRPr="00DD2D90">
        <w:rPr>
          <w:highlight w:val="green"/>
          <w:u w:val="single"/>
        </w:rPr>
        <w:t>under threat as</w:t>
      </w:r>
      <w:r w:rsidRPr="00DD2D90">
        <w:rPr>
          <w:u w:val="single"/>
        </w:rPr>
        <w:t xml:space="preserve"> health care </w:t>
      </w:r>
      <w:r w:rsidRPr="00DD2D90">
        <w:rPr>
          <w:highlight w:val="green"/>
          <w:u w:val="single"/>
        </w:rPr>
        <w:t>costs rise</w:t>
      </w:r>
      <w:r w:rsidRPr="00DD2D90">
        <w:rPr>
          <w:u w:val="single"/>
        </w:rPr>
        <w:t>, particularly in rural and low-income communities, may be especially burdened by rising costs.</w:t>
      </w:r>
      <w:r w:rsidRPr="00DD2D90">
        <w:t xml:space="preserve"> Private Investment Crowd Out </w:t>
      </w:r>
      <w:r w:rsidRPr="00DD2D90">
        <w:rPr>
          <w:highlight w:val="green"/>
          <w:u w:val="single"/>
        </w:rPr>
        <w:t>A</w:t>
      </w:r>
      <w:r w:rsidRPr="00DD2D90">
        <w:rPr>
          <w:u w:val="single"/>
        </w:rPr>
        <w:t xml:space="preserve">t high borrowing levels, the </w:t>
      </w:r>
      <w:r w:rsidRPr="00DD2D90">
        <w:rPr>
          <w:highlight w:val="green"/>
          <w:u w:val="single"/>
        </w:rPr>
        <w:t>increase in</w:t>
      </w:r>
      <w:r w:rsidRPr="00DD2D90">
        <w:rPr>
          <w:u w:val="single"/>
        </w:rPr>
        <w:t xml:space="preserve"> government </w:t>
      </w:r>
      <w:r w:rsidRPr="00DD2D90">
        <w:rPr>
          <w:highlight w:val="green"/>
          <w:u w:val="single"/>
        </w:rPr>
        <w:t>debt</w:t>
      </w:r>
      <w:r w:rsidRPr="00DD2D90">
        <w:rPr>
          <w:u w:val="single"/>
        </w:rPr>
        <w:t xml:space="preserve"> purchased by investors </w:t>
      </w:r>
      <w:r w:rsidRPr="00DD2D90">
        <w:rPr>
          <w:b/>
          <w:bCs/>
          <w:highlight w:val="green"/>
          <w:u w:val="single"/>
        </w:rPr>
        <w:t>“crowds out” financing</w:t>
      </w:r>
      <w:r w:rsidRPr="00DD2D90">
        <w:rPr>
          <w:highlight w:val="green"/>
          <w:u w:val="single"/>
        </w:rPr>
        <w:t xml:space="preserve"> that would</w:t>
      </w:r>
      <w:r w:rsidRPr="00DD2D90">
        <w:rPr>
          <w:u w:val="single"/>
        </w:rPr>
        <w:t xml:space="preserve"> otherwise </w:t>
      </w:r>
      <w:r w:rsidRPr="00DD2D90">
        <w:rPr>
          <w:highlight w:val="green"/>
          <w:u w:val="single"/>
        </w:rPr>
        <w:t>be available to</w:t>
      </w:r>
      <w:r w:rsidRPr="00DD2D90">
        <w:rPr>
          <w:u w:val="single"/>
        </w:rPr>
        <w:t xml:space="preserve"> the private sector. While </w:t>
      </w:r>
      <w:r w:rsidRPr="00DD2D90">
        <w:rPr>
          <w:highlight w:val="green"/>
          <w:u w:val="single"/>
        </w:rPr>
        <w:t>medical technology</w:t>
      </w:r>
      <w:r w:rsidRPr="00DD2D90">
        <w:rPr>
          <w:u w:val="single"/>
        </w:rPr>
        <w:t xml:space="preserve"> and </w:t>
      </w:r>
      <w:r w:rsidRPr="00DD2D90">
        <w:rPr>
          <w:highlight w:val="green"/>
          <w:u w:val="single"/>
        </w:rPr>
        <w:t>pharmaceutical developers</w:t>
      </w:r>
      <w:r w:rsidRPr="00DD2D90">
        <w:rPr>
          <w:u w:val="single"/>
        </w:rPr>
        <w:t xml:space="preserve"> currently benefit from access to capital, they </w:t>
      </w:r>
      <w:r w:rsidRPr="00DD2D90">
        <w:rPr>
          <w:highlight w:val="green"/>
          <w:u w:val="single"/>
        </w:rPr>
        <w:t xml:space="preserve">may face </w:t>
      </w:r>
      <w:r w:rsidRPr="00DD2D90">
        <w:rPr>
          <w:b/>
          <w:bCs/>
          <w:highlight w:val="green"/>
          <w:u w:val="single"/>
        </w:rPr>
        <w:t>higher financing costs</w:t>
      </w:r>
      <w:r w:rsidRPr="00DD2D90">
        <w:rPr>
          <w:u w:val="single"/>
        </w:rPr>
        <w:t xml:space="preserve"> in the future </w:t>
      </w:r>
      <w:r w:rsidRPr="00DD2D90">
        <w:rPr>
          <w:highlight w:val="green"/>
          <w:u w:val="single"/>
        </w:rPr>
        <w:t>as debt rises</w:t>
      </w:r>
      <w:r w:rsidRPr="00DD2D90">
        <w:rPr>
          <w:u w:val="single"/>
        </w:rPr>
        <w:t xml:space="preserve"> to </w:t>
      </w:r>
      <w:r w:rsidRPr="00DD2D90">
        <w:rPr>
          <w:b/>
          <w:bCs/>
          <w:u w:val="single"/>
        </w:rPr>
        <w:t>unsustainable levels</w:t>
      </w:r>
      <w:r w:rsidRPr="00DD2D90">
        <w:rPr>
          <w:u w:val="single"/>
        </w:rPr>
        <w:t xml:space="preserve">. </w:t>
      </w:r>
      <w:r w:rsidRPr="00DD2D90">
        <w:rPr>
          <w:highlight w:val="green"/>
          <w:u w:val="single"/>
        </w:rPr>
        <w:t>Crowding out could slow the pace of investment in</w:t>
      </w:r>
      <w:r w:rsidRPr="00DD2D90">
        <w:rPr>
          <w:u w:val="single"/>
        </w:rPr>
        <w:t xml:space="preserve"> research and development for </w:t>
      </w:r>
      <w:r w:rsidRPr="00DD2D90">
        <w:rPr>
          <w:highlight w:val="green"/>
          <w:u w:val="single"/>
        </w:rPr>
        <w:t>new drugs</w:t>
      </w:r>
      <w:r w:rsidRPr="00DD2D90">
        <w:rPr>
          <w:u w:val="single"/>
        </w:rPr>
        <w:t xml:space="preserve"> and treatments as well as preventative interventions </w:t>
      </w:r>
      <w:r w:rsidRPr="00DD2D90">
        <w:rPr>
          <w:highlight w:val="green"/>
          <w:u w:val="single"/>
        </w:rPr>
        <w:t xml:space="preserve">that could </w:t>
      </w:r>
      <w:r w:rsidRPr="00DD2D90">
        <w:rPr>
          <w:b/>
          <w:bCs/>
          <w:highlight w:val="green"/>
          <w:u w:val="single"/>
        </w:rPr>
        <w:t>slow cost growth</w:t>
      </w:r>
      <w:r w:rsidRPr="00DD2D90">
        <w:rPr>
          <w:highlight w:val="green"/>
          <w:u w:val="single"/>
        </w:rPr>
        <w:t>.</w:t>
      </w:r>
      <w:r w:rsidRPr="00DD2D90">
        <w:t xml:space="preserve"> Elevated interest rates can also constrain financing for new hospital and health care facility construction and public health investments. Reduced investment could also force further consolidation or otherwise restrict communities’ access to quality health care. Less Public Investment </w:t>
      </w:r>
      <w:r w:rsidRPr="00DD2D90">
        <w:rPr>
          <w:highlight w:val="green"/>
          <w:u w:val="single"/>
        </w:rPr>
        <w:t>Federal investments in</w:t>
      </w:r>
      <w:r w:rsidRPr="00DD2D90">
        <w:rPr>
          <w:u w:val="single"/>
        </w:rPr>
        <w:t xml:space="preserve"> the country’s broader </w:t>
      </w:r>
      <w:r w:rsidRPr="00DD2D90">
        <w:rPr>
          <w:highlight w:val="green"/>
          <w:u w:val="single"/>
        </w:rPr>
        <w:t>health care infrastructure</w:t>
      </w:r>
      <w:r w:rsidRPr="00DD2D90">
        <w:rPr>
          <w:u w:val="single"/>
        </w:rPr>
        <w:t>—</w:t>
      </w:r>
      <w:r w:rsidRPr="00DD2D90">
        <w:rPr>
          <w:b/>
          <w:bCs/>
          <w:u w:val="single"/>
        </w:rPr>
        <w:t>public health</w:t>
      </w:r>
      <w:r w:rsidRPr="00DD2D90">
        <w:rPr>
          <w:u w:val="single"/>
        </w:rPr>
        <w:t>, drug safety, and research and development—</w:t>
      </w:r>
      <w:r w:rsidRPr="00DD2D90">
        <w:rPr>
          <w:highlight w:val="green"/>
          <w:u w:val="single"/>
        </w:rPr>
        <w:t>remain</w:t>
      </w:r>
      <w:r w:rsidRPr="00DD2D90">
        <w:rPr>
          <w:u w:val="single"/>
        </w:rPr>
        <w:t xml:space="preserve"> </w:t>
      </w:r>
      <w:r w:rsidRPr="00DD2D90">
        <w:rPr>
          <w:b/>
          <w:bCs/>
          <w:u w:val="single"/>
        </w:rPr>
        <w:t xml:space="preserve">especially </w:t>
      </w:r>
      <w:r w:rsidRPr="00DD2D90">
        <w:rPr>
          <w:b/>
          <w:bCs/>
          <w:highlight w:val="green"/>
          <w:u w:val="single"/>
        </w:rPr>
        <w:t>vulnerable</w:t>
      </w:r>
      <w:r w:rsidRPr="00DD2D90">
        <w:rPr>
          <w:highlight w:val="green"/>
          <w:u w:val="single"/>
        </w:rPr>
        <w:t xml:space="preserve"> as</w:t>
      </w:r>
      <w:r w:rsidRPr="00DD2D90">
        <w:rPr>
          <w:u w:val="single"/>
        </w:rPr>
        <w:t xml:space="preserve"> net </w:t>
      </w:r>
      <w:r w:rsidRPr="00DD2D90">
        <w:rPr>
          <w:highlight w:val="green"/>
          <w:u w:val="single"/>
        </w:rPr>
        <w:t>interest on the debt</w:t>
      </w:r>
      <w:r w:rsidRPr="00DD2D90">
        <w:rPr>
          <w:u w:val="single"/>
        </w:rPr>
        <w:t xml:space="preserve"> will only </w:t>
      </w:r>
      <w:r w:rsidRPr="00DD2D90">
        <w:rPr>
          <w:highlight w:val="green"/>
          <w:u w:val="single"/>
        </w:rPr>
        <w:t xml:space="preserve">continue to crowd out discretionary spending. This includes the budgets for the </w:t>
      </w:r>
      <w:r w:rsidRPr="00DD2D90">
        <w:rPr>
          <w:b/>
          <w:bCs/>
          <w:highlight w:val="green"/>
          <w:u w:val="single"/>
        </w:rPr>
        <w:t>N</w:t>
      </w:r>
      <w:r w:rsidRPr="00DD2D90">
        <w:rPr>
          <w:u w:val="single"/>
        </w:rPr>
        <w:t xml:space="preserve">ational </w:t>
      </w:r>
      <w:r w:rsidRPr="00DD2D90">
        <w:rPr>
          <w:b/>
          <w:bCs/>
          <w:highlight w:val="green"/>
          <w:u w:val="single"/>
        </w:rPr>
        <w:t>I</w:t>
      </w:r>
      <w:r w:rsidRPr="00DD2D90">
        <w:rPr>
          <w:u w:val="single"/>
        </w:rPr>
        <w:t xml:space="preserve">nstitutes of </w:t>
      </w:r>
      <w:r w:rsidRPr="00DD2D90">
        <w:rPr>
          <w:b/>
          <w:bCs/>
          <w:highlight w:val="green"/>
          <w:u w:val="single"/>
        </w:rPr>
        <w:t>H</w:t>
      </w:r>
      <w:r w:rsidRPr="00DD2D90">
        <w:rPr>
          <w:u w:val="single"/>
        </w:rPr>
        <w:t>ealth</w:t>
      </w:r>
      <w:r w:rsidRPr="00DD2D90">
        <w:rPr>
          <w:b/>
          <w:bCs/>
          <w:highlight w:val="green"/>
          <w:u w:val="single"/>
        </w:rPr>
        <w:t>,</w:t>
      </w:r>
      <w:r w:rsidRPr="00DD2D90">
        <w:rPr>
          <w:u w:val="single"/>
        </w:rPr>
        <w:t xml:space="preserve"> the </w:t>
      </w:r>
      <w:r w:rsidRPr="00DD2D90">
        <w:rPr>
          <w:b/>
          <w:bCs/>
          <w:highlight w:val="green"/>
          <w:u w:val="single"/>
        </w:rPr>
        <w:t>C</w:t>
      </w:r>
      <w:r w:rsidRPr="00DD2D90">
        <w:rPr>
          <w:u w:val="single"/>
        </w:rPr>
        <w:t xml:space="preserve">enters for </w:t>
      </w:r>
      <w:r w:rsidRPr="00DD2D90">
        <w:rPr>
          <w:b/>
          <w:bCs/>
          <w:highlight w:val="green"/>
          <w:u w:val="single"/>
        </w:rPr>
        <w:t>D</w:t>
      </w:r>
      <w:r w:rsidRPr="00DD2D90">
        <w:rPr>
          <w:u w:val="single"/>
        </w:rPr>
        <w:t xml:space="preserve">isease </w:t>
      </w:r>
      <w:r w:rsidRPr="00DD2D90">
        <w:rPr>
          <w:b/>
          <w:bCs/>
          <w:highlight w:val="green"/>
          <w:u w:val="single"/>
        </w:rPr>
        <w:t>C</w:t>
      </w:r>
      <w:r w:rsidRPr="00DD2D90">
        <w:rPr>
          <w:u w:val="single"/>
        </w:rPr>
        <w:t xml:space="preserve">ontrol and Prevention, </w:t>
      </w:r>
      <w:r w:rsidRPr="00DD2D90">
        <w:rPr>
          <w:highlight w:val="green"/>
          <w:u w:val="single"/>
        </w:rPr>
        <w:t xml:space="preserve">and the </w:t>
      </w:r>
      <w:r w:rsidRPr="00DD2D90">
        <w:rPr>
          <w:b/>
          <w:bCs/>
          <w:highlight w:val="green"/>
          <w:u w:val="single"/>
        </w:rPr>
        <w:t>F</w:t>
      </w:r>
      <w:r w:rsidRPr="00DD2D90">
        <w:rPr>
          <w:u w:val="single"/>
        </w:rPr>
        <w:t xml:space="preserve">ood and </w:t>
      </w:r>
      <w:r w:rsidRPr="00DD2D90">
        <w:rPr>
          <w:b/>
          <w:bCs/>
          <w:highlight w:val="green"/>
          <w:u w:val="single"/>
        </w:rPr>
        <w:t>D</w:t>
      </w:r>
      <w:r w:rsidRPr="00DD2D90">
        <w:rPr>
          <w:u w:val="single"/>
        </w:rPr>
        <w:t xml:space="preserve">rug </w:t>
      </w:r>
      <w:r w:rsidRPr="00DD2D90">
        <w:rPr>
          <w:b/>
          <w:bCs/>
          <w:highlight w:val="green"/>
          <w:u w:val="single"/>
        </w:rPr>
        <w:t>A</w:t>
      </w:r>
      <w:r w:rsidRPr="00DD2D90">
        <w:rPr>
          <w:u w:val="single"/>
        </w:rPr>
        <w:t>dministration.</w:t>
      </w:r>
      <w:r w:rsidRPr="00DD2D90">
        <w:t xml:space="preserve"> </w:t>
      </w:r>
      <w:r w:rsidRPr="00DD2D90">
        <w:rPr>
          <w:rStyle w:val="StyleUnderline"/>
          <w:highlight w:val="green"/>
        </w:rPr>
        <w:t>Declining outlays could diminish</w:t>
      </w:r>
      <w:r w:rsidRPr="00DD2D90">
        <w:rPr>
          <w:rStyle w:val="StyleUnderline"/>
        </w:rPr>
        <w:t xml:space="preserve"> the nation’s </w:t>
      </w:r>
      <w:r w:rsidRPr="00DD2D90">
        <w:rPr>
          <w:rStyle w:val="StyleUnderline"/>
          <w:highlight w:val="green"/>
        </w:rPr>
        <w:t>economic competitiveness</w:t>
      </w:r>
      <w:r w:rsidRPr="00DD2D90">
        <w:rPr>
          <w:rStyle w:val="StyleUnderline"/>
        </w:rPr>
        <w:t xml:space="preserve"> as our collective hand is forced to pay bondholders over research and development</w:t>
      </w:r>
      <w:r w:rsidRPr="00DD2D90">
        <w:t xml:space="preserve"> for new drugs and treatments. For example, rapid development of the COVID-19 vaccines through Operation Warp Speed during the pandemic built on decades of research on RNA and medical technologies, which would not have been possible without years of steady federal scientific funding. Similarly, </w:t>
      </w:r>
      <w:r w:rsidRPr="00DD2D90">
        <w:rPr>
          <w:rStyle w:val="StyleUnderline"/>
          <w:highlight w:val="green"/>
        </w:rPr>
        <w:t>reduced investments</w:t>
      </w:r>
      <w:r w:rsidRPr="00DD2D90">
        <w:t xml:space="preserve"> in the CDC or FDA </w:t>
      </w:r>
      <w:r w:rsidRPr="00DD2D90">
        <w:rPr>
          <w:rStyle w:val="StyleUnderline"/>
          <w:highlight w:val="green"/>
        </w:rPr>
        <w:t>could erode</w:t>
      </w:r>
      <w:r w:rsidRPr="00DD2D90">
        <w:rPr>
          <w:rStyle w:val="StyleUnderline"/>
        </w:rPr>
        <w:t xml:space="preserve"> the effectiveness of</w:t>
      </w:r>
      <w:r w:rsidRPr="00DD2D90">
        <w:t xml:space="preserve"> the government’s </w:t>
      </w:r>
      <w:r w:rsidRPr="00DD2D90">
        <w:rPr>
          <w:rStyle w:val="StyleUnderline"/>
          <w:highlight w:val="green"/>
        </w:rPr>
        <w:t>capabilities to prevent</w:t>
      </w:r>
      <w:r w:rsidRPr="00DD2D90">
        <w:t xml:space="preserve"> and respond to future </w:t>
      </w:r>
      <w:r w:rsidRPr="00DD2D90">
        <w:rPr>
          <w:rStyle w:val="StyleUnderline"/>
          <w:highlight w:val="green"/>
        </w:rPr>
        <w:t>disease outbreaks</w:t>
      </w:r>
      <w:r w:rsidRPr="00DD2D90">
        <w:rPr>
          <w:rStyle w:val="StyleUnderline"/>
        </w:rPr>
        <w:t xml:space="preserve"> in the food supply or public health emergencies</w:t>
      </w:r>
      <w:r w:rsidRPr="00DD2D90">
        <w:t xml:space="preserve">. </w:t>
      </w:r>
      <w:r w:rsidRPr="00DD2D90">
        <w:rPr>
          <w:u w:val="single"/>
        </w:rPr>
        <w:t xml:space="preserve">Beyond the human cost of these risks, </w:t>
      </w:r>
      <w:r w:rsidRPr="00DD2D90">
        <w:rPr>
          <w:highlight w:val="green"/>
          <w:u w:val="single"/>
        </w:rPr>
        <w:t>diminished public health</w:t>
      </w:r>
      <w:r w:rsidRPr="00DD2D90">
        <w:rPr>
          <w:u w:val="single"/>
        </w:rPr>
        <w:t xml:space="preserve"> also </w:t>
      </w:r>
      <w:r w:rsidRPr="00DD2D90">
        <w:rPr>
          <w:highlight w:val="green"/>
          <w:u w:val="single"/>
        </w:rPr>
        <w:t>contributes to a less productive</w:t>
      </w:r>
      <w:r w:rsidRPr="00DD2D90">
        <w:rPr>
          <w:u w:val="single"/>
        </w:rPr>
        <w:t xml:space="preserve"> workforce and </w:t>
      </w:r>
      <w:r w:rsidRPr="00DD2D90">
        <w:rPr>
          <w:highlight w:val="green"/>
          <w:u w:val="single"/>
        </w:rPr>
        <w:t>economy</w:t>
      </w:r>
      <w:r w:rsidRPr="00DD2D90">
        <w:rPr>
          <w:u w:val="single"/>
        </w:rPr>
        <w:t>.</w:t>
      </w:r>
    </w:p>
    <w:p w14:paraId="66FCDF8A" w14:textId="77777777" w:rsidR="00B00C2C" w:rsidRPr="00DD2D90" w:rsidRDefault="00B00C2C" w:rsidP="00B00C2C">
      <w:pPr>
        <w:rPr>
          <w:rFonts w:eastAsiaTheme="majorEastAsia" w:cstheme="majorBidi"/>
          <w:b/>
          <w:iCs/>
        </w:rPr>
      </w:pPr>
      <w:r w:rsidRPr="00DD2D90">
        <w:br w:type="page"/>
      </w:r>
    </w:p>
    <w:p w14:paraId="605F3A6A" w14:textId="590C4843" w:rsidR="0048570C" w:rsidRPr="009C4A5A" w:rsidRDefault="0048570C" w:rsidP="0048570C">
      <w:pPr>
        <w:pStyle w:val="Heading4"/>
        <w:rPr>
          <w:szCs w:val="26"/>
        </w:rPr>
      </w:pPr>
      <w:r w:rsidRPr="009C4A5A">
        <w:rPr>
          <w:szCs w:val="26"/>
        </w:rPr>
        <w:t xml:space="preserve">Moral hazard massively increases resource consumption demand, increasing costs – decreased OOP costs </w:t>
      </w:r>
      <w:proofErr w:type="gramStart"/>
      <w:r w:rsidRPr="009C4A5A">
        <w:rPr>
          <w:szCs w:val="26"/>
        </w:rPr>
        <w:t>encourages</w:t>
      </w:r>
      <w:proofErr w:type="gramEnd"/>
      <w:r w:rsidRPr="009C4A5A">
        <w:rPr>
          <w:szCs w:val="26"/>
        </w:rPr>
        <w:t xml:space="preserve"> using more resources</w:t>
      </w:r>
    </w:p>
    <w:p w14:paraId="4050E341" w14:textId="2D73C3CA" w:rsidR="0048570C" w:rsidRPr="00DD2D90" w:rsidRDefault="0048570C" w:rsidP="0048570C">
      <w:r w:rsidRPr="009C4A5A">
        <w:rPr>
          <w:b/>
          <w:bCs/>
          <w:sz w:val="26"/>
          <w:szCs w:val="26"/>
        </w:rPr>
        <w:t>Nighohossian 25</w:t>
      </w:r>
      <w:r w:rsidRPr="00DD2D90">
        <w:t xml:space="preserve"> [Jeremy Nighohossian, Senior Fellow and Economist with a focus on healthcare at the Competitive Enterprise Institute with a Ph.D. in economics from Texas A&amp;M University, 6-4-2025, "Don’t socialize health care through private insurance", Competitive Enterprise Institute, https://cei.org/blog/dont-socialize-health-care-through-private-insurance/]/Kankee</w:t>
      </w:r>
    </w:p>
    <w:p w14:paraId="7A2AF9EB" w14:textId="77777777" w:rsidR="0048570C" w:rsidRPr="009C4A5A" w:rsidRDefault="0048570C" w:rsidP="0048570C">
      <w:pPr>
        <w:rPr>
          <w:sz w:val="16"/>
        </w:rPr>
      </w:pPr>
      <w:r w:rsidRPr="009C4A5A">
        <w:rPr>
          <w:sz w:val="16"/>
        </w:rPr>
        <w:t xml:space="preserve">Proponents estimate that the policy would raise premiums for everyone who has commercial insurance by $30 per year. There are two reasons that estimate is as low as it is. First, </w:t>
      </w:r>
      <w:r w:rsidRPr="00DD2D90">
        <w:rPr>
          <w:rStyle w:val="StyleUnderline"/>
          <w:highlight w:val="green"/>
        </w:rPr>
        <w:t>it would be a</w:t>
      </w:r>
      <w:r w:rsidRPr="00DD2D90">
        <w:rPr>
          <w:rStyle w:val="StyleUnderline"/>
        </w:rPr>
        <w:t xml:space="preserve"> substantial </w:t>
      </w:r>
      <w:r w:rsidRPr="00DD2D90">
        <w:rPr>
          <w:rStyle w:val="StyleUnderline"/>
          <w:highlight w:val="green"/>
        </w:rPr>
        <w:t>redistribution of</w:t>
      </w:r>
      <w:r w:rsidRPr="00DD2D90">
        <w:rPr>
          <w:rStyle w:val="StyleUnderline"/>
        </w:rPr>
        <w:t xml:space="preserve"> </w:t>
      </w:r>
      <w:r w:rsidRPr="00DD2D90">
        <w:rPr>
          <w:rStyle w:val="StyleUnderline"/>
          <w:highlight w:val="green"/>
        </w:rPr>
        <w:t>costs</w:t>
      </w:r>
      <w:r w:rsidRPr="00DD2D90">
        <w:rPr>
          <w:rStyle w:val="StyleUnderline"/>
        </w:rPr>
        <w:t xml:space="preserve"> </w:t>
      </w:r>
      <w:r w:rsidRPr="00DD2D90">
        <w:rPr>
          <w:rStyle w:val="StyleUnderline"/>
          <w:highlight w:val="green"/>
        </w:rPr>
        <w:t>borne by a small population across a</w:t>
      </w:r>
      <w:r w:rsidRPr="00DD2D90">
        <w:rPr>
          <w:rStyle w:val="StyleUnderline"/>
        </w:rPr>
        <w:t xml:space="preserve"> much </w:t>
      </w:r>
      <w:r w:rsidRPr="00DD2D90">
        <w:rPr>
          <w:rStyle w:val="StyleUnderline"/>
          <w:highlight w:val="green"/>
        </w:rPr>
        <w:t>larger population</w:t>
      </w:r>
      <w:r w:rsidRPr="009C4A5A">
        <w:rPr>
          <w:sz w:val="16"/>
        </w:rPr>
        <w:t xml:space="preserve">. Annually, there are 1.8 million births in the US and 180 million people covered by private health insurance. </w:t>
      </w:r>
      <w:r w:rsidRPr="00DD2D90">
        <w:rPr>
          <w:rStyle w:val="StyleUnderline"/>
        </w:rPr>
        <w:t xml:space="preserve">This bill would spread the costs of childbirth across everyone with </w:t>
      </w:r>
      <w:r w:rsidRPr="009C4A5A">
        <w:rPr>
          <w:sz w:val="16"/>
        </w:rPr>
        <w:t>commercial</w:t>
      </w:r>
      <w:r w:rsidRPr="00DD2D90">
        <w:rPr>
          <w:rStyle w:val="StyleUnderline"/>
        </w:rPr>
        <w:t xml:space="preserve"> insurance</w:t>
      </w:r>
      <w:r w:rsidRPr="009C4A5A">
        <w:rPr>
          <w:sz w:val="16"/>
        </w:rPr>
        <w:t xml:space="preserve">, regardless of age, family status, or desire to have their own children. The second reason the estimate is that low is because under the </w:t>
      </w:r>
      <w:r w:rsidRPr="00DD2D90">
        <w:rPr>
          <w:rStyle w:val="StyleUnderline"/>
        </w:rPr>
        <w:t>current</w:t>
      </w:r>
      <w:r w:rsidRPr="009C4A5A">
        <w:rPr>
          <w:sz w:val="16"/>
        </w:rPr>
        <w:t xml:space="preserve"> system, </w:t>
      </w:r>
      <w:r w:rsidRPr="00DD2D90">
        <w:rPr>
          <w:rStyle w:val="StyleUnderline"/>
        </w:rPr>
        <w:t>cost</w:t>
      </w:r>
      <w:r w:rsidRPr="009C4A5A">
        <w:rPr>
          <w:sz w:val="16"/>
        </w:rPr>
        <w:t>-</w:t>
      </w:r>
      <w:r w:rsidRPr="00DD2D90">
        <w:rPr>
          <w:rStyle w:val="StyleUnderline"/>
        </w:rPr>
        <w:t>sharing compels potential parents to consider the costs of the services they use when they’re deciding where to get diagnostics done and where to obtain care at every stage of childbirth both before and after pregnancy</w:t>
      </w:r>
      <w:r w:rsidRPr="009C4A5A">
        <w:rPr>
          <w:sz w:val="16"/>
        </w:rPr>
        <w:t xml:space="preserve">. </w:t>
      </w:r>
      <w:r w:rsidRPr="00DD2D90">
        <w:rPr>
          <w:rStyle w:val="StyleUnderline"/>
          <w:highlight w:val="green"/>
        </w:rPr>
        <w:t>If that incentive is removed</w:t>
      </w:r>
      <w:r w:rsidRPr="00DD2D90">
        <w:rPr>
          <w:rStyle w:val="StyleUnderline"/>
        </w:rPr>
        <w:t xml:space="preserve">, </w:t>
      </w:r>
      <w:r w:rsidRPr="00DD2D90">
        <w:rPr>
          <w:rStyle w:val="StyleUnderline"/>
          <w:highlight w:val="green"/>
        </w:rPr>
        <w:t>costs will escalate, and premiums will rise</w:t>
      </w:r>
      <w:r w:rsidRPr="009C4A5A">
        <w:rPr>
          <w:sz w:val="16"/>
        </w:rPr>
        <w:t xml:space="preserve"> higher than currently estimated. Spreading individuals’ costs across society, i.e. socializing costs, looks better on paper than reality. Not included in the estimates are the reduced incentives for parents to pick lower-priced health care providers. </w:t>
      </w:r>
      <w:r w:rsidRPr="00DD2D90">
        <w:rPr>
          <w:rStyle w:val="StyleUnderline"/>
          <w:highlight w:val="green"/>
        </w:rPr>
        <w:t>If every dollar</w:t>
      </w:r>
      <w:r w:rsidRPr="00DD2D90">
        <w:rPr>
          <w:rStyle w:val="StyleUnderline"/>
        </w:rPr>
        <w:t xml:space="preserve"> of spending on childbirth </w:t>
      </w:r>
      <w:r w:rsidRPr="00DD2D90">
        <w:rPr>
          <w:rStyle w:val="StyleUnderline"/>
          <w:highlight w:val="green"/>
        </w:rPr>
        <w:t>were</w:t>
      </w:r>
      <w:r w:rsidRPr="00DD2D90">
        <w:rPr>
          <w:rStyle w:val="StyleUnderline"/>
        </w:rPr>
        <w:t xml:space="preserve"> </w:t>
      </w:r>
      <w:r w:rsidRPr="00DD2D90">
        <w:rPr>
          <w:rStyle w:val="StyleUnderline"/>
          <w:highlight w:val="green"/>
        </w:rPr>
        <w:t>covered by the</w:t>
      </w:r>
      <w:r w:rsidRPr="00DD2D90">
        <w:rPr>
          <w:rStyle w:val="StyleUnderline"/>
        </w:rPr>
        <w:t xml:space="preserve"> other 98 percent of the </w:t>
      </w:r>
      <w:r w:rsidRPr="00DD2D90">
        <w:rPr>
          <w:rStyle w:val="StyleUnderline"/>
          <w:highlight w:val="green"/>
        </w:rPr>
        <w:t>population</w:t>
      </w:r>
      <w:r w:rsidRPr="00DD2D90">
        <w:rPr>
          <w:rStyle w:val="StyleUnderline"/>
        </w:rPr>
        <w:t xml:space="preserve">, </w:t>
      </w:r>
      <w:r w:rsidRPr="00DD2D90">
        <w:rPr>
          <w:rStyle w:val="StyleUnderline"/>
          <w:highlight w:val="green"/>
        </w:rPr>
        <w:t>why wouldn’t everyone choose</w:t>
      </w:r>
      <w:r w:rsidRPr="00DD2D90">
        <w:rPr>
          <w:rStyle w:val="StyleUnderline"/>
        </w:rPr>
        <w:t xml:space="preserve"> the most </w:t>
      </w:r>
      <w:r w:rsidRPr="00DD2D90">
        <w:rPr>
          <w:rStyle w:val="StyleUnderline"/>
          <w:highlight w:val="green"/>
        </w:rPr>
        <w:t>state-of-the-art hospitals</w:t>
      </w:r>
      <w:r w:rsidRPr="00DD2D90">
        <w:rPr>
          <w:rStyle w:val="StyleUnderline"/>
        </w:rPr>
        <w:t xml:space="preserve"> </w:t>
      </w:r>
      <w:r w:rsidRPr="00DD2D90">
        <w:rPr>
          <w:rStyle w:val="StyleUnderline"/>
          <w:highlight w:val="green"/>
        </w:rPr>
        <w:t>with</w:t>
      </w:r>
      <w:r w:rsidRPr="00DD2D90">
        <w:rPr>
          <w:rStyle w:val="StyleUnderline"/>
        </w:rPr>
        <w:t xml:space="preserve"> equipment that is repurchased every six months with integrated, </w:t>
      </w:r>
      <w:r w:rsidRPr="00DD2D90">
        <w:rPr>
          <w:rStyle w:val="Emphasis"/>
          <w:highlight w:val="green"/>
        </w:rPr>
        <w:t xml:space="preserve">gold-plated </w:t>
      </w:r>
      <w:r w:rsidRPr="00DD2D90">
        <w:rPr>
          <w:rStyle w:val="StyleUnderline"/>
          <w:highlight w:val="green"/>
        </w:rPr>
        <w:t>ultrasound machines boasting more features than</w:t>
      </w:r>
      <w:r w:rsidRPr="00DD2D90">
        <w:rPr>
          <w:rStyle w:val="StyleUnderline"/>
        </w:rPr>
        <w:t xml:space="preserve"> </w:t>
      </w:r>
      <w:r w:rsidRPr="00DD2D90">
        <w:rPr>
          <w:rStyle w:val="StyleUnderline"/>
          <w:highlight w:val="green"/>
        </w:rPr>
        <w:t>a high-end BMW</w:t>
      </w:r>
      <w:r w:rsidRPr="00DD2D90">
        <w:rPr>
          <w:rStyle w:val="StyleUnderline"/>
        </w:rPr>
        <w:t>?</w:t>
      </w:r>
      <w:r w:rsidRPr="009C4A5A">
        <w:rPr>
          <w:sz w:val="16"/>
        </w:rPr>
        <w:t xml:space="preserve"> The bill’s proponents argue that the mandate’s cost would be borne by employers and government, not everyday Americans. That’s not quite accurate. Employers count their share of health insurance premiums as a labor expense, the same as salary. The employee will still bear that cost, even if it’s paid by the employer on their behalf. Obamacare subsidies are paid by taxpayers, so that cost is still as high, it’s just spread out over even more people. </w:t>
      </w:r>
      <w:r w:rsidRPr="00DD2D90">
        <w:rPr>
          <w:rStyle w:val="StyleUnderline"/>
        </w:rPr>
        <w:t>Policies</w:t>
      </w:r>
      <w:r w:rsidRPr="009C4A5A">
        <w:rPr>
          <w:sz w:val="16"/>
        </w:rPr>
        <w:t xml:space="preserve"> such as these </w:t>
      </w:r>
      <w:r w:rsidRPr="00DD2D90">
        <w:rPr>
          <w:rStyle w:val="StyleUnderline"/>
        </w:rPr>
        <w:t>are often considered on their own</w:t>
      </w:r>
      <w:r w:rsidRPr="009C4A5A">
        <w:rPr>
          <w:sz w:val="16"/>
        </w:rPr>
        <w:t xml:space="preserve">, as if this is the first and only policy the government has implemented to promote child births and reduce health care costs. But in the real world, that’s not how </w:t>
      </w:r>
      <w:r w:rsidRPr="00DD2D90">
        <w:rPr>
          <w:rStyle w:val="StyleUnderline"/>
        </w:rPr>
        <w:t>mandates</w:t>
      </w:r>
      <w:r w:rsidRPr="009C4A5A">
        <w:rPr>
          <w:sz w:val="16"/>
        </w:rPr>
        <w:t xml:space="preserve"> work – they </w:t>
      </w:r>
      <w:r w:rsidRPr="00DD2D90">
        <w:rPr>
          <w:rStyle w:val="StyleUnderline"/>
        </w:rPr>
        <w:t>pile o</w:t>
      </w:r>
      <w:r w:rsidRPr="009C4A5A">
        <w:rPr>
          <w:sz w:val="16"/>
        </w:rPr>
        <w:t xml:space="preserve">n. For instance, </w:t>
      </w:r>
      <w:r w:rsidRPr="00DD2D90">
        <w:rPr>
          <w:rStyle w:val="StyleUnderline"/>
        </w:rPr>
        <w:t>Congress has already increased the child tax credit to $2,500 through 2028, when it will</w:t>
      </w:r>
      <w:r w:rsidRPr="009C4A5A">
        <w:rPr>
          <w:sz w:val="16"/>
        </w:rPr>
        <w:t xml:space="preserve"> drop to $2,000 and then </w:t>
      </w:r>
      <w:r w:rsidRPr="00DD2D90">
        <w:rPr>
          <w:rStyle w:val="StyleUnderline"/>
        </w:rPr>
        <w:t>grow with inflation</w:t>
      </w:r>
      <w:r w:rsidRPr="009C4A5A">
        <w:rPr>
          <w:sz w:val="16"/>
        </w:rPr>
        <w:t xml:space="preserve">. That alone takes a sizeable bite out of the out-of-pocket costs of childbirths. Also objectionable is the hijacking of private insurance as a conduit to pass social policy. If eradicating all out-of-pocket costs is good social policy, it should be done directly, not smuggled through private contracts. Whether it’s even good social policy is debatable, considering it is very unlikely to increase fertility in the country, which is the only social benefit it might confer. </w:t>
      </w:r>
      <w:r w:rsidRPr="00DD2D90">
        <w:rPr>
          <w:rStyle w:val="StyleUnderline"/>
        </w:rPr>
        <w:t xml:space="preserve">Health insurance is not meant to cover everything, it is meant to cover the unpredictable. </w:t>
      </w:r>
      <w:r w:rsidRPr="00DD2D90">
        <w:rPr>
          <w:rStyle w:val="StyleUnderline"/>
          <w:highlight w:val="green"/>
        </w:rPr>
        <w:t>The more the government packs into insurance and the more it financially distances consumers from the products they purchase, the</w:t>
      </w:r>
      <w:r w:rsidRPr="00DD2D90">
        <w:rPr>
          <w:rStyle w:val="StyleUnderline"/>
        </w:rPr>
        <w:t xml:space="preserve"> worse and </w:t>
      </w:r>
      <w:r w:rsidRPr="00DD2D90">
        <w:rPr>
          <w:rStyle w:val="StyleUnderline"/>
          <w:highlight w:val="green"/>
        </w:rPr>
        <w:t>more costly health care will become</w:t>
      </w:r>
      <w:r w:rsidRPr="009C4A5A">
        <w:rPr>
          <w:sz w:val="16"/>
        </w:rPr>
        <w:t>. This legislation is a backdoor to socialized medicine and bad policy.</w:t>
      </w:r>
    </w:p>
    <w:p w14:paraId="5DC2AD3F" w14:textId="77777777" w:rsidR="0048570C" w:rsidRPr="009C4A5A" w:rsidRDefault="0048570C" w:rsidP="0048570C">
      <w:pPr>
        <w:rPr>
          <w:rFonts w:eastAsiaTheme="majorEastAsia" w:cstheme="majorBidi"/>
          <w:b/>
          <w:iCs/>
          <w:sz w:val="16"/>
        </w:rPr>
      </w:pPr>
      <w:r w:rsidRPr="009C4A5A">
        <w:rPr>
          <w:sz w:val="16"/>
        </w:rPr>
        <w:br w:type="page"/>
      </w:r>
    </w:p>
    <w:p w14:paraId="3B294DE2" w14:textId="77777777" w:rsidR="00BA7515" w:rsidRPr="009C4A5A" w:rsidRDefault="00BA7515" w:rsidP="00BA7515">
      <w:pPr>
        <w:pStyle w:val="Heading4"/>
        <w:rPr>
          <w:szCs w:val="26"/>
        </w:rPr>
      </w:pPr>
      <w:r w:rsidRPr="009C4A5A">
        <w:rPr>
          <w:szCs w:val="26"/>
        </w:rPr>
        <w:t>We can’t fund universal healthcare due to tax evasion – this means the aff requires new money generation via deficit spending</w:t>
      </w:r>
    </w:p>
    <w:p w14:paraId="3A9DACF8" w14:textId="77777777" w:rsidR="00BA7515" w:rsidRPr="00DD2D90" w:rsidRDefault="00BA7515" w:rsidP="00BA7515">
      <w:r w:rsidRPr="009C4A5A">
        <w:rPr>
          <w:b/>
          <w:bCs/>
          <w:sz w:val="26"/>
          <w:szCs w:val="26"/>
        </w:rPr>
        <w:t>Sell 19</w:t>
      </w:r>
      <w:r w:rsidRPr="00DD2D90">
        <w:t xml:space="preserve"> [Susan K. Sell, researcher at the School of Regulation and Global Governance at The Australian National University, 2019, “21st-century capitalism: structural challenges for universal health care,” Globalization and Health, https://d-nb.info/1206868740/34]/Kankee</w:t>
      </w:r>
    </w:p>
    <w:p w14:paraId="4E018614" w14:textId="77777777" w:rsidR="00BA7515" w:rsidRPr="009C4A5A" w:rsidRDefault="00BA7515" w:rsidP="00BA7515">
      <w:pPr>
        <w:rPr>
          <w:sz w:val="16"/>
        </w:rPr>
      </w:pPr>
      <w:r w:rsidRPr="009C4A5A">
        <w:rPr>
          <w:sz w:val="16"/>
        </w:rPr>
        <w:t xml:space="preserve">The 2007–2008 global financial crisis revealed the dubious assumptions behind allegedly “self-regulating” financial markets. In the wake of that crisis, austerity measures, cuts to welfare programs, social spending and labor market transformations have had negative effects on domestic health equity and health outcomes [16]. Greece and other countries have been forced to adopt austerity measures and reduce public spending sharply; health budgets have been particularly hard hit [19]. As McKee et al. point out, debt crises resulting from costly bailouts of the financial sector “have strengthened the arguments of those promoting the case that existing wel- fare systems are unaffordable” ([6], p.S43). Financialization primarily affects the financing and provisioning of UHC. </w:t>
      </w:r>
      <w:r w:rsidRPr="00DD2D90">
        <w:rPr>
          <w:rStyle w:val="StyleUnderline"/>
        </w:rPr>
        <w:t xml:space="preserve">One </w:t>
      </w:r>
      <w:r w:rsidRPr="00DD2D90">
        <w:rPr>
          <w:rStyle w:val="Emphasis"/>
        </w:rPr>
        <w:t>major barrier</w:t>
      </w:r>
      <w:r w:rsidRPr="009C4A5A">
        <w:rPr>
          <w:sz w:val="16"/>
        </w:rPr>
        <w:t xml:space="preserve"> </w:t>
      </w:r>
      <w:r w:rsidRPr="00DD2D90">
        <w:rPr>
          <w:rStyle w:val="StyleUnderline"/>
        </w:rPr>
        <w:t>to</w:t>
      </w:r>
      <w:r w:rsidRPr="009C4A5A">
        <w:rPr>
          <w:sz w:val="16"/>
        </w:rPr>
        <w:t xml:space="preserve"> expanding access to </w:t>
      </w:r>
      <w:r w:rsidRPr="00DD2D90">
        <w:rPr>
          <w:rStyle w:val="StyleUnderline"/>
          <w:highlight w:val="green"/>
        </w:rPr>
        <w:t>health care</w:t>
      </w:r>
      <w:r w:rsidRPr="009C4A5A">
        <w:rPr>
          <w:sz w:val="16"/>
        </w:rPr>
        <w:t xml:space="preserve"> globally </w:t>
      </w:r>
      <w:r w:rsidRPr="00DD2D90">
        <w:rPr>
          <w:rStyle w:val="StyleUnderline"/>
        </w:rPr>
        <w:t>is</w:t>
      </w:r>
      <w:r w:rsidRPr="009C4A5A">
        <w:rPr>
          <w:sz w:val="16"/>
        </w:rPr>
        <w:t xml:space="preserve"> its considerable </w:t>
      </w:r>
      <w:r w:rsidRPr="00DD2D90">
        <w:rPr>
          <w:rStyle w:val="StyleUnderline"/>
        </w:rPr>
        <w:t>costs</w:t>
      </w:r>
      <w:r w:rsidRPr="009C4A5A">
        <w:rPr>
          <w:sz w:val="16"/>
        </w:rPr>
        <w:t xml:space="preserve"> [2]. UHC has been funded primarily by tax revenues that governments may use to implement redistributive pol- icies in support of UHC. As Savedoff et al. point out, “the predominance of pooled spending is a necessary condition (but not sufficient) for achieving universal health coverage” ([4], p.924). Risk pooling “reallocates funds from healthy to sick individuals” ([4], p.926). Pooled health financing has two positive effects on health care. First, it “contributes to higher health spend- ing by increasing the effective demand for health care services”; second, it can “improve health at lower costs” by emphasizing cost-effective prevention of poor health and negotiating fees and prices ([4], p.929). The World Health Organization (WHO) has noted the promise of </w:t>
      </w:r>
      <w:r w:rsidRPr="00DD2D90">
        <w:rPr>
          <w:rStyle w:val="StyleUnderline"/>
        </w:rPr>
        <w:t>financing health</w:t>
      </w:r>
      <w:r w:rsidRPr="009C4A5A">
        <w:rPr>
          <w:sz w:val="16"/>
        </w:rPr>
        <w:t xml:space="preserve"> through high-risk pools for achieving UHC [5]—which </w:t>
      </w:r>
      <w:r w:rsidRPr="00DD2D90">
        <w:rPr>
          <w:rStyle w:val="StyleUnderline"/>
          <w:highlight w:val="green"/>
        </w:rPr>
        <w:t>require</w:t>
      </w:r>
      <w:r w:rsidRPr="00DD2D90">
        <w:rPr>
          <w:rStyle w:val="StyleUnderline"/>
        </w:rPr>
        <w:t xml:space="preserve"> </w:t>
      </w:r>
      <w:r w:rsidRPr="00DD2D90">
        <w:rPr>
          <w:rStyle w:val="StyleUnderline"/>
          <w:highlight w:val="green"/>
        </w:rPr>
        <w:t>adequate domestic tax revenue</w:t>
      </w:r>
      <w:r w:rsidRPr="009C4A5A">
        <w:rPr>
          <w:sz w:val="16"/>
        </w:rPr>
        <w:t>. As Reeves et al. have found, “</w:t>
      </w:r>
      <w:r w:rsidRPr="00DD2D90">
        <w:rPr>
          <w:rStyle w:val="StyleUnderline"/>
        </w:rPr>
        <w:t>tax revenue was a major statistical determinant of progress towards universal health coverage</w:t>
      </w:r>
      <w:r w:rsidRPr="009C4A5A">
        <w:rPr>
          <w:sz w:val="16"/>
        </w:rPr>
        <w:t xml:space="preserve">” ([20], p.274). </w:t>
      </w:r>
      <w:r w:rsidRPr="00DD2D90">
        <w:rPr>
          <w:rStyle w:val="StyleUnderline"/>
        </w:rPr>
        <w:t>Financialized capitalism</w:t>
      </w:r>
      <w:r w:rsidRPr="009C4A5A">
        <w:rPr>
          <w:sz w:val="16"/>
        </w:rPr>
        <w:t xml:space="preserve"> has </w:t>
      </w:r>
      <w:r w:rsidRPr="00DD2D90">
        <w:rPr>
          <w:rStyle w:val="StyleUnderline"/>
        </w:rPr>
        <w:t>posed notable challenges to domestic tax bases</w:t>
      </w:r>
      <w:r w:rsidRPr="009C4A5A">
        <w:rPr>
          <w:sz w:val="16"/>
        </w:rPr>
        <w:t xml:space="preserve">. </w:t>
      </w:r>
      <w:r w:rsidRPr="00DD2D90">
        <w:rPr>
          <w:rStyle w:val="StyleUnderline"/>
          <w:highlight w:val="green"/>
        </w:rPr>
        <w:t>Capital mobility</w:t>
      </w:r>
      <w:r w:rsidRPr="009C4A5A">
        <w:rPr>
          <w:sz w:val="16"/>
        </w:rPr>
        <w:t xml:space="preserve"> has </w:t>
      </w:r>
      <w:r w:rsidRPr="00DD2D90">
        <w:rPr>
          <w:rStyle w:val="StyleUnderline"/>
          <w:highlight w:val="green"/>
        </w:rPr>
        <w:t>facilitated tax evasion</w:t>
      </w:r>
      <w:r w:rsidRPr="00DD2D90">
        <w:rPr>
          <w:rStyle w:val="StyleUnderline"/>
        </w:rPr>
        <w:t xml:space="preserve"> and</w:t>
      </w:r>
      <w:r w:rsidRPr="009C4A5A">
        <w:rPr>
          <w:sz w:val="16"/>
        </w:rPr>
        <w:t xml:space="preserve"> the opportunities for </w:t>
      </w:r>
      <w:r w:rsidRPr="00DD2D90">
        <w:rPr>
          <w:rStyle w:val="StyleUnderline"/>
        </w:rPr>
        <w:t>shifting revenue to tax havens</w:t>
      </w:r>
      <w:r w:rsidRPr="009C4A5A">
        <w:rPr>
          <w:sz w:val="16"/>
        </w:rPr>
        <w:t xml:space="preserve"> or low-tax locations, thereby </w:t>
      </w:r>
      <w:r w:rsidRPr="00DD2D90">
        <w:rPr>
          <w:rStyle w:val="StyleUnderline"/>
          <w:highlight w:val="green"/>
        </w:rPr>
        <w:t>reducing</w:t>
      </w:r>
      <w:r w:rsidRPr="00DD2D90">
        <w:rPr>
          <w:rStyle w:val="StyleUnderline"/>
        </w:rPr>
        <w:t xml:space="preserve"> the </w:t>
      </w:r>
      <w:r w:rsidRPr="00DD2D90">
        <w:rPr>
          <w:rStyle w:val="StyleUnderline"/>
          <w:highlight w:val="green"/>
        </w:rPr>
        <w:t>tax</w:t>
      </w:r>
      <w:r w:rsidRPr="00DD2D90">
        <w:rPr>
          <w:rStyle w:val="StyleUnderline"/>
        </w:rPr>
        <w:t xml:space="preserve"> base</w:t>
      </w:r>
      <w:r w:rsidRPr="009C4A5A">
        <w:rPr>
          <w:sz w:val="16"/>
        </w:rPr>
        <w:t xml:space="preserve"> </w:t>
      </w:r>
      <w:r w:rsidRPr="00DD2D90">
        <w:rPr>
          <w:rStyle w:val="StyleUnderline"/>
          <w:highlight w:val="green"/>
        </w:rPr>
        <w:t>available</w:t>
      </w:r>
      <w:r w:rsidRPr="009C4A5A">
        <w:rPr>
          <w:sz w:val="16"/>
          <w:highlight w:val="green"/>
        </w:rPr>
        <w:t xml:space="preserve"> </w:t>
      </w:r>
      <w:r w:rsidRPr="00DD2D90">
        <w:rPr>
          <w:rStyle w:val="StyleUnderline"/>
          <w:highlight w:val="green"/>
        </w:rPr>
        <w:t>for</w:t>
      </w:r>
      <w:r w:rsidRPr="009C4A5A">
        <w:rPr>
          <w:sz w:val="16"/>
        </w:rPr>
        <w:t xml:space="preserve"> programs like </w:t>
      </w:r>
      <w:r w:rsidRPr="00DD2D90">
        <w:rPr>
          <w:rStyle w:val="StyleUnderline"/>
          <w:highlight w:val="green"/>
        </w:rPr>
        <w:t>UHC</w:t>
      </w:r>
      <w:r w:rsidRPr="009C4A5A">
        <w:rPr>
          <w:sz w:val="16"/>
        </w:rPr>
        <w:t xml:space="preserve">. In countries such as </w:t>
      </w:r>
      <w:r w:rsidRPr="00DD2D90">
        <w:rPr>
          <w:rStyle w:val="StyleUnderline"/>
          <w:highlight w:val="green"/>
        </w:rPr>
        <w:t>the US</w:t>
      </w:r>
      <w:r w:rsidRPr="00DD2D90">
        <w:rPr>
          <w:rStyle w:val="StyleUnderline"/>
        </w:rPr>
        <w:t>A and the UK</w:t>
      </w:r>
      <w:r w:rsidRPr="009C4A5A">
        <w:rPr>
          <w:sz w:val="16"/>
        </w:rPr>
        <w:t xml:space="preserve"> that pioneered and promoted financialized capitalism, policymakers have cut taxes for the wealthiest and have </w:t>
      </w:r>
      <w:r w:rsidRPr="00DD2D90">
        <w:rPr>
          <w:rStyle w:val="StyleUnderline"/>
          <w:highlight w:val="green"/>
        </w:rPr>
        <w:t>allowed their most profitable companies to evade taxes</w:t>
      </w:r>
      <w:r w:rsidRPr="009C4A5A">
        <w:rPr>
          <w:sz w:val="16"/>
        </w:rPr>
        <w:t xml:space="preserve">. </w:t>
      </w:r>
      <w:r w:rsidRPr="00DD2D90">
        <w:rPr>
          <w:rStyle w:val="StyleUnderline"/>
        </w:rPr>
        <w:t>Tax revenues</w:t>
      </w:r>
      <w:r w:rsidRPr="009C4A5A">
        <w:rPr>
          <w:sz w:val="16"/>
        </w:rPr>
        <w:t xml:space="preserve"> that should be generated in home as well as host countries </w:t>
      </w:r>
      <w:r w:rsidRPr="00DD2D90">
        <w:rPr>
          <w:rStyle w:val="StyleUnderline"/>
        </w:rPr>
        <w:t>are not ma- terializing, due to widespread tax evasion</w:t>
      </w:r>
      <w:r w:rsidRPr="009C4A5A">
        <w:rPr>
          <w:sz w:val="16"/>
        </w:rPr>
        <w:t>. An estimated “</w:t>
      </w:r>
      <w:r w:rsidRPr="00DD2D90">
        <w:rPr>
          <w:rStyle w:val="Emphasis"/>
          <w:highlight w:val="green"/>
        </w:rPr>
        <w:t>40%</w:t>
      </w:r>
      <w:r w:rsidRPr="009C4A5A">
        <w:rPr>
          <w:sz w:val="16"/>
          <w:highlight w:val="green"/>
        </w:rPr>
        <w:t xml:space="preserve"> </w:t>
      </w:r>
      <w:r w:rsidRPr="00DD2D90">
        <w:rPr>
          <w:rStyle w:val="StyleUnderline"/>
          <w:highlight w:val="green"/>
        </w:rPr>
        <w:t>of multinational profits are shifted to low-tax countries each year</w:t>
      </w:r>
      <w:r w:rsidRPr="009C4A5A">
        <w:rPr>
          <w:sz w:val="16"/>
        </w:rPr>
        <w:t xml:space="preserve">” ([21], p.34). It has been calculated that </w:t>
      </w:r>
      <w:r w:rsidRPr="00DD2D90">
        <w:rPr>
          <w:rStyle w:val="StyleUnderline"/>
        </w:rPr>
        <w:t xml:space="preserve">500 of </w:t>
      </w:r>
      <w:r w:rsidRPr="00DD2D90">
        <w:rPr>
          <w:rStyle w:val="StyleUnderline"/>
          <w:highlight w:val="green"/>
        </w:rPr>
        <w:t>the largest US firms are holding “2.1 trillion offshore</w:t>
      </w:r>
      <w:r w:rsidRPr="00DD2D90">
        <w:rPr>
          <w:rStyle w:val="StyleUnderline"/>
        </w:rPr>
        <w:t xml:space="preserve">, </w:t>
      </w:r>
      <w:r w:rsidRPr="00DD2D90">
        <w:rPr>
          <w:rStyle w:val="StyleUnderline"/>
          <w:highlight w:val="green"/>
        </w:rPr>
        <w:t>avoiding</w:t>
      </w:r>
      <w:r w:rsidRPr="00DD2D90">
        <w:rPr>
          <w:rStyle w:val="StyleUnderline"/>
        </w:rPr>
        <w:t xml:space="preserve"> an estimated </w:t>
      </w:r>
      <w:r w:rsidRPr="00DD2D90">
        <w:rPr>
          <w:rStyle w:val="Emphasis"/>
          <w:highlight w:val="green"/>
        </w:rPr>
        <w:t>$520 billion</w:t>
      </w:r>
      <w:r w:rsidRPr="00DD2D90">
        <w:rPr>
          <w:rStyle w:val="StyleUnderline"/>
          <w:highlight w:val="green"/>
        </w:rPr>
        <w:t xml:space="preserve"> tax liability</w:t>
      </w:r>
      <w:r w:rsidRPr="009C4A5A">
        <w:rPr>
          <w:sz w:val="16"/>
        </w:rPr>
        <w:t xml:space="preserve">” ([22], p.228). The increased prevalence of tax avoidance by TNCs means that </w:t>
      </w:r>
      <w:r w:rsidRPr="00DD2D90">
        <w:rPr>
          <w:rStyle w:val="StyleUnderline"/>
        </w:rPr>
        <w:t xml:space="preserve">public budgets are further stretched to provide </w:t>
      </w:r>
      <w:r w:rsidRPr="00DD2D90">
        <w:rPr>
          <w:rStyle w:val="Emphasis"/>
        </w:rPr>
        <w:t>social goods</w:t>
      </w:r>
      <w:r w:rsidRPr="009C4A5A">
        <w:rPr>
          <w:sz w:val="16"/>
        </w:rPr>
        <w:t xml:space="preserve"> and services. “As global GDP rose over the past decade, </w:t>
      </w:r>
      <w:r w:rsidRPr="00DD2D90">
        <w:rPr>
          <w:rStyle w:val="StyleUnderline"/>
          <w:highlight w:val="green"/>
        </w:rPr>
        <w:t>global tax revenues</w:t>
      </w:r>
      <w:r w:rsidRPr="00DD2D90">
        <w:rPr>
          <w:rStyle w:val="StyleUnderline"/>
        </w:rPr>
        <w:t xml:space="preserve">, as a portion of global GDP, </w:t>
      </w:r>
      <w:r w:rsidRPr="00DD2D90">
        <w:rPr>
          <w:rStyle w:val="StyleUnderline"/>
          <w:highlight w:val="green"/>
        </w:rPr>
        <w:t>fell from 15.7%</w:t>
      </w:r>
      <w:r w:rsidRPr="00DD2D90">
        <w:rPr>
          <w:rStyle w:val="StyleUnderline"/>
        </w:rPr>
        <w:t xml:space="preserve"> in 2001 to </w:t>
      </w:r>
      <w:r w:rsidRPr="00DD2D90">
        <w:rPr>
          <w:rStyle w:val="StyleUnderline"/>
          <w:highlight w:val="green"/>
        </w:rPr>
        <w:t>13.6% in 2010</w:t>
      </w:r>
      <w:r w:rsidRPr="00DD2D90">
        <w:rPr>
          <w:rStyle w:val="StyleUnderline"/>
        </w:rPr>
        <w:t>, corresponding to a loss of US$1.4 trillion in rev- enue, enough to finance UHC</w:t>
      </w:r>
      <w:r w:rsidRPr="009C4A5A">
        <w:rPr>
          <w:sz w:val="16"/>
        </w:rPr>
        <w:t xml:space="preserve"> at current estimates” ([20], p.279). Financialized capitalism also is predicated on the con- cept of shareholder value: those who invest in shares in firms expect that the firm’s profits will increase the rate of return on their investment. Shareholder value is assessed quarterly, which biases decision making toward short-term gains. As Durand and Milberg ([21], p.34) point out, “US firms in particular have had high levels of profit and cash flow in the past 15 to 20 years associated with a disproportionately large payout to shareholders in the form of dividends and share buybacks and sluggish investment.” </w:t>
      </w:r>
      <w:r w:rsidRPr="00DD2D90">
        <w:rPr>
          <w:rStyle w:val="StyleUnderline"/>
        </w:rPr>
        <w:t xml:space="preserve">Pressures to deliver </w:t>
      </w:r>
      <w:r w:rsidRPr="00DD2D90">
        <w:rPr>
          <w:rStyle w:val="StyleUnderline"/>
          <w:highlight w:val="green"/>
        </w:rPr>
        <w:t>shareholder value</w:t>
      </w:r>
      <w:r w:rsidRPr="009C4A5A">
        <w:rPr>
          <w:sz w:val="16"/>
          <w:highlight w:val="green"/>
        </w:rPr>
        <w:t xml:space="preserve"> </w:t>
      </w:r>
      <w:r w:rsidRPr="00DD2D90">
        <w:rPr>
          <w:rStyle w:val="StyleUnderline"/>
          <w:highlight w:val="green"/>
        </w:rPr>
        <w:t>mean</w:t>
      </w:r>
      <w:r w:rsidRPr="009C4A5A">
        <w:rPr>
          <w:sz w:val="16"/>
        </w:rPr>
        <w:t xml:space="preserve"> that these </w:t>
      </w:r>
      <w:r w:rsidRPr="00DD2D90">
        <w:rPr>
          <w:rStyle w:val="StyleUnderline"/>
          <w:highlight w:val="green"/>
        </w:rPr>
        <w:t>firms</w:t>
      </w:r>
      <w:r w:rsidRPr="009C4A5A">
        <w:rPr>
          <w:sz w:val="16"/>
        </w:rPr>
        <w:t xml:space="preserve"> have incentives to “</w:t>
      </w:r>
      <w:r w:rsidRPr="00DD2D90">
        <w:rPr>
          <w:rStyle w:val="StyleUnderline"/>
          <w:highlight w:val="green"/>
        </w:rPr>
        <w:t>reduce their physical and labor footprint</w:t>
      </w:r>
      <w:r w:rsidRPr="00DD2D90">
        <w:rPr>
          <w:rStyle w:val="StyleUnderline"/>
        </w:rPr>
        <w:t xml:space="preserve"> in order </w:t>
      </w:r>
      <w:r w:rsidRPr="00DD2D90">
        <w:rPr>
          <w:rStyle w:val="StyleUnderline"/>
          <w:highlight w:val="green"/>
        </w:rPr>
        <w:t>to maximize returns</w:t>
      </w:r>
      <w:r w:rsidRPr="00DD2D90">
        <w:rPr>
          <w:rStyle w:val="StyleUnderline"/>
        </w:rPr>
        <w:t xml:space="preserve"> on a much smaller set of physical assets</w:t>
      </w:r>
      <w:r w:rsidRPr="009C4A5A">
        <w:rPr>
          <w:sz w:val="16"/>
        </w:rPr>
        <w:t xml:space="preserve">” ([23], p.209). For in- stance, in 2014, 14 of the 15 US-based </w:t>
      </w:r>
      <w:r w:rsidRPr="00DD2D90">
        <w:rPr>
          <w:rStyle w:val="StyleUnderline"/>
          <w:highlight w:val="green"/>
        </w:rPr>
        <w:t>firms</w:t>
      </w:r>
      <w:r w:rsidRPr="00DD2D90">
        <w:rPr>
          <w:rStyle w:val="StyleUnderline"/>
        </w:rPr>
        <w:t xml:space="preserve"> with the largest cash holdings</w:t>
      </w:r>
      <w:r w:rsidRPr="009C4A5A">
        <w:rPr>
          <w:sz w:val="16"/>
        </w:rPr>
        <w:t xml:space="preserve"> were firms that “</w:t>
      </w:r>
      <w:r w:rsidRPr="00DD2D90">
        <w:rPr>
          <w:rStyle w:val="StyleUnderline"/>
          <w:highlight w:val="green"/>
        </w:rPr>
        <w:t>rely on</w:t>
      </w:r>
      <w:r w:rsidRPr="00DD2D90">
        <w:rPr>
          <w:rStyle w:val="StyleUnderline"/>
        </w:rPr>
        <w:t xml:space="preserve"> </w:t>
      </w:r>
      <w:r w:rsidRPr="00DD2D90">
        <w:rPr>
          <w:rStyle w:val="StyleUnderline"/>
          <w:highlight w:val="green"/>
        </w:rPr>
        <w:t>i</w:t>
      </w:r>
      <w:r w:rsidRPr="00DD2D90">
        <w:rPr>
          <w:rStyle w:val="StyleUnderline"/>
        </w:rPr>
        <w:t xml:space="preserve">ntellectual </w:t>
      </w:r>
      <w:r w:rsidRPr="00DD2D90">
        <w:rPr>
          <w:rStyle w:val="StyleUnderline"/>
          <w:highlight w:val="green"/>
        </w:rPr>
        <w:t>p</w:t>
      </w:r>
      <w:r w:rsidRPr="00DD2D90">
        <w:rPr>
          <w:rStyle w:val="StyleUnderline"/>
        </w:rPr>
        <w:t>roperty rights for their profitability</w:t>
      </w:r>
      <w:r w:rsidRPr="009C4A5A">
        <w:rPr>
          <w:sz w:val="16"/>
        </w:rPr>
        <w:t xml:space="preserve">” ([23], p.204). The top ten US firms by cash holdings in 2014 were all either Big Tech (with Apple in the lead) or Big Pharma [23]. </w:t>
      </w:r>
      <w:r w:rsidRPr="00DD2D90">
        <w:rPr>
          <w:rStyle w:val="StyleUnderline"/>
        </w:rPr>
        <w:t xml:space="preserve">Monopoly power can promote economic </w:t>
      </w:r>
      <w:r w:rsidRPr="00DD2D90">
        <w:rPr>
          <w:rStyle w:val="Emphasis"/>
        </w:rPr>
        <w:t>stagnation</w:t>
      </w:r>
      <w:r w:rsidRPr="00DD2D90">
        <w:rPr>
          <w:rStyle w:val="StyleUnderline"/>
        </w:rPr>
        <w:t xml:space="preserve"> to the extent that </w:t>
      </w:r>
      <w:r w:rsidRPr="00DD2D90">
        <w:rPr>
          <w:rStyle w:val="StyleUnderline"/>
          <w:highlight w:val="green"/>
        </w:rPr>
        <w:t>firms</w:t>
      </w:r>
      <w:r w:rsidRPr="00DD2D90">
        <w:rPr>
          <w:rStyle w:val="StyleUnderline"/>
        </w:rPr>
        <w:t xml:space="preserve"> relatively immune to competitive pressure </w:t>
      </w:r>
      <w:r w:rsidRPr="00DD2D90">
        <w:rPr>
          <w:rStyle w:val="StyleUnderline"/>
          <w:highlight w:val="green"/>
        </w:rPr>
        <w:t>are “less compelled to invest” in the real econ- omy</w:t>
      </w:r>
      <w:r w:rsidRPr="009C4A5A">
        <w:rPr>
          <w:sz w:val="16"/>
        </w:rPr>
        <w:t xml:space="preserve"> ([21], p.34). These trends have additional tax consequences. </w:t>
      </w:r>
      <w:r w:rsidRPr="00DD2D90">
        <w:rPr>
          <w:rStyle w:val="StyleUnderline"/>
        </w:rPr>
        <w:t xml:space="preserve">Re- duced labor and physical footprints </w:t>
      </w:r>
      <w:r w:rsidRPr="00DD2D90">
        <w:rPr>
          <w:rStyle w:val="StyleUnderline"/>
          <w:highlight w:val="green"/>
        </w:rPr>
        <w:t>mean a reduced tax base</w:t>
      </w:r>
      <w:r w:rsidRPr="00DD2D90">
        <w:rPr>
          <w:rStyle w:val="StyleUnderline"/>
        </w:rPr>
        <w:t xml:space="preserve"> </w:t>
      </w:r>
      <w:r w:rsidRPr="00DD2D90">
        <w:rPr>
          <w:rStyle w:val="StyleUnderline"/>
          <w:highlight w:val="green"/>
        </w:rPr>
        <w:t>from</w:t>
      </w:r>
      <w:r w:rsidRPr="00DD2D90">
        <w:rPr>
          <w:rStyle w:val="StyleUnderline"/>
        </w:rPr>
        <w:t xml:space="preserve"> immobile assets such as physical </w:t>
      </w:r>
      <w:r w:rsidRPr="00DD2D90">
        <w:rPr>
          <w:rStyle w:val="StyleUnderline"/>
          <w:highlight w:val="green"/>
        </w:rPr>
        <w:t>property</w:t>
      </w:r>
      <w:r w:rsidRPr="00DD2D90">
        <w:rPr>
          <w:rStyle w:val="StyleUnderline"/>
        </w:rPr>
        <w:t xml:space="preserve">, </w:t>
      </w:r>
      <w:r w:rsidRPr="00DD2D90">
        <w:rPr>
          <w:rStyle w:val="StyleUnderline"/>
          <w:highlight w:val="green"/>
        </w:rPr>
        <w:t>and income</w:t>
      </w:r>
      <w:r w:rsidRPr="00DD2D90">
        <w:rPr>
          <w:rStyle w:val="StyleUnderline"/>
        </w:rPr>
        <w:t xml:space="preserve"> </w:t>
      </w:r>
      <w:r w:rsidRPr="00DD2D90">
        <w:rPr>
          <w:rStyle w:val="StyleUnderline"/>
          <w:highlight w:val="green"/>
        </w:rPr>
        <w:t>tax</w:t>
      </w:r>
      <w:r w:rsidRPr="00DD2D90">
        <w:rPr>
          <w:rStyle w:val="StyleUnderline"/>
        </w:rPr>
        <w:t xml:space="preserve"> revenue is reduced on depressed wages</w:t>
      </w:r>
      <w:r w:rsidRPr="009C4A5A">
        <w:rPr>
          <w:sz w:val="16"/>
        </w:rPr>
        <w:t xml:space="preserve">. Governments keen on funding UHC in these circum- stances have sometimes turned toward indirect taxation, such as consumption taxes. However, Reeves et al. found that regressive consumption taxes were adversely associ- ated with child survival; by contrast, taxation on income, capital gains, and profits had a positive effect on health spending: “each $100 rise in taxation was correlated with an $16.70 increase in health expenditure from income, profits and capital gains” ([20], p., 275). These findings strongly support government efforts to shift from regres- sive consumption taxes to a focus on profits and capital gains. However, </w:t>
      </w:r>
      <w:r w:rsidRPr="00DD2D90">
        <w:rPr>
          <w:rStyle w:val="StyleUnderline"/>
          <w:highlight w:val="green"/>
        </w:rPr>
        <w:t>governments seeking to attract</w:t>
      </w:r>
      <w:r w:rsidRPr="00DD2D90">
        <w:rPr>
          <w:rStyle w:val="StyleUnderline"/>
        </w:rPr>
        <w:t xml:space="preserve"> </w:t>
      </w:r>
      <w:r w:rsidRPr="00DD2D90">
        <w:rPr>
          <w:rStyle w:val="Emphasis"/>
          <w:highlight w:val="green"/>
        </w:rPr>
        <w:t>f</w:t>
      </w:r>
      <w:r w:rsidRPr="00DD2D90">
        <w:rPr>
          <w:rStyle w:val="StyleUnderline"/>
        </w:rPr>
        <w:t xml:space="preserve">oreign </w:t>
      </w:r>
      <w:r w:rsidRPr="00DD2D90">
        <w:rPr>
          <w:rStyle w:val="Emphasis"/>
          <w:highlight w:val="green"/>
        </w:rPr>
        <w:t>d</w:t>
      </w:r>
      <w:r w:rsidRPr="00DD2D90">
        <w:rPr>
          <w:rStyle w:val="StyleUnderline"/>
        </w:rPr>
        <w:t xml:space="preserve">irect </w:t>
      </w:r>
      <w:r w:rsidRPr="00DD2D90">
        <w:rPr>
          <w:rStyle w:val="Emphasis"/>
          <w:highlight w:val="green"/>
        </w:rPr>
        <w:t>i</w:t>
      </w:r>
      <w:r w:rsidRPr="00DD2D90">
        <w:rPr>
          <w:rStyle w:val="StyleUnderline"/>
        </w:rPr>
        <w:t>nvestment</w:t>
      </w:r>
      <w:r w:rsidRPr="009C4A5A">
        <w:rPr>
          <w:sz w:val="16"/>
        </w:rPr>
        <w:t xml:space="preserve"> often </w:t>
      </w:r>
      <w:r w:rsidRPr="00DD2D90">
        <w:rPr>
          <w:rStyle w:val="StyleUnderline"/>
          <w:highlight w:val="green"/>
        </w:rPr>
        <w:t>fear</w:t>
      </w:r>
      <w:r w:rsidRPr="009C4A5A">
        <w:rPr>
          <w:sz w:val="16"/>
        </w:rPr>
        <w:t xml:space="preserve"> that such </w:t>
      </w:r>
      <w:r w:rsidRPr="00DD2D90">
        <w:rPr>
          <w:rStyle w:val="StyleUnderline"/>
          <w:highlight w:val="green"/>
        </w:rPr>
        <w:t>tax</w:t>
      </w:r>
      <w:r w:rsidRPr="009C4A5A">
        <w:rPr>
          <w:sz w:val="16"/>
        </w:rPr>
        <w:t xml:space="preserve"> </w:t>
      </w:r>
      <w:r w:rsidRPr="00DD2D90">
        <w:rPr>
          <w:rStyle w:val="StyleUnderline"/>
        </w:rPr>
        <w:t xml:space="preserve">policies </w:t>
      </w:r>
      <w:r w:rsidRPr="00DD2D90">
        <w:rPr>
          <w:rStyle w:val="StyleUnderline"/>
          <w:highlight w:val="green"/>
        </w:rPr>
        <w:t>might deter investors</w:t>
      </w:r>
      <w:r w:rsidRPr="009C4A5A">
        <w:rPr>
          <w:sz w:val="16"/>
        </w:rPr>
        <w:t xml:space="preserve">. Thus political and economic pressures may serve as disincentives for adopting optimal policies for UHC. At the micro-level, financialized capitalism looms large in the daily experiences of more and more households— what van der Zwan calls the “financialization of the every day,” which includes “a shift towards financial markets for the provision of people’s basic needs” ([10], p., 111). The culture of individual responsibility for out- comes “places the merits of success and the burdens of failure on isolated individuals, and suggests that the resolution of every social problem requires further individualization and financialization of social provision and intercourse” ([24], p.697). These trends have effect- ively redefined “the citizen as a consumer of a bundle of services rather than a member of society with collective obligations and rights” ([19], p.354). The discourse of “self-regulation” has been powerful, accompanied by “the legitimating narratives about democratization of finance and marketization of risk” ([17], p.101). Consumer credit, mortgage loans, retail in- vestment banking, microfinance initiatives, and add- itional initiatives to promote financial inclusion are all aspects of this terrain. The “democratization of finance” refers to the increased availability of credit for con- sumers and deeper integration of the middle and work- ing classes into the financial system. Consumers are bound to financial markets through credit-card debt, home mortgages, student loans, and the increased indi- vidual responsibility for providing for their own retire- ment. This has made ordinary citizens more dependent on the success of the financial sector overall, and debt- financed consumer demand has been driving economic growth in the USA and the UK [19]. Households at the middle and lower end of the in- come scale have increasingly financed their expenses by assuming mortgage and credit-card debt: “between 2003 and 2007, US consumer debt more than doubled” ([25], p.17). As De Vogli and Owusu ([25], p., 17) point out, “while promoting consumers’ indebtedness, times of high economic inequalities provide the wealthy with large amounts of surplus capital to invest in short-term gains and highly speculative financial assets.” According to Lavinas ([26], p., 504), “debt appears to be essential to survive or to thrive, to escape poverty as well as enjoy economic security. In parallel, redistributive conflicts will continue to be masked by growing access to credit and loans.” In recent years “financial inclusion” has become a prominent approach to pro-poor development policies. Poverty has been re-imagined as the lack of access to a bank; “‘public’ has become increasingly private and has been taken over by finance” ([26], pp.508, 503). Micro- credits, microfinance, and conditional cash transfers have expanded throughout the global economy, at the expense of “a risk-sharing system based on progressive taxation and comprehensive welfare systems” ([26], p.512). “Monetized debt relationships are becoming in- creasingly prominent in people’s daily lives, via the growth of consumer debt, microcredit initiatives, savings clubs and debt collection agencies” ([27], p.2). As Mader points out, “inclusive financial markets by no means automatically offer poor people a ‘fair’ deal; they gener- ally offer lower-quality services at higher prices” ([28], p.464). Households and individuals experience the finan- cialization of the everyday through price pressure, low incomes, debt obligations, and job insecurity. The financialization of health is evident in the issuance of Ebola Bonds to fund pandemic risk, and the dramatic spike in crowdfunding for health care. Both examples highlight the lack of more sustainable alternatives of public provision. In a financial world of mobile capital, “trading can easily be extended and there is a perpetual search for the next ‘new, new thing’” ([15], p., 47). It seems we are witnessing the financialization of every- thing, with banks issuing “cat bonds” for catastrophic climate-related disasters, or the World Bank’s Pandemic Emergency Funding Facility that allows investors to pur- chase “Ebola bonds” [27]. The World Bank raised US $320 million for pandemic bonds; its president Jim Young Kim explained that the initiative was a way of “le- veraging our capital market expertise to serve the world’s poorest’” [29]. The rise of so-called Social Impact Bonds supports the goal of narrowing public services ex- penditure gaps by making ethical profits [26]. However, the Ebola Bonds have failed to pay out, and critics have noted the opportunity costs of relying on such schemes. As Bodo Ellmers of the European Network on Debt and Development stated, “‘the financialization of risks is a new avenue for the privatization of profits and the socialization of losses; it would be better if donors funded the necessary assistance directly’” [29]. Tim Jones of the Jubilee Debt Campaign concluded that under these schemes “‘the pub- lic sector is always likely to lose’” [29]. Crowdfunding through platforms such as GoFundMe and KickStarter raised “US $16.2 billion in 2014, up 167% from US $6.1 billion the previous year” ([30], p.48). GoFundMe, one of the largest crowdfunding for- ums, “raised US $147 million for medically-related pro- jects in 2014, up from US $6 million in 2012” ([30], p.50). The most popular segment of these platforms con- cerns health-related expenses for patients unable to af- ford medical services or products such as cataract surgery, chemotherapy, and household accessibility ad- aptations, (26% of all donations) [30]. While some may see this trend as positive because it increases participation in healthcare, it also points to massive structural failure that denies individuals viable alternatives. In the USA, crowdfunding has been found to avert between 114 and 136 bankruptcies per quarter (medical expenses were the leading cause of US bank- ruptcies in 2014); “a higher proportion of these US med- ical expense campaigns are hosted by patients located in states without the Affordable Care Act Medicaid expan- sion” ([30], p.51). Clearly, the surge in crowdfunding is symptomatic of “a failure of publicly-funded health sys- tems” ([31], p.240). Twenty-first-century trade, intangibles and global value Chains </w:t>
      </w:r>
    </w:p>
    <w:p w14:paraId="2B817AE5" w14:textId="77777777" w:rsidR="00BA7515" w:rsidRPr="009C4A5A" w:rsidRDefault="00BA7515" w:rsidP="00BA7515">
      <w:pPr>
        <w:rPr>
          <w:rFonts w:eastAsiaTheme="majorEastAsia" w:cstheme="majorBidi"/>
          <w:b/>
          <w:iCs/>
          <w:sz w:val="16"/>
        </w:rPr>
      </w:pPr>
      <w:r w:rsidRPr="009C4A5A">
        <w:rPr>
          <w:sz w:val="16"/>
        </w:rPr>
        <w:br w:type="page"/>
      </w:r>
    </w:p>
    <w:p w14:paraId="43F50778" w14:textId="36A3CCE6" w:rsidR="007C1D60" w:rsidRPr="009C4A5A" w:rsidRDefault="007C1D60" w:rsidP="007C1D60">
      <w:pPr>
        <w:pStyle w:val="Heading4"/>
        <w:rPr>
          <w:szCs w:val="26"/>
        </w:rPr>
      </w:pPr>
      <w:r w:rsidRPr="009C4A5A">
        <w:rPr>
          <w:szCs w:val="26"/>
        </w:rPr>
        <w:t>Public healthcare would require an additional $15.6 trillion increase in taxes</w:t>
      </w:r>
    </w:p>
    <w:p w14:paraId="0103F074" w14:textId="47E8C861" w:rsidR="007C1D60" w:rsidRPr="00DD2D90" w:rsidRDefault="007C1D60" w:rsidP="007C1D60">
      <w:pPr>
        <w:rPr>
          <w:b/>
          <w:bCs/>
        </w:rPr>
      </w:pPr>
      <w:r w:rsidRPr="009C4A5A">
        <w:rPr>
          <w:rStyle w:val="Style13ptBold"/>
          <w:szCs w:val="26"/>
        </w:rPr>
        <w:t>Blumberg et al. 19</w:t>
      </w:r>
      <w:r w:rsidRPr="00DD2D90">
        <w:rPr>
          <w:rStyle w:val="Style13ptBold"/>
          <w:sz w:val="22"/>
        </w:rPr>
        <w:t xml:space="preserve"> </w:t>
      </w:r>
      <w:r w:rsidRPr="00DD2D90">
        <w:t>[Linda J. Blumberg, Ph.D. UMich, John Holahan, Ph.D. in Economics from Georgetown, Matthew Buettgens, Ph.D in Math from New York State, Anuj Gangopadhyaya, Ph.D. in Economics from University of Illinois, Bowen Garrett, Ph.D in Economics from Columbia, Adele Shartzer, Ph.D in health services research from Bloomberg, Michael Simpson, principal research associate in the Health Policy Center at former CBO analyst, Robin Wang, research analyst in the Health Policy Center and MPA graduate at the London School of Economics and Political Science, Melissa M. Favreault, senior fellow in the Income and Benefits Policy Center at the Urban Institute with a PhD in sociology from Cornell University, and Diane Arnos, research assistant in the Health Policy Center and biology graduate from Tufts University, 10-2019, “From Incremental to Comprehensive Health Insurance Reform: How Various Reform Options Compare on Coverage and Costs”, Urban Institute, https://www.urban.org/sites/default/files/2019/10/15/from_incremental_to_comprehensive_health_insurance_reform-how_various_reform_options_compare_on_coverage_and_costs.pdf]/Kankee</w:t>
      </w:r>
    </w:p>
    <w:p w14:paraId="0F2C3715" w14:textId="77777777" w:rsidR="007C1D60" w:rsidRPr="009C4A5A" w:rsidRDefault="007C1D60" w:rsidP="007C1D60">
      <w:pPr>
        <w:rPr>
          <w:sz w:val="16"/>
        </w:rPr>
      </w:pPr>
      <w:r w:rsidRPr="00DD2D90">
        <w:rPr>
          <w:u w:val="single"/>
        </w:rPr>
        <w:t xml:space="preserve">The two </w:t>
      </w:r>
      <w:r w:rsidRPr="00DD2D90">
        <w:rPr>
          <w:highlight w:val="green"/>
          <w:u w:val="single"/>
        </w:rPr>
        <w:t xml:space="preserve">single-payer </w:t>
      </w:r>
      <w:r w:rsidRPr="00DD2D90">
        <w:rPr>
          <w:u w:val="single"/>
        </w:rPr>
        <w:t xml:space="preserve">approaches </w:t>
      </w:r>
      <w:r w:rsidRPr="00DD2D90">
        <w:rPr>
          <w:b/>
          <w:bCs/>
          <w:u w:val="single"/>
        </w:rPr>
        <w:t>prohibit private</w:t>
      </w:r>
      <w:r w:rsidRPr="00DD2D90">
        <w:rPr>
          <w:u w:val="single"/>
        </w:rPr>
        <w:t xml:space="preserve"> insurance, and everyone would be covered through a single federal plan without being charged premiums. Both </w:t>
      </w:r>
      <w:r w:rsidRPr="00DD2D90">
        <w:rPr>
          <w:highlight w:val="green"/>
          <w:u w:val="single"/>
        </w:rPr>
        <w:t xml:space="preserve">would add </w:t>
      </w:r>
      <w:r w:rsidRPr="00DD2D90">
        <w:rPr>
          <w:u w:val="single"/>
        </w:rPr>
        <w:t xml:space="preserve">considerably </w:t>
      </w:r>
      <w:r w:rsidRPr="00DD2D90">
        <w:rPr>
          <w:highlight w:val="green"/>
          <w:u w:val="single"/>
        </w:rPr>
        <w:t xml:space="preserve">to </w:t>
      </w:r>
      <w:r w:rsidRPr="00DD2D90">
        <w:rPr>
          <w:u w:val="single"/>
        </w:rPr>
        <w:t xml:space="preserve">federal </w:t>
      </w:r>
      <w:r w:rsidRPr="00DD2D90">
        <w:rPr>
          <w:highlight w:val="green"/>
          <w:u w:val="single"/>
        </w:rPr>
        <w:t>spending</w:t>
      </w:r>
      <w:r w:rsidRPr="00DD2D90">
        <w:rPr>
          <w:u w:val="single"/>
        </w:rPr>
        <w:t>.</w:t>
      </w:r>
      <w:r w:rsidRPr="009C4A5A">
        <w:rPr>
          <w:sz w:val="16"/>
        </w:rPr>
        <w:t xml:space="preserve"> The lite single-payer approach (with benefits consistent with the ACA and income-related cost-sharing requirements) pays providers at roughly the same rates as the current-law Medicare program and includes all legally present US residents but excludes undocumented immigrants (therefore, 10.8 million people remain uninsured in 2020). </w:t>
      </w:r>
      <w:r w:rsidRPr="00DD2D90">
        <w:rPr>
          <w:u w:val="single"/>
        </w:rPr>
        <w:t xml:space="preserve">Federal </w:t>
      </w:r>
      <w:r w:rsidRPr="00DD2D90">
        <w:rPr>
          <w:highlight w:val="green"/>
          <w:u w:val="single"/>
        </w:rPr>
        <w:t xml:space="preserve">spending under single-payer lite increases by </w:t>
      </w:r>
      <w:r w:rsidRPr="00DD2D90">
        <w:rPr>
          <w:rStyle w:val="Emphasis"/>
          <w:highlight w:val="green"/>
        </w:rPr>
        <w:t>$17.6</w:t>
      </w:r>
      <w:r w:rsidRPr="00DD2D90">
        <w:rPr>
          <w:highlight w:val="green"/>
          <w:u w:val="single"/>
        </w:rPr>
        <w:t xml:space="preserve"> </w:t>
      </w:r>
      <w:r w:rsidRPr="00DD2D90">
        <w:rPr>
          <w:rStyle w:val="Emphasis"/>
          <w:highlight w:val="green"/>
        </w:rPr>
        <w:t>trillion</w:t>
      </w:r>
      <w:r w:rsidRPr="00DD2D90">
        <w:rPr>
          <w:u w:val="single"/>
        </w:rPr>
        <w:t xml:space="preserve"> over 10 years. Net of increased income tax revenue, </w:t>
      </w:r>
      <w:r w:rsidRPr="00DD2D90">
        <w:rPr>
          <w:highlight w:val="green"/>
          <w:u w:val="single"/>
        </w:rPr>
        <w:t xml:space="preserve">an additional </w:t>
      </w:r>
      <w:r w:rsidRPr="00DD2D90">
        <w:rPr>
          <w:rStyle w:val="Emphasis"/>
          <w:highlight w:val="green"/>
        </w:rPr>
        <w:t>$15.6 trillion</w:t>
      </w:r>
      <w:r w:rsidRPr="00DD2D90">
        <w:rPr>
          <w:highlight w:val="green"/>
          <w:u w:val="single"/>
        </w:rPr>
        <w:t xml:space="preserve"> is needed </w:t>
      </w:r>
      <w:r w:rsidRPr="00DD2D90">
        <w:rPr>
          <w:u w:val="single"/>
        </w:rPr>
        <w:t xml:space="preserve">to finance the reforms over that period. The enhanced </w:t>
      </w:r>
      <w:r w:rsidRPr="00DD2D90">
        <w:rPr>
          <w:highlight w:val="green"/>
          <w:u w:val="single"/>
        </w:rPr>
        <w:t>single-payer</w:t>
      </w:r>
      <w:r w:rsidRPr="00DD2D90">
        <w:rPr>
          <w:u w:val="single"/>
        </w:rPr>
        <w:t xml:space="preserve"> approach </w:t>
      </w:r>
      <w:r w:rsidRPr="00DD2D90">
        <w:rPr>
          <w:highlight w:val="green"/>
          <w:u w:val="single"/>
        </w:rPr>
        <w:t xml:space="preserve">eliminates </w:t>
      </w:r>
      <w:r w:rsidRPr="00DD2D90">
        <w:rPr>
          <w:u w:val="single"/>
        </w:rPr>
        <w:t xml:space="preserve">all </w:t>
      </w:r>
      <w:r w:rsidRPr="00DD2D90">
        <w:rPr>
          <w:highlight w:val="green"/>
          <w:u w:val="single"/>
        </w:rPr>
        <w:t>cost-sharing</w:t>
      </w:r>
      <w:r w:rsidRPr="00DD2D90">
        <w:rPr>
          <w:u w:val="single"/>
        </w:rPr>
        <w:t xml:space="preserve">, </w:t>
      </w:r>
      <w:r w:rsidRPr="00DD2D90">
        <w:rPr>
          <w:highlight w:val="green"/>
          <w:u w:val="single"/>
        </w:rPr>
        <w:t>offers broad</w:t>
      </w:r>
      <w:r w:rsidRPr="00DD2D90">
        <w:rPr>
          <w:u w:val="single"/>
        </w:rPr>
        <w:t xml:space="preserve">er </w:t>
      </w:r>
      <w:r w:rsidRPr="00DD2D90">
        <w:rPr>
          <w:highlight w:val="green"/>
          <w:u w:val="single"/>
        </w:rPr>
        <w:t>benefits</w:t>
      </w:r>
      <w:r w:rsidRPr="00DD2D90">
        <w:rPr>
          <w:u w:val="single"/>
        </w:rPr>
        <w:t xml:space="preserve">, </w:t>
      </w:r>
      <w:r w:rsidRPr="00DD2D90">
        <w:rPr>
          <w:highlight w:val="green"/>
          <w:u w:val="single"/>
        </w:rPr>
        <w:t>and includes</w:t>
      </w:r>
      <w:r w:rsidRPr="00DD2D90">
        <w:rPr>
          <w:u w:val="single"/>
        </w:rPr>
        <w:t xml:space="preserve"> all US residents, including </w:t>
      </w:r>
      <w:r w:rsidRPr="00DD2D90">
        <w:rPr>
          <w:highlight w:val="green"/>
          <w:u w:val="single"/>
        </w:rPr>
        <w:t>undocumented immigrants</w:t>
      </w:r>
      <w:r w:rsidRPr="00DD2D90">
        <w:rPr>
          <w:u w:val="single"/>
        </w:rPr>
        <w:t>.</w:t>
      </w:r>
      <w:r w:rsidRPr="009C4A5A">
        <w:rPr>
          <w:sz w:val="16"/>
        </w:rPr>
        <w:t xml:space="preserve"> Uninsurance is thereby eliminated, providing 32.2 million more people with insurance coverage than under current law in 2020. </w:t>
      </w:r>
      <w:r w:rsidRPr="00DD2D90">
        <w:rPr>
          <w:highlight w:val="green"/>
          <w:u w:val="single"/>
        </w:rPr>
        <w:t>The additional</w:t>
      </w:r>
      <w:r w:rsidRPr="00DD2D90">
        <w:rPr>
          <w:u w:val="single"/>
        </w:rPr>
        <w:t xml:space="preserve"> federal </w:t>
      </w:r>
      <w:r w:rsidRPr="00DD2D90">
        <w:rPr>
          <w:highlight w:val="green"/>
          <w:u w:val="single"/>
        </w:rPr>
        <w:t>spending</w:t>
      </w:r>
      <w:r w:rsidRPr="00DD2D90">
        <w:rPr>
          <w:u w:val="single"/>
        </w:rPr>
        <w:t xml:space="preserve"> for this reform </w:t>
      </w:r>
      <w:r w:rsidRPr="00DD2D90">
        <w:rPr>
          <w:highlight w:val="green"/>
          <w:u w:val="single"/>
        </w:rPr>
        <w:t xml:space="preserve">is </w:t>
      </w:r>
      <w:r w:rsidRPr="00DD2D90">
        <w:rPr>
          <w:rStyle w:val="Emphasis"/>
          <w:highlight w:val="green"/>
        </w:rPr>
        <w:t>$34.0 trillion</w:t>
      </w:r>
      <w:r w:rsidRPr="00DD2D90">
        <w:rPr>
          <w:u w:val="single"/>
        </w:rPr>
        <w:t xml:space="preserve"> over 10 years, or $32.0 trillion after tax offsets. </w:t>
      </w:r>
      <w:r w:rsidRPr="00DD2D90">
        <w:rPr>
          <w:highlight w:val="green"/>
          <w:u w:val="single"/>
        </w:rPr>
        <w:t xml:space="preserve">Higher </w:t>
      </w:r>
      <w:r w:rsidRPr="00DD2D90">
        <w:rPr>
          <w:u w:val="single"/>
        </w:rPr>
        <w:t xml:space="preserve">provider </w:t>
      </w:r>
      <w:r w:rsidRPr="00DD2D90">
        <w:rPr>
          <w:highlight w:val="green"/>
          <w:u w:val="single"/>
        </w:rPr>
        <w:t>payment rates</w:t>
      </w:r>
      <w:r w:rsidRPr="00DD2D90">
        <w:rPr>
          <w:u w:val="single"/>
        </w:rPr>
        <w:t xml:space="preserve"> for hospitals (Medicare rates plus 40 percent, rather than 15 percent) </w:t>
      </w:r>
      <w:r w:rsidRPr="00DD2D90">
        <w:rPr>
          <w:highlight w:val="green"/>
          <w:u w:val="single"/>
        </w:rPr>
        <w:t>adds</w:t>
      </w:r>
      <w:r w:rsidRPr="00DD2D90">
        <w:rPr>
          <w:u w:val="single"/>
        </w:rPr>
        <w:t xml:space="preserve"> </w:t>
      </w:r>
      <w:r w:rsidRPr="00DD2D90">
        <w:rPr>
          <w:rStyle w:val="Emphasis"/>
        </w:rPr>
        <w:t>$1.6 trillion</w:t>
      </w:r>
      <w:r w:rsidRPr="00DD2D90">
        <w:rPr>
          <w:u w:val="single"/>
        </w:rPr>
        <w:t xml:space="preserve"> to single-payer lite and </w:t>
      </w:r>
      <w:r w:rsidRPr="00DD2D90">
        <w:rPr>
          <w:highlight w:val="green"/>
          <w:u w:val="single"/>
        </w:rPr>
        <w:t xml:space="preserve">$2.9 trillion </w:t>
      </w:r>
      <w:r w:rsidRPr="00DD2D90">
        <w:rPr>
          <w:u w:val="single"/>
        </w:rPr>
        <w:t>to single-payer enhanced over 10 years.</w:t>
      </w:r>
      <w:r w:rsidRPr="009C4A5A">
        <w:rPr>
          <w:sz w:val="16"/>
        </w:rPr>
        <w:t xml:space="preserve"> Net federal spending under a single-payer reform is lower if states must contribute to the costs through a maintenance-of-effort requirement. If states contribute an amount approximating what they would have spent on Medicaid/CHIP without further reforms (but with spending growing more slowly, consistent with gross domestic product), net federal spending over 10 years is $2.4 trillion lower under single-payer lite and $3.0 trillion lower under single-payer enhanced. We also provide a sensitivity estimate to our base assumption of 6 percent administrative costs necessary to effectively run a single- payer system. A 3 percent, instead of 6 percent, administrative load reduces the federal spending associated with single-payer lite by $1.0 trillion over 10 years and by $1.4 trillion over 10 years for single-payer enhanced. Income tax revenue offsets for any of these sensitivity analysis calculations amount to $2.0 trillion over 10 years.</w:t>
      </w:r>
    </w:p>
    <w:p w14:paraId="75081A98" w14:textId="77777777" w:rsidR="00B0589A" w:rsidRPr="009C4A5A" w:rsidRDefault="00B0589A">
      <w:pPr>
        <w:rPr>
          <w:rFonts w:eastAsiaTheme="majorEastAsia" w:cstheme="majorBidi"/>
          <w:b/>
          <w:iCs/>
          <w:sz w:val="16"/>
        </w:rPr>
      </w:pPr>
      <w:r w:rsidRPr="009C4A5A">
        <w:rPr>
          <w:sz w:val="16"/>
        </w:rPr>
        <w:br w:type="page"/>
      </w:r>
    </w:p>
    <w:p w14:paraId="5291AD91" w14:textId="2BF1A7B4" w:rsidR="007C1D60" w:rsidRPr="009C4A5A" w:rsidRDefault="007C1D60" w:rsidP="007C1D60">
      <w:pPr>
        <w:pStyle w:val="Heading4"/>
        <w:rPr>
          <w:szCs w:val="26"/>
        </w:rPr>
      </w:pPr>
      <w:r w:rsidRPr="009C4A5A">
        <w:rPr>
          <w:szCs w:val="26"/>
        </w:rPr>
        <w:t>Broad increases in taxes cause a decrease in productivity and an increase in unemployment</w:t>
      </w:r>
    </w:p>
    <w:p w14:paraId="39BC86D7" w14:textId="77777777" w:rsidR="007C1D60" w:rsidRPr="00DD2D90" w:rsidRDefault="007C1D60" w:rsidP="007C1D60">
      <w:pPr>
        <w:rPr>
          <w:b/>
          <w:bCs/>
        </w:rPr>
      </w:pPr>
      <w:r w:rsidRPr="009C4A5A">
        <w:rPr>
          <w:rStyle w:val="Style13ptBold"/>
          <w:szCs w:val="26"/>
        </w:rPr>
        <w:t>Demirel 20</w:t>
      </w:r>
      <w:r w:rsidRPr="00DD2D90">
        <w:rPr>
          <w:rStyle w:val="Style13ptBold"/>
          <w:sz w:val="22"/>
        </w:rPr>
        <w:t xml:space="preserve"> </w:t>
      </w:r>
      <w:r w:rsidRPr="00DD2D90">
        <w:t>[Ufuk Devrim Demirel, PhD Economics University of Virginia and Director of Macroeconomic Analysis at the U.S. Congressional Budget Office, 8-2020, “Labor Market Effects of Tax Changes in Times of High and Low Unemployment”, Congressional Budget Office, https://www.cbo.gov/system/files/2020-08/56522-Working-Paper-2020-05.pdf]/Kankee</w:t>
      </w:r>
    </w:p>
    <w:p w14:paraId="108DC6EB" w14:textId="77777777" w:rsidR="007C1D60" w:rsidRPr="009C4A5A" w:rsidRDefault="007C1D60" w:rsidP="007C1D60">
      <w:pPr>
        <w:rPr>
          <w:sz w:val="16"/>
        </w:rPr>
      </w:pPr>
      <w:r w:rsidRPr="009C4A5A">
        <w:rPr>
          <w:sz w:val="16"/>
        </w:rPr>
        <w:t xml:space="preserve">Figure 3 shows the responses of the labor market variables to a shock that increases the tax rate  t by 1 percentage point in the initial period. The tax rate then gradually reverts back to its balanced growth path level following the law of motion (32). The responses of the unemployment and labor force participation rates are expressed as percentage-point changes from their balanced growth path levels, and those of the remaining variables are expressed as percentage changes. </w:t>
      </w:r>
      <w:r w:rsidRPr="00DD2D90">
        <w:rPr>
          <w:b/>
          <w:bCs/>
          <w:u w:val="single"/>
        </w:rPr>
        <w:t xml:space="preserve">The </w:t>
      </w:r>
      <w:r w:rsidRPr="00DD2D90">
        <w:rPr>
          <w:b/>
          <w:bCs/>
          <w:highlight w:val="green"/>
          <w:u w:val="single"/>
        </w:rPr>
        <w:t>increase in</w:t>
      </w:r>
      <w:r w:rsidRPr="00DD2D90">
        <w:rPr>
          <w:b/>
          <w:bCs/>
          <w:u w:val="single"/>
        </w:rPr>
        <w:t xml:space="preserve"> the </w:t>
      </w:r>
      <w:r w:rsidRPr="00DD2D90">
        <w:rPr>
          <w:b/>
          <w:bCs/>
          <w:highlight w:val="green"/>
          <w:u w:val="single"/>
        </w:rPr>
        <w:t>tax</w:t>
      </w:r>
      <w:r w:rsidRPr="00DD2D90">
        <w:rPr>
          <w:b/>
          <w:bCs/>
          <w:u w:val="single"/>
        </w:rPr>
        <w:t xml:space="preserve"> rate </w:t>
      </w:r>
      <w:r w:rsidRPr="00DD2D90">
        <w:rPr>
          <w:b/>
          <w:bCs/>
          <w:highlight w:val="green"/>
          <w:u w:val="single"/>
        </w:rPr>
        <w:t>reduces</w:t>
      </w:r>
      <w:r w:rsidRPr="00DD2D90">
        <w:rPr>
          <w:b/>
          <w:bCs/>
          <w:u w:val="single"/>
        </w:rPr>
        <w:t xml:space="preserve"> the </w:t>
      </w:r>
      <w:r w:rsidRPr="00DD2D90">
        <w:rPr>
          <w:b/>
          <w:bCs/>
          <w:highlight w:val="green"/>
          <w:u w:val="single"/>
        </w:rPr>
        <w:t>return to work.</w:t>
      </w:r>
      <w:r w:rsidRPr="00DD2D90">
        <w:rPr>
          <w:highlight w:val="green"/>
          <w:u w:val="single"/>
        </w:rPr>
        <w:t xml:space="preserve"> Facing lower after-tax wages, households reduce search activity</w:t>
      </w:r>
      <w:r w:rsidRPr="00DD2D90">
        <w:rPr>
          <w:u w:val="single"/>
        </w:rPr>
        <w:t xml:space="preserve"> in the initial period, </w:t>
      </w:r>
      <w:r w:rsidRPr="00DD2D90">
        <w:rPr>
          <w:highlight w:val="green"/>
          <w:u w:val="single"/>
        </w:rPr>
        <w:t>and labor force participation decreases</w:t>
      </w:r>
      <w:r w:rsidRPr="00DD2D90">
        <w:rPr>
          <w:u w:val="single"/>
        </w:rPr>
        <w:t xml:space="preserve"> slightly. </w:t>
      </w:r>
      <w:r w:rsidRPr="00DD2D90">
        <w:rPr>
          <w:highlight w:val="green"/>
          <w:u w:val="single"/>
        </w:rPr>
        <w:t>Lower after-tax wages also result in</w:t>
      </w:r>
      <w:r w:rsidRPr="00DD2D90">
        <w:rPr>
          <w:u w:val="single"/>
        </w:rPr>
        <w:t xml:space="preserve"> a smaller </w:t>
      </w:r>
      <w:r w:rsidRPr="00DD2D90">
        <w:rPr>
          <w:highlight w:val="green"/>
          <w:u w:val="single"/>
        </w:rPr>
        <w:t>loss of utility</w:t>
      </w:r>
      <w:r w:rsidRPr="00DD2D90">
        <w:rPr>
          <w:u w:val="single"/>
        </w:rPr>
        <w:t xml:space="preserve"> for workers in the event of shirking and dismissal, </w:t>
      </w:r>
      <w:r w:rsidRPr="00DD2D90">
        <w:rPr>
          <w:highlight w:val="green"/>
          <w:u w:val="single"/>
        </w:rPr>
        <w:t xml:space="preserve">thereby </w:t>
      </w:r>
      <w:r w:rsidRPr="00DD2D90">
        <w:rPr>
          <w:b/>
          <w:bCs/>
          <w:highlight w:val="green"/>
          <w:u w:val="single"/>
        </w:rPr>
        <w:t>weakening</w:t>
      </w:r>
      <w:r w:rsidRPr="00DD2D90">
        <w:rPr>
          <w:b/>
          <w:bCs/>
          <w:u w:val="single"/>
        </w:rPr>
        <w:t xml:space="preserve"> their </w:t>
      </w:r>
      <w:r w:rsidRPr="00DD2D90">
        <w:rPr>
          <w:b/>
          <w:bCs/>
          <w:highlight w:val="green"/>
          <w:u w:val="single"/>
        </w:rPr>
        <w:t>incentives to put forth effort at work</w:t>
      </w:r>
      <w:r w:rsidRPr="009C4A5A">
        <w:rPr>
          <w:sz w:val="16"/>
        </w:rPr>
        <w:t xml:space="preserve"> and increasing the amount of monitoring a firm must practice to elicit effort from its employees, as (18) suggests. </w:t>
      </w:r>
      <w:r w:rsidRPr="00DD2D90">
        <w:rPr>
          <w:highlight w:val="green"/>
          <w:u w:val="single"/>
        </w:rPr>
        <w:t>Because</w:t>
      </w:r>
      <w:r w:rsidRPr="00DD2D90">
        <w:rPr>
          <w:u w:val="single"/>
        </w:rPr>
        <w:t xml:space="preserve"> additional </w:t>
      </w:r>
      <w:r w:rsidRPr="00DD2D90">
        <w:rPr>
          <w:highlight w:val="green"/>
          <w:u w:val="single"/>
        </w:rPr>
        <w:t>monitoring increases employee costs, firms cut</w:t>
      </w:r>
      <w:r w:rsidRPr="00DD2D90">
        <w:rPr>
          <w:u w:val="single"/>
        </w:rPr>
        <w:t xml:space="preserve"> their </w:t>
      </w:r>
      <w:r w:rsidRPr="00DD2D90">
        <w:rPr>
          <w:highlight w:val="green"/>
          <w:u w:val="single"/>
        </w:rPr>
        <w:t>demand for labor</w:t>
      </w:r>
      <w:r w:rsidRPr="00DD2D90">
        <w:rPr>
          <w:u w:val="single"/>
        </w:rPr>
        <w:t xml:space="preserve">. </w:t>
      </w:r>
      <w:r w:rsidRPr="00DD2D90">
        <w:rPr>
          <w:highlight w:val="green"/>
          <w:u w:val="single"/>
        </w:rPr>
        <w:t>The</w:t>
      </w:r>
      <w:r w:rsidRPr="00DD2D90">
        <w:rPr>
          <w:u w:val="single"/>
        </w:rPr>
        <w:t xml:space="preserve"> resulting </w:t>
      </w:r>
      <w:r w:rsidRPr="00DD2D90">
        <w:rPr>
          <w:highlight w:val="green"/>
          <w:u w:val="single"/>
        </w:rPr>
        <w:t>drop in vacancies</w:t>
      </w:r>
      <w:r w:rsidRPr="00DD2D90">
        <w:rPr>
          <w:u w:val="single"/>
        </w:rPr>
        <w:t xml:space="preserve"> reduces labor market tightness</w:t>
      </w:r>
      <w:r w:rsidRPr="009C4A5A">
        <w:rPr>
          <w:sz w:val="16"/>
        </w:rPr>
        <w:t xml:space="preserve"> (despite the initial decrease in households’ search activity) </w:t>
      </w:r>
      <w:r w:rsidRPr="00DD2D90">
        <w:rPr>
          <w:u w:val="single"/>
        </w:rPr>
        <w:t xml:space="preserve">and </w:t>
      </w:r>
      <w:r w:rsidRPr="00DD2D90">
        <w:rPr>
          <w:b/>
          <w:bCs/>
          <w:highlight w:val="green"/>
          <w:u w:val="single"/>
        </w:rPr>
        <w:t>causes employment to be lower</w:t>
      </w:r>
      <w:r w:rsidRPr="00DD2D90">
        <w:rPr>
          <w:highlight w:val="green"/>
          <w:u w:val="single"/>
        </w:rPr>
        <w:t xml:space="preserve"> and</w:t>
      </w:r>
      <w:r w:rsidRPr="00DD2D90">
        <w:rPr>
          <w:u w:val="single"/>
        </w:rPr>
        <w:t xml:space="preserve"> the </w:t>
      </w:r>
      <w:r w:rsidRPr="00DD2D90">
        <w:rPr>
          <w:highlight w:val="green"/>
          <w:u w:val="single"/>
        </w:rPr>
        <w:t>unemployment rate to be higher</w:t>
      </w:r>
      <w:r w:rsidRPr="009C4A5A">
        <w:rPr>
          <w:sz w:val="16"/>
        </w:rPr>
        <w:t xml:space="preserve"> than what would Figure 3. Responses of Labor Market Variables to a Shock That Increases the Tax Rate on Labor Income by 1 Percentage Point in the Initial Period Source: Author’s calculations. The responses of the unemployment and labor force participation rates are percentage-point changes, and those of the remaining variables are percentage changes from balanced growth path values occur in the absence of the tax increase. </w:t>
      </w:r>
      <w:r w:rsidRPr="00DD2D90">
        <w:rPr>
          <w:highlight w:val="green"/>
          <w:u w:val="single"/>
        </w:rPr>
        <w:t>Labor force participation</w:t>
      </w:r>
      <w:r w:rsidRPr="00DD2D90">
        <w:rPr>
          <w:u w:val="single"/>
        </w:rPr>
        <w:t xml:space="preserve"> also </w:t>
      </w:r>
      <w:r w:rsidRPr="00DD2D90">
        <w:rPr>
          <w:highlight w:val="green"/>
          <w:u w:val="single"/>
        </w:rPr>
        <w:t>declines</w:t>
      </w:r>
      <w:r w:rsidRPr="00DD2D90">
        <w:rPr>
          <w:u w:val="single"/>
        </w:rPr>
        <w:t xml:space="preserve"> very gradually (because of habit formation in home services) </w:t>
      </w:r>
      <w:r w:rsidRPr="00DD2D90">
        <w:rPr>
          <w:highlight w:val="green"/>
          <w:u w:val="single"/>
        </w:rPr>
        <w:t>in tandem with the drop in the return to work</w:t>
      </w:r>
      <w:r w:rsidRPr="00DD2D90">
        <w:rPr>
          <w:u w:val="single"/>
        </w:rPr>
        <w:t>.</w:t>
      </w:r>
      <w:r w:rsidRPr="009C4A5A">
        <w:rPr>
          <w:sz w:val="16"/>
        </w:rPr>
        <w:t xml:space="preserve"> Figure 3 highlights a key channel through which changes in the marginal tax rate affect labor market outcomes in the model—by directly affecting firms’ demand for labor. </w:t>
      </w:r>
      <w:r w:rsidRPr="00DD2D90">
        <w:rPr>
          <w:highlight w:val="green"/>
          <w:u w:val="single"/>
        </w:rPr>
        <w:t>In addition to influencing</w:t>
      </w:r>
      <w:r w:rsidRPr="00DD2D90">
        <w:rPr>
          <w:u w:val="single"/>
        </w:rPr>
        <w:t xml:space="preserve"> the </w:t>
      </w:r>
      <w:r w:rsidRPr="00DD2D90">
        <w:rPr>
          <w:highlight w:val="green"/>
          <w:u w:val="single"/>
        </w:rPr>
        <w:t>supply of labor</w:t>
      </w:r>
      <w:r w:rsidRPr="00DD2D90">
        <w:rPr>
          <w:u w:val="single"/>
        </w:rPr>
        <w:t xml:space="preserve"> by affecting households’ decisions regarding job searches and labor force participation, </w:t>
      </w:r>
      <w:r w:rsidRPr="00DD2D90">
        <w:rPr>
          <w:highlight w:val="green"/>
          <w:u w:val="single"/>
        </w:rPr>
        <w:t>changes in</w:t>
      </w:r>
      <w:r w:rsidRPr="00DD2D90">
        <w:rPr>
          <w:u w:val="single"/>
        </w:rPr>
        <w:t xml:space="preserve"> the marginal </w:t>
      </w:r>
      <w:r w:rsidRPr="00DD2D90">
        <w:rPr>
          <w:highlight w:val="green"/>
          <w:u w:val="single"/>
        </w:rPr>
        <w:t>tax</w:t>
      </w:r>
      <w:r w:rsidRPr="00DD2D90">
        <w:rPr>
          <w:u w:val="single"/>
        </w:rPr>
        <w:t xml:space="preserve"> rate </w:t>
      </w:r>
      <w:r w:rsidRPr="00DD2D90">
        <w:rPr>
          <w:highlight w:val="green"/>
          <w:u w:val="single"/>
        </w:rPr>
        <w:t>alter employees’ incentives to put forth effort</w:t>
      </w:r>
      <w:r w:rsidRPr="00DD2D90">
        <w:rPr>
          <w:u w:val="single"/>
        </w:rPr>
        <w:t>.</w:t>
      </w:r>
      <w:r w:rsidRPr="009C4A5A">
        <w:rPr>
          <w:sz w:val="16"/>
        </w:rPr>
        <w:t xml:space="preserve"> As discussed earlier, the strength of those incentives directly determines the amount of monitoring an employer must implement to deter shirking. </w:t>
      </w:r>
      <w:r w:rsidRPr="00DD2D90">
        <w:rPr>
          <w:highlight w:val="green"/>
          <w:u w:val="single"/>
        </w:rPr>
        <w:t>Higher tax rates result in lower labor demand because</w:t>
      </w:r>
      <w:r w:rsidRPr="00DD2D90">
        <w:rPr>
          <w:u w:val="single"/>
        </w:rPr>
        <w:t xml:space="preserve"> the </w:t>
      </w:r>
      <w:r w:rsidRPr="00DD2D90">
        <w:rPr>
          <w:b/>
          <w:bCs/>
          <w:highlight w:val="green"/>
          <w:u w:val="single"/>
        </w:rPr>
        <w:t>weaker effort incentives</w:t>
      </w:r>
      <w:r w:rsidRPr="00DD2D90">
        <w:rPr>
          <w:u w:val="single"/>
        </w:rPr>
        <w:t xml:space="preserve"> that result from lower after-tax wages call for more intensive monitoring on the part of employers, </w:t>
      </w:r>
      <w:r w:rsidRPr="00DD2D90">
        <w:rPr>
          <w:highlight w:val="green"/>
          <w:u w:val="single"/>
        </w:rPr>
        <w:t xml:space="preserve">thereby </w:t>
      </w:r>
      <w:r w:rsidRPr="00DD2D90">
        <w:rPr>
          <w:b/>
          <w:bCs/>
          <w:highlight w:val="green"/>
          <w:u w:val="single"/>
        </w:rPr>
        <w:t>increasing labor costs</w:t>
      </w:r>
      <w:r w:rsidRPr="00DD2D90">
        <w:rPr>
          <w:u w:val="single"/>
        </w:rPr>
        <w:t>.</w:t>
      </w:r>
      <w:r w:rsidRPr="009C4A5A">
        <w:rPr>
          <w:sz w:val="16"/>
        </w:rPr>
        <w:t xml:space="preserve"> Moreover, the size of the effect on employees’ effort incentives depends critically on the probability of finding a job and thus on the amount of existing slack in the labor market at the time of the tax change. Next, I discuss how that relationship underlies the state-dependent effects of tax changes in the model.5.2 Effects of Tax Changes in States of High and Low Unemployment Figure 4 illustrates </w:t>
      </w:r>
      <w:r w:rsidRPr="00DD2D90">
        <w:rPr>
          <w:u w:val="single"/>
        </w:rPr>
        <w:t>the responses to a 1 percentage-point increase in the marginal tax rate when the unemployment rate at the time of the tax change is 2.5 percentage points higher and 2.5 percentage points lower than 6.5 percent</w:t>
      </w:r>
      <w:r w:rsidRPr="009C4A5A">
        <w:rPr>
          <w:sz w:val="16"/>
        </w:rPr>
        <w:t xml:space="preserve"> (that is, the threshold unemployment rate used in the empirical analysis). I simulate the high-unemployment sce- nario by subjecting the economy to a sequence of shocks to the mean-reverting component of labor productivity that gradually raises the rate of unemployment from the long-term rate of 5:6 percent to about 9 percent within six quarters. To simulate the low-unemployment scenario, I introduce a sequence of shocks that reduces the rate of unemployment from 5:6 percent to roughly 4 percent within the same period. Then, for each scenario, I con- sider two alternative paths, one in which the productivity shocks are followed by a tax shock that raises  t by 1 percentage point in Quarter 6, and another in which the tax rate remains unchanged throughout the simulation horizon. The responses shown in Figure 4 are the differences between those two paths and, therefore, illustrate how the tax change implemented in Quarter 6 affects each variable in relation to what would occur without any changes in the tax rate. </w:t>
      </w:r>
      <w:r w:rsidRPr="00DD2D90">
        <w:rPr>
          <w:b/>
          <w:bCs/>
          <w:highlight w:val="green"/>
          <w:u w:val="single"/>
        </w:rPr>
        <w:t>In both states of unemployment</w:t>
      </w:r>
      <w:r w:rsidRPr="00DD2D90">
        <w:rPr>
          <w:highlight w:val="green"/>
          <w:u w:val="single"/>
        </w:rPr>
        <w:t>, the tax</w:t>
      </w:r>
      <w:r w:rsidRPr="00DD2D90">
        <w:rPr>
          <w:u w:val="single"/>
        </w:rPr>
        <w:t xml:space="preserve"> increase raises the intensity with which firms monitor their employees because lower after-tax wages </w:t>
      </w:r>
      <w:r w:rsidRPr="00DD2D90">
        <w:rPr>
          <w:highlight w:val="green"/>
          <w:u w:val="single"/>
        </w:rPr>
        <w:t>weaken workers’ incentives to put forth effort</w:t>
      </w:r>
      <w:r w:rsidRPr="00DD2D90">
        <w:rPr>
          <w:u w:val="single"/>
        </w:rPr>
        <w:t>.</w:t>
      </w:r>
      <w:r w:rsidRPr="009C4A5A">
        <w:rPr>
          <w:sz w:val="16"/>
        </w:rPr>
        <w:t xml:space="preserve"> But, in the high-unemployment state, the increase in monitoring intensity is much less pronounced. That is because, in response to a given increase in the tax rate, workers are much less likely to withhold effort and face increased risk of job loss when it is highly difficult to find a new job. As a result, the amount of monitoring an employer must practice to maintain a functioning work environment does not increase in the slack state as much as it does in the low-unemployment state. To further clarify this key mechanism, Figure 5 shows the relationship in the balanced growth path between the elasticity of firms’ monitoring intensity (dt) with respect to the tax rate ( t) and the rate of unemployment. From (20), that elasticity (denoted ) is found as  = (1 )wUcz n (1 )(1 )wUc + (1 )E h Ux 1p p io2  d ; where all variables without time subscripts denote balanced growth path values after they are rendered stationary Figure 4. Responses of Labor Market Variables to a 1 Percentage-Point Increase in the Labor Income Tax Rate in High- and Low-Unemployment States0 5 10 15 20 -0.4 -0.3 -0.2 -0.1 0 Em ploym ent Low Unem ploy ment High Unemploy ment 0 5 10 15 20 0 0.1 0.2 0.3 0.4 Unem ploym ent Rate Low Unem ploy ment High Unemploy ment 0 5 10 15 20 -0.05 -0.04 -0.03 -0.02 -0.01 0 Labor Force Participation Low Unem ploy ment High Unemploy ment 0 5 10 15 20 10 -3 0 1 2 3 4 Monitoring Inte nsity Low Unem ploy ment High Unemploy ment Quarters After Shock 0 5 10 15 20 -0.05 -0.04 -0.03 -0.02 -0.01 0 0.01 Vacancies Low Unem ploy ment High Unemploy ment Quarters After Shock 0 5 10 15 20 -4 -3 -2 -1 0 1 Tightne ss Low Unem ploy ment High Unemploy ment Source: Author’s caculations. The responses of the unemployment and labor force participation rates are percentage-point changes, and those of the remaining variables are percentage changes from what would occur in the absence of the tax change. "Low Unemployment" and "High Unemployment" indicate states in which the rate of unemployment at the time of the tax change equals 4.1 percent and 8.6 percent, respectively Figure 5. The Elasticity of Firms’ Monitoring Intensity With Respect to the Tax Rate as a Function of the Unemployment RateUnemployment Rate, Percent 0 2 4 6 8 10 12 0 0.05 0.1 0.15 0.2 0.25 0.3 Source: Author’s calculations. The term  stands for the elasticity of firms’ monitoring intensity with respect to the tax rate, and denotes the continuation value of an employment relationship relative to the immediate payoff to work. using an appropriate transformation.21 Firms’ monitoring intensity is less responsive to changes in the tax rate in times of high unemployment because the continuation value of an employment relationship, E h Ux 1p p i , relative to the immediate payoff to work, wUc, defined as = E h Ux 1p p i wUc becomes larger when unemployment is higher. Because the option value of starting the next period with a pre- existing match is higher when the probability of finding a job is lower, a tax hike increases workers’ tendency to withhold effort by a much smaller amount in a state of high unemployment. As a result, firms are able to deter shirking by increasing their monitoring activity less than they would in a state of low unemployment, which results in a less pronounced increase in employee costs. Accordingly, vacancies and employment drop and the rate of unemployment increases less in the slack state than in the low-unemployment state. The decline in labor force participation is also more limited in the slack state mainly because the tax change has a smaller effect on the probability of finding a job. In addition to analyzing the effects of a tax increase, I also examine the responses to a tax cut. The reason Source: Author’s calculations. This table shows the simulated percentage responses of employment and percentage-point responses of the unemployment rate to an increase in taxes of 1 percent of gross domestic product in the model compared with the benchmark empirical estimates. is that, in the model, the effects from tax cuts need not be symmetrical to those from increases because the relationship between taxes and macroeconomic variables is nonlinear in the model. Figure 6 shows the simulated effects of a 1 percentage-point cut in the tax rate in high- and low-unemployment states. A comparison with Figure 4 reveals that the responses to the tax increase and cut are not exactly symmetrical, but the effects from a tax cut on all three variables are larger in the low-unemployment state, as are the effects from a tax increase. 5.3 Comparison of Simulated and Estimated Effects Table 7 compares the effects of a tax change in the calibrated model with those estimated using the benchmark empirical specification. </w:t>
      </w:r>
      <w:r w:rsidRPr="00DD2D90">
        <w:rPr>
          <w:u w:val="single"/>
        </w:rPr>
        <w:t>Estimated effects and those from the calibrated model are both defined as in (5). That is, both sets of effects are calculated as percentage changes in employment and percentage-point changes in the unemployment rate over four quarters in response to an increase in taxes of 1 percent of GDP over the same period.</w:t>
      </w:r>
      <w:r w:rsidRPr="009C4A5A">
        <w:rPr>
          <w:sz w:val="16"/>
        </w:rPr>
        <w:t xml:space="preserve"> The model is quite successful in matching the estimated effects. Recall that the parameter values underlying model simulations are not picked to generate specifically the estimated effects of tax changes in high- and low- unemployment states but are set to replicate primarily the sample averages of a small number of labor market variables along the model’s balanced growth path. </w:t>
      </w:r>
      <w:r w:rsidRPr="00DD2D90">
        <w:rPr>
          <w:u w:val="single"/>
        </w:rPr>
        <w:t xml:space="preserve">And yet, the </w:t>
      </w:r>
      <w:r w:rsidRPr="00DD2D90">
        <w:rPr>
          <w:highlight w:val="green"/>
          <w:u w:val="single"/>
        </w:rPr>
        <w:t>responses from the</w:t>
      </w:r>
      <w:r w:rsidRPr="00DD2D90">
        <w:rPr>
          <w:u w:val="single"/>
        </w:rPr>
        <w:t xml:space="preserve"> calibrated </w:t>
      </w:r>
      <w:r w:rsidRPr="00DD2D90">
        <w:rPr>
          <w:highlight w:val="green"/>
          <w:u w:val="single"/>
        </w:rPr>
        <w:t>model are</w:t>
      </w:r>
      <w:r w:rsidRPr="00DD2D90">
        <w:rPr>
          <w:u w:val="single"/>
        </w:rPr>
        <w:t xml:space="preserve"> fairly </w:t>
      </w:r>
      <w:r w:rsidRPr="00DD2D90">
        <w:rPr>
          <w:highlight w:val="green"/>
          <w:u w:val="single"/>
        </w:rPr>
        <w:t>close to</w:t>
      </w:r>
      <w:r w:rsidRPr="00DD2D90">
        <w:rPr>
          <w:u w:val="single"/>
        </w:rPr>
        <w:t xml:space="preserve"> the </w:t>
      </w:r>
      <w:r w:rsidRPr="00DD2D90">
        <w:rPr>
          <w:highlight w:val="green"/>
          <w:u w:val="single"/>
        </w:rPr>
        <w:t>benchmark empirical estimates</w:t>
      </w:r>
      <w:r w:rsidRPr="00DD2D90">
        <w:rPr>
          <w:u w:val="single"/>
        </w:rPr>
        <w:t xml:space="preserve"> in both states.</w:t>
      </w:r>
      <w:r w:rsidRPr="009C4A5A">
        <w:rPr>
          <w:sz w:val="16"/>
        </w:rPr>
        <w:t xml:space="preserve"> 6 Conclusion </w:t>
      </w:r>
      <w:r w:rsidRPr="00DD2D90">
        <w:rPr>
          <w:u w:val="single"/>
        </w:rPr>
        <w:t xml:space="preserve">Taken together with the findings of the previous research, the results of </w:t>
      </w:r>
      <w:r w:rsidRPr="00DD2D90">
        <w:rPr>
          <w:highlight w:val="green"/>
          <w:u w:val="single"/>
        </w:rPr>
        <w:t>this analysis indicate</w:t>
      </w:r>
      <w:r w:rsidRPr="00DD2D90">
        <w:rPr>
          <w:u w:val="single"/>
        </w:rPr>
        <w:t xml:space="preserve"> that </w:t>
      </w:r>
      <w:r w:rsidRPr="00DD2D90">
        <w:rPr>
          <w:highlight w:val="green"/>
          <w:u w:val="single"/>
        </w:rPr>
        <w:t>tax changes have significant effects on labor market outcomes</w:t>
      </w:r>
      <w:r w:rsidRPr="009C4A5A">
        <w:rPr>
          <w:sz w:val="16"/>
        </w:rPr>
        <w:t xml:space="preserve">, but those effects also vary depending on the state of the economy at the time a tax change is implemented. In the empirical part of the analysis, I find that the effects of a tax change on total hours worked, employment, and the unemployment rate become smaller in times of higher unemployment. That pattern remains largely intact under a series of alternative specifications of the empirical model. In the theoretical part, I construct a structural model in which tax changes have smaller effects on labor market variables in times of high unemployment because workers’ decisions about effort and, ultimately, firms’ overall employee costs become less sensitive to changes in after-tax wages in the presence of slack in the labor market. </w:t>
      </w:r>
      <w:r w:rsidRPr="00DD2D90">
        <w:rPr>
          <w:u w:val="single"/>
        </w:rPr>
        <w:t xml:space="preserve">A calibrated version of </w:t>
      </w:r>
      <w:r w:rsidRPr="00DD2D90">
        <w:rPr>
          <w:highlight w:val="green"/>
          <w:u w:val="single"/>
        </w:rPr>
        <w:t>the model is</w:t>
      </w:r>
      <w:r w:rsidRPr="00DD2D90">
        <w:rPr>
          <w:u w:val="single"/>
        </w:rPr>
        <w:t xml:space="preserve"> fairly </w:t>
      </w:r>
      <w:r w:rsidRPr="00DD2D90">
        <w:rPr>
          <w:b/>
          <w:bCs/>
          <w:highlight w:val="green"/>
          <w:u w:val="single"/>
        </w:rPr>
        <w:t>successful in replicating</w:t>
      </w:r>
      <w:r w:rsidRPr="00DD2D90">
        <w:rPr>
          <w:u w:val="single"/>
        </w:rPr>
        <w:t xml:space="preserve"> the </w:t>
      </w:r>
      <w:r w:rsidRPr="00DD2D90">
        <w:rPr>
          <w:highlight w:val="green"/>
          <w:u w:val="single"/>
        </w:rPr>
        <w:t>differences in</w:t>
      </w:r>
      <w:r w:rsidRPr="00DD2D90">
        <w:rPr>
          <w:u w:val="single"/>
        </w:rPr>
        <w:t xml:space="preserve"> the </w:t>
      </w:r>
      <w:r w:rsidRPr="00DD2D90">
        <w:rPr>
          <w:highlight w:val="green"/>
          <w:u w:val="single"/>
        </w:rPr>
        <w:t>effects</w:t>
      </w:r>
      <w:r w:rsidRPr="00DD2D90">
        <w:rPr>
          <w:u w:val="single"/>
        </w:rPr>
        <w:t xml:space="preserve"> of tax changes </w:t>
      </w:r>
      <w:r w:rsidRPr="00DD2D90">
        <w:rPr>
          <w:highlight w:val="green"/>
          <w:u w:val="single"/>
        </w:rPr>
        <w:t>on employment</w:t>
      </w:r>
      <w:r w:rsidRPr="00DD2D90">
        <w:rPr>
          <w:u w:val="single"/>
        </w:rPr>
        <w:t xml:space="preserve"> and the unemployment rate </w:t>
      </w:r>
      <w:r w:rsidRPr="00DD2D90">
        <w:rPr>
          <w:highlight w:val="green"/>
          <w:u w:val="single"/>
        </w:rPr>
        <w:t>across periods of high and low unemployment</w:t>
      </w:r>
      <w:r w:rsidRPr="00DD2D90">
        <w:rPr>
          <w:u w:val="single"/>
        </w:rPr>
        <w:t>.</w:t>
      </w:r>
      <w:r w:rsidRPr="009C4A5A">
        <w:rPr>
          <w:sz w:val="16"/>
        </w:rPr>
        <w:t xml:space="preserve"> Figure 6. Responses of Labor Market Variables to a 1 Percentage-Point Cut in the Labor Income Tax Rate in High- and Low-Unemployment States0 5 10 15 20 0 0.1 0.2 0.3 0.4 Em ploym ent Low Unemployment High Unemployment 0 5 10 15 20 -0.4 -0.3 -0.2 -0.1 0 Une m ploym ent Rate Low Unemployment High Unemployment 0 5 10 15 20 0 0.01 0.02 0.03 0.04 0.05 Labor Force Participation Low Unemployment High Unemployment 0 5 10 15 20 10 -3 -4 -3 -2 -1 0 1 M onitoring Inte nsity Low Unemployment High Unemployment Quarters After Shock 0 5 10 15 20 -0.01 0 0.01 0.02 0.03 0.04 0.05 Vacancie s Low Unemployment High Unemployment Quarters After Shock 0 5 10 15 20 0 1 2 3 4 Tightnes s Low Unemployment High Unemployment Source: Author’s calculations. The responses of the unemployment and labor force participation rates are percentage-point changes and those of the remaining variables are percentage changes from what would occur in the absence of the tax change. "Low Unemployment" and "High Unemployment" indicate states in which the rate of unemployment at the time of the tax change equals 4.1 percent and 8.6 percent, respectively. The results of this analysis show the effects of exogenous changes in tax policy; they do not reflect the effects of tax changes that are implemented in response to macroeconomic developments or that occur automatically over the business cycle. The proposed empirical approach is most useful for examining the effects of tax changes that are of moderate size, and the estimated differences across high- and low-unemployment states are most informative when those states are well within historical experience. Using the reported estimates to examine the effects of tax changes that do not satisfy those criteria requires a large degree of extrapolation, which can be problematic given the evidence of nonlinear effects from tax changes. In addition, the estimates presented in this paper should not be used to infer the effects of particular tax policy proposals because </w:t>
      </w:r>
      <w:r w:rsidRPr="00DD2D90">
        <w:rPr>
          <w:highlight w:val="green"/>
          <w:u w:val="single"/>
        </w:rPr>
        <w:t xml:space="preserve">the paper’s estimates are based on </w:t>
      </w:r>
      <w:r w:rsidRPr="00DD2D90">
        <w:rPr>
          <w:b/>
          <w:bCs/>
          <w:highlight w:val="green"/>
          <w:u w:val="single"/>
        </w:rPr>
        <w:t>broad legislated tax changes</w:t>
      </w:r>
      <w:r w:rsidRPr="00DD2D90">
        <w:rPr>
          <w:u w:val="single"/>
        </w:rPr>
        <w:t xml:space="preserve"> that include many policy provisions.</w:t>
      </w:r>
      <w:r w:rsidRPr="009C4A5A">
        <w:rPr>
          <w:sz w:val="16"/>
        </w:rPr>
        <w:t xml:space="preserve"> Given those limitations, one direction for future research is to extend the historical narrative analysis of Romer and Romer (2010) to construct more disaggregated measures of exogenous tax changes.</w:t>
      </w:r>
    </w:p>
    <w:p w14:paraId="2A14CC8F" w14:textId="77777777" w:rsidR="007C1D60" w:rsidRPr="009C4A5A" w:rsidRDefault="007C1D60" w:rsidP="007C1D60">
      <w:pPr>
        <w:rPr>
          <w:sz w:val="16"/>
        </w:rPr>
      </w:pPr>
    </w:p>
    <w:p w14:paraId="573882E7" w14:textId="77777777" w:rsidR="007C1D60" w:rsidRPr="009C4A5A" w:rsidRDefault="007C1D60" w:rsidP="007C1D60">
      <w:pPr>
        <w:rPr>
          <w:sz w:val="16"/>
        </w:rPr>
      </w:pPr>
    </w:p>
    <w:p w14:paraId="2E49E929" w14:textId="77777777" w:rsidR="007C1D60" w:rsidRPr="009C4A5A" w:rsidRDefault="007C1D60" w:rsidP="007C1D60">
      <w:pPr>
        <w:rPr>
          <w:sz w:val="16"/>
        </w:rPr>
      </w:pPr>
    </w:p>
    <w:p w14:paraId="0C54290D" w14:textId="77777777" w:rsidR="00B0589A" w:rsidRPr="009C4A5A" w:rsidRDefault="00B0589A">
      <w:pPr>
        <w:rPr>
          <w:rFonts w:eastAsiaTheme="majorEastAsia" w:cstheme="majorBidi"/>
          <w:b/>
          <w:iCs/>
          <w:sz w:val="16"/>
        </w:rPr>
      </w:pPr>
      <w:r w:rsidRPr="009C4A5A">
        <w:rPr>
          <w:sz w:val="16"/>
        </w:rPr>
        <w:br w:type="page"/>
      </w:r>
    </w:p>
    <w:p w14:paraId="587CF7BD" w14:textId="51E490E5" w:rsidR="00F93A28" w:rsidRPr="009C4A5A" w:rsidRDefault="00F93A28" w:rsidP="00F93A28">
      <w:pPr>
        <w:pStyle w:val="Heading4"/>
        <w:rPr>
          <w:szCs w:val="26"/>
        </w:rPr>
      </w:pPr>
      <w:r w:rsidRPr="009C4A5A">
        <w:rPr>
          <w:szCs w:val="26"/>
        </w:rPr>
        <w:t xml:space="preserve">An increase </w:t>
      </w:r>
      <w:r w:rsidR="00B00C2C" w:rsidRPr="009C4A5A">
        <w:rPr>
          <w:szCs w:val="26"/>
        </w:rPr>
        <w:t xml:space="preserve">in </w:t>
      </w:r>
      <w:r w:rsidRPr="009C4A5A">
        <w:rPr>
          <w:szCs w:val="26"/>
        </w:rPr>
        <w:t>taxes reduces private investment and kills economic growth</w:t>
      </w:r>
    </w:p>
    <w:p w14:paraId="1BE4E1DD" w14:textId="4E590384" w:rsidR="00F93A28" w:rsidRPr="00DD2D90" w:rsidRDefault="00F93A28" w:rsidP="00F93A28">
      <w:pPr>
        <w:rPr>
          <w:b/>
          <w:bCs/>
        </w:rPr>
      </w:pPr>
      <w:r w:rsidRPr="009C4A5A">
        <w:rPr>
          <w:rStyle w:val="Style13ptBold"/>
          <w:szCs w:val="26"/>
        </w:rPr>
        <w:t>Michel 23</w:t>
      </w:r>
      <w:r w:rsidRPr="00DD2D90">
        <w:rPr>
          <w:rStyle w:val="Style13ptBold"/>
          <w:sz w:val="22"/>
        </w:rPr>
        <w:t xml:space="preserve"> </w:t>
      </w:r>
      <w:r w:rsidRPr="00DD2D90">
        <w:t>[Adam N. Michel, PhD Economics GMU, 11-9-2023, "Research Shows Taxes Matter for Investment and Growth," Cato Institute, https://www.cato.org/blog/research-shows-taxes-matter-investment-growth]/Kankee</w:t>
      </w:r>
    </w:p>
    <w:p w14:paraId="36B99881" w14:textId="77777777" w:rsidR="00F93A28" w:rsidRPr="009C4A5A" w:rsidRDefault="00F93A28" w:rsidP="00F93A28">
      <w:pPr>
        <w:rPr>
          <w:sz w:val="16"/>
        </w:rPr>
      </w:pPr>
      <w:r w:rsidRPr="00DD2D90">
        <w:rPr>
          <w:u w:val="single"/>
        </w:rPr>
        <w:t>New research shows that the 2017 tax cuts significantly raised business investment and boosted economic growth.</w:t>
      </w:r>
      <w:r w:rsidRPr="009C4A5A">
        <w:rPr>
          <w:sz w:val="16"/>
        </w:rPr>
        <w:t xml:space="preserve"> This most recent study is the latest entry in a long catalog of economic research that finds taxes matter for investment, economic growth, and labor market outcomes. Despite this history of robust results, a recent American Compass report argues that the 2017 Tax Cuts and Jobs Act did not significantly impact the economy. More sophisticated economic analyses almost universally find the opposite: </w:t>
      </w:r>
      <w:r w:rsidRPr="00DD2D90">
        <w:rPr>
          <w:highlight w:val="green"/>
          <w:u w:val="single"/>
        </w:rPr>
        <w:t>taxes matter for investment and growth</w:t>
      </w:r>
      <w:r w:rsidRPr="00DD2D90">
        <w:rPr>
          <w:u w:val="single"/>
        </w:rPr>
        <w:t xml:space="preserve">. Economists have known this for decades. In </w:t>
      </w:r>
      <w:r w:rsidRPr="00DD2D90">
        <w:rPr>
          <w:highlight w:val="green"/>
          <w:u w:val="single"/>
        </w:rPr>
        <w:t>a</w:t>
      </w:r>
      <w:r w:rsidRPr="00DD2D90">
        <w:rPr>
          <w:u w:val="single"/>
        </w:rPr>
        <w:t xml:space="preserve"> 2012 academic </w:t>
      </w:r>
      <w:r w:rsidRPr="00DD2D90">
        <w:rPr>
          <w:highlight w:val="green"/>
          <w:u w:val="single"/>
        </w:rPr>
        <w:t>literature review</w:t>
      </w:r>
      <w:r w:rsidRPr="00DD2D90">
        <w:rPr>
          <w:u w:val="single"/>
        </w:rPr>
        <w:t xml:space="preserve">, Will McBride </w:t>
      </w:r>
      <w:r w:rsidRPr="00DD2D90">
        <w:rPr>
          <w:highlight w:val="green"/>
          <w:u w:val="single"/>
        </w:rPr>
        <w:t>summarizes 26 studies on</w:t>
      </w:r>
      <w:r w:rsidRPr="00DD2D90">
        <w:rPr>
          <w:u w:val="single"/>
        </w:rPr>
        <w:t xml:space="preserve"> the </w:t>
      </w:r>
      <w:r w:rsidRPr="00DD2D90">
        <w:rPr>
          <w:highlight w:val="green"/>
          <w:u w:val="single"/>
        </w:rPr>
        <w:t>empirical relationship between taxes and</w:t>
      </w:r>
      <w:r w:rsidRPr="00DD2D90">
        <w:rPr>
          <w:u w:val="single"/>
        </w:rPr>
        <w:t xml:space="preserve"> economic </w:t>
      </w:r>
      <w:r w:rsidRPr="00DD2D90">
        <w:rPr>
          <w:highlight w:val="green"/>
          <w:u w:val="single"/>
        </w:rPr>
        <w:t>growth</w:t>
      </w:r>
      <w:r w:rsidRPr="00DD2D90">
        <w:rPr>
          <w:u w:val="single"/>
        </w:rPr>
        <w:t xml:space="preserve">. He finds that “all but three of those studies, and </w:t>
      </w:r>
      <w:r w:rsidRPr="00DD2D90">
        <w:rPr>
          <w:highlight w:val="green"/>
          <w:u w:val="single"/>
        </w:rPr>
        <w:t>every study in the last fifteen years, find a negative effect of taxes on growth</w:t>
      </w:r>
      <w:r w:rsidRPr="00DD2D90">
        <w:rPr>
          <w:u w:val="single"/>
        </w:rPr>
        <w:t>.”</w:t>
      </w:r>
      <w:r w:rsidRPr="009C4A5A">
        <w:rPr>
          <w:sz w:val="16"/>
        </w:rPr>
        <w:t xml:space="preserve"> The research also consistently finds that corporate income taxes are the most economically harmful. </w:t>
      </w:r>
      <w:r w:rsidRPr="00DD2D90">
        <w:rPr>
          <w:highlight w:val="green"/>
          <w:u w:val="single"/>
        </w:rPr>
        <w:t>In a</w:t>
      </w:r>
      <w:r w:rsidRPr="00DD2D90">
        <w:rPr>
          <w:u w:val="single"/>
        </w:rPr>
        <w:t xml:space="preserve"> more recent </w:t>
      </w:r>
      <w:r w:rsidRPr="00DD2D90">
        <w:rPr>
          <w:highlight w:val="green"/>
          <w:u w:val="single"/>
        </w:rPr>
        <w:t>2019 retrospective</w:t>
      </w:r>
      <w:r w:rsidRPr="00DD2D90">
        <w:rPr>
          <w:u w:val="single"/>
        </w:rPr>
        <w:t xml:space="preserve"> review of new empirical fiscal research following the 2008 financial crisis, Valerie </w:t>
      </w:r>
      <w:r w:rsidRPr="00DD2D90">
        <w:rPr>
          <w:highlight w:val="green"/>
          <w:u w:val="single"/>
        </w:rPr>
        <w:t>Ramey shows</w:t>
      </w:r>
      <w:r w:rsidRPr="00DD2D90">
        <w:rPr>
          <w:u w:val="single"/>
        </w:rPr>
        <w:t xml:space="preserve"> that, almost </w:t>
      </w:r>
      <w:r w:rsidRPr="00DD2D90">
        <w:rPr>
          <w:highlight w:val="green"/>
          <w:u w:val="single"/>
        </w:rPr>
        <w:t>universally, tax increases</w:t>
      </w:r>
      <w:r w:rsidRPr="00DD2D90">
        <w:rPr>
          <w:u w:val="single"/>
        </w:rPr>
        <w:t xml:space="preserve"> are estimated to </w:t>
      </w:r>
      <w:r w:rsidRPr="00DD2D90">
        <w:rPr>
          <w:highlight w:val="green"/>
          <w:u w:val="single"/>
        </w:rPr>
        <w:t>reduce GDP</w:t>
      </w:r>
      <w:r w:rsidRPr="00DD2D90">
        <w:rPr>
          <w:u w:val="single"/>
        </w:rPr>
        <w:t>.</w:t>
      </w:r>
      <w:r w:rsidRPr="009C4A5A">
        <w:rPr>
          <w:sz w:val="16"/>
        </w:rPr>
        <w:t xml:space="preserve"> The most consistent result from the time series estimates reviewed shows that GDP declines by between two and three times the revenue the new taxes raise. The most recent entry in this long list of research uses variations in how the 2017 tax reform impacted different corporations differently. </w:t>
      </w:r>
      <w:r w:rsidRPr="00DD2D90">
        <w:rPr>
          <w:u w:val="single"/>
        </w:rPr>
        <w:t>The researchers estimate that the tax cut “caused domestic investment of firms with the mean tax change to increase by roughly 20% relative to firms experiencing no tax change.”</w:t>
      </w:r>
      <w:r w:rsidRPr="009C4A5A">
        <w:rPr>
          <w:sz w:val="16"/>
        </w:rPr>
        <w:t xml:space="preserve"> The authors extrapolated their short-run estimates to assess the long-run effects of the law. Their results are consistent with some of the most optimistic modeling of the TCJA’s economic and revenue effects, finding significant increases in capital stock, productivity, and wages. Numerous individual studies looking across multiple policy changes and using different empirical techniques come to similar conclusions: </w:t>
      </w:r>
      <w:r w:rsidRPr="00DD2D90">
        <w:rPr>
          <w:u w:val="single"/>
        </w:rPr>
        <w:t xml:space="preserve">Using </w:t>
      </w:r>
      <w:r w:rsidRPr="00DD2D90">
        <w:rPr>
          <w:highlight w:val="green"/>
          <w:u w:val="single"/>
        </w:rPr>
        <w:t>a narrative method</w:t>
      </w:r>
      <w:r w:rsidRPr="00DD2D90">
        <w:rPr>
          <w:u w:val="single"/>
        </w:rPr>
        <w:t xml:space="preserve"> to determine fiscal policy changes, Christina and David Romer </w:t>
      </w:r>
      <w:r w:rsidRPr="00DD2D90">
        <w:rPr>
          <w:highlight w:val="green"/>
          <w:u w:val="single"/>
        </w:rPr>
        <w:t>found</w:t>
      </w:r>
      <w:r w:rsidRPr="00DD2D90">
        <w:rPr>
          <w:u w:val="single"/>
        </w:rPr>
        <w:t xml:space="preserve"> that </w:t>
      </w:r>
      <w:r w:rsidRPr="00DD2D90">
        <w:rPr>
          <w:highlight w:val="green"/>
          <w:u w:val="single"/>
        </w:rPr>
        <w:t>a tax increase equal to one percent of GDP has a</w:t>
      </w:r>
      <w:r w:rsidRPr="00DD2D90">
        <w:rPr>
          <w:u w:val="single"/>
        </w:rPr>
        <w:t xml:space="preserve"> “consistently </w:t>
      </w:r>
      <w:r w:rsidRPr="00DD2D90">
        <w:rPr>
          <w:highlight w:val="green"/>
          <w:u w:val="single"/>
        </w:rPr>
        <w:t>negative</w:t>
      </w:r>
      <w:r w:rsidRPr="00DD2D90">
        <w:rPr>
          <w:u w:val="single"/>
        </w:rPr>
        <w:t xml:space="preserve">” </w:t>
      </w:r>
      <w:r w:rsidRPr="00DD2D90">
        <w:rPr>
          <w:highlight w:val="green"/>
          <w:u w:val="single"/>
        </w:rPr>
        <w:t>effect on</w:t>
      </w:r>
      <w:r w:rsidRPr="00DD2D90">
        <w:rPr>
          <w:u w:val="single"/>
        </w:rPr>
        <w:t xml:space="preserve"> the path of </w:t>
      </w:r>
      <w:r w:rsidRPr="00DD2D90">
        <w:rPr>
          <w:highlight w:val="green"/>
          <w:u w:val="single"/>
        </w:rPr>
        <w:t>real GDP</w:t>
      </w:r>
      <w:r w:rsidRPr="009C4A5A">
        <w:rPr>
          <w:sz w:val="16"/>
        </w:rPr>
        <w:t xml:space="preserve">, and “the maximum effect is a fall in output of 3.08 percent after ten quarters.” </w:t>
      </w:r>
      <w:r w:rsidRPr="00DD2D90">
        <w:rPr>
          <w:u w:val="single"/>
        </w:rPr>
        <w:t xml:space="preserve">They find </w:t>
      </w:r>
      <w:r w:rsidRPr="00DD2D90">
        <w:rPr>
          <w:highlight w:val="green"/>
          <w:u w:val="single"/>
        </w:rPr>
        <w:t xml:space="preserve">the same tax </w:t>
      </w:r>
      <w:r w:rsidRPr="00DD2D90">
        <w:rPr>
          <w:u w:val="single"/>
        </w:rPr>
        <w:t xml:space="preserve">increase </w:t>
      </w:r>
      <w:r w:rsidRPr="00DD2D90">
        <w:rPr>
          <w:highlight w:val="green"/>
          <w:u w:val="single"/>
        </w:rPr>
        <w:t>results in an 11 percent decline in</w:t>
      </w:r>
      <w:r w:rsidRPr="00DD2D90">
        <w:rPr>
          <w:u w:val="single"/>
        </w:rPr>
        <w:t xml:space="preserve"> gross private domestic </w:t>
      </w:r>
      <w:r w:rsidRPr="00DD2D90">
        <w:rPr>
          <w:highlight w:val="green"/>
          <w:u w:val="single"/>
        </w:rPr>
        <w:t>investment</w:t>
      </w:r>
      <w:r w:rsidRPr="00DD2D90">
        <w:rPr>
          <w:u w:val="single"/>
        </w:rPr>
        <w:t xml:space="preserve"> almost three years after the change. Using a structural vector auto-regression approach, Andrew Mountford and Harald Uhlig build on earlier research to find “a maximal present value multiplier of five dollars of total additional GDP per each dollar of the total cut in government revenue five years after the shock.” Combining </w:t>
      </w:r>
      <w:r w:rsidRPr="00DD2D90">
        <w:rPr>
          <w:highlight w:val="green"/>
          <w:u w:val="single"/>
        </w:rPr>
        <w:t>empirical methods</w:t>
      </w:r>
      <w:r w:rsidRPr="00DD2D90">
        <w:rPr>
          <w:u w:val="single"/>
        </w:rPr>
        <w:t xml:space="preserve">, Karel Mertens and Morten Ravn </w:t>
      </w:r>
      <w:r w:rsidRPr="00DD2D90">
        <w:rPr>
          <w:highlight w:val="green"/>
          <w:u w:val="single"/>
        </w:rPr>
        <w:t>found</w:t>
      </w:r>
      <w:r w:rsidRPr="00DD2D90">
        <w:rPr>
          <w:u w:val="single"/>
        </w:rPr>
        <w:t xml:space="preserve"> that </w:t>
      </w:r>
      <w:r w:rsidRPr="00DD2D90">
        <w:rPr>
          <w:highlight w:val="green"/>
          <w:u w:val="single"/>
        </w:rPr>
        <w:t>a one percent cut in</w:t>
      </w:r>
      <w:r w:rsidRPr="00DD2D90">
        <w:rPr>
          <w:u w:val="single"/>
        </w:rPr>
        <w:t xml:space="preserve"> the personal income </w:t>
      </w:r>
      <w:r w:rsidRPr="00DD2D90">
        <w:rPr>
          <w:highlight w:val="green"/>
          <w:u w:val="single"/>
        </w:rPr>
        <w:t>tax</w:t>
      </w:r>
      <w:r w:rsidRPr="00DD2D90">
        <w:rPr>
          <w:u w:val="single"/>
        </w:rPr>
        <w:t xml:space="preserve"> rate </w:t>
      </w:r>
      <w:r w:rsidRPr="00DD2D90">
        <w:rPr>
          <w:highlight w:val="green"/>
          <w:u w:val="single"/>
        </w:rPr>
        <w:t>boosts real GDP per capita by</w:t>
      </w:r>
      <w:r w:rsidRPr="00DD2D90">
        <w:rPr>
          <w:u w:val="single"/>
        </w:rPr>
        <w:t xml:space="preserve"> up to </w:t>
      </w:r>
      <w:r w:rsidRPr="00DD2D90">
        <w:rPr>
          <w:highlight w:val="green"/>
          <w:u w:val="single"/>
        </w:rPr>
        <w:t>1.8 percent</w:t>
      </w:r>
      <w:r w:rsidRPr="00DD2D90">
        <w:rPr>
          <w:u w:val="single"/>
        </w:rPr>
        <w:t>.</w:t>
      </w:r>
      <w:r w:rsidRPr="009C4A5A">
        <w:rPr>
          <w:sz w:val="16"/>
        </w:rPr>
        <w:t xml:space="preserve"> That translates to a multiplier similar to those described above of about 2.5. They found that a one percentage point cut in the corporate tax rate boosts GDP by as much as 0.6 percent and has “no significant impact on revenues.” When investigating more targeted reforms to reduce effective tax rates on new business investments, Eric Zawick and James Mahon found that expensing “raised investment in eligible capital relative to ineligible capital by 10.4 percent between 2001 and 2004 and 16.9 percent between 2008 and 2010.” They also found that smaller firms and those with tight cash flow show the biggest investment response. Ultimately, the economic history of any specific reform will be confounded by numerous concurrent events. In the case of the Tax Cuts and Jobs Act, its positive economic effects were undermined by President Trump’s trade policies, and COVID-19 truncated the economic record. Despite these headwinds, the reform’s key changes to the corporate tax rate and allowance for full investment deductions had a measurable positive effect, in line with the historical record. Across this body of research, specific methods may be subject to critique, and the estimates are not all directly comparable; however, studies consistently show a positive effect of tax cuts on investment and economic growth. Economic theory also supports these results. When you lower effective tax rates on work and investment, you should expect to get more of each.</w:t>
      </w:r>
    </w:p>
    <w:p w14:paraId="091C4FB4" w14:textId="77777777" w:rsidR="00F93A28" w:rsidRPr="009C4A5A" w:rsidRDefault="00F93A28" w:rsidP="00F93A28">
      <w:pPr>
        <w:rPr>
          <w:sz w:val="16"/>
        </w:rPr>
      </w:pPr>
    </w:p>
    <w:p w14:paraId="3C199C2F" w14:textId="77777777" w:rsidR="007C1D60" w:rsidRPr="009C4A5A" w:rsidRDefault="007C1D60" w:rsidP="007C1D60">
      <w:pPr>
        <w:rPr>
          <w:sz w:val="16"/>
        </w:rPr>
      </w:pPr>
    </w:p>
    <w:p w14:paraId="6E12E367" w14:textId="77777777" w:rsidR="00F63522" w:rsidRPr="009C4A5A" w:rsidRDefault="00F63522" w:rsidP="00F63522">
      <w:pPr>
        <w:rPr>
          <w:sz w:val="16"/>
        </w:rPr>
      </w:pPr>
    </w:p>
    <w:p w14:paraId="039D1A48" w14:textId="05A6B627" w:rsidR="007C1D60" w:rsidRPr="009C4A5A" w:rsidRDefault="007C1D60" w:rsidP="007C1D60">
      <w:pPr>
        <w:pStyle w:val="Heading4"/>
        <w:rPr>
          <w:szCs w:val="26"/>
        </w:rPr>
      </w:pPr>
      <w:r w:rsidRPr="009C4A5A">
        <w:rPr>
          <w:szCs w:val="26"/>
        </w:rPr>
        <w:t>Empirics prove Keynesian economics is wrong – we can’t outgrow debt, which means the aff permanently adds to the deficit and increases taxes</w:t>
      </w:r>
    </w:p>
    <w:p w14:paraId="3D05F075" w14:textId="77777777" w:rsidR="007C1D60" w:rsidRPr="00DD2D90" w:rsidRDefault="007C1D60" w:rsidP="007C1D60">
      <w:pPr>
        <w:rPr>
          <w:b/>
          <w:bCs/>
        </w:rPr>
      </w:pPr>
      <w:r w:rsidRPr="009C4A5A">
        <w:rPr>
          <w:rStyle w:val="Style13ptBold"/>
          <w:szCs w:val="26"/>
        </w:rPr>
        <w:t>Prasetyo and Cahyani 22</w:t>
      </w:r>
      <w:r w:rsidRPr="00DD2D90">
        <w:rPr>
          <w:rStyle w:val="Style13ptBold"/>
          <w:sz w:val="22"/>
        </w:rPr>
        <w:t xml:space="preserve"> </w:t>
      </w:r>
      <w:r w:rsidRPr="00DD2D90">
        <w:t>[P. Eko Prasetyo, PhD Semarang State University, and E. Nur Cahyani, B.A. Semarang State University, 12-05-2022, “Investigating Keynesian Theory in Reducing Unemployment and Poverty in Indonesia”, Journal of Asian Finance, Economics and Business Vol 9 No 10, p. https://www.researchgate.net/profile/Eko-Prasetyo-29/publication/367391847_Investigating_Keynesian_Theory_in_Reducing_Unemployment_and_Poverty_in_Indonesia/links/63d0fa6de922c50e99c22d48/Investigating-Keynesian-Theory-in-Reducing-Unemployment-and-Poverty-in-Indonesia.pdf]/Kankee</w:t>
      </w:r>
    </w:p>
    <w:p w14:paraId="27E68A1A" w14:textId="77777777" w:rsidR="007C1D60" w:rsidRPr="009C4A5A" w:rsidRDefault="007C1D60" w:rsidP="007C1D60">
      <w:pPr>
        <w:rPr>
          <w:sz w:val="16"/>
        </w:rPr>
      </w:pPr>
      <w:r w:rsidRPr="009C4A5A">
        <w:rPr>
          <w:sz w:val="16"/>
        </w:rPr>
        <w:t xml:space="preserve">This research found that the basic theory of Keynes is still relevant to be applied in Indonesia. Consequently, it has been proven that unemployment impoverishes the community, while economic growth is the main element for reducing the problem. </w:t>
      </w:r>
      <w:r w:rsidRPr="00DD2D90">
        <w:rPr>
          <w:u w:val="single"/>
        </w:rPr>
        <w:t>Even though economic growth reduces development problems, it is not capable of mitigating to overcome them.</w:t>
      </w:r>
      <w:r w:rsidRPr="009C4A5A">
        <w:rPr>
          <w:sz w:val="16"/>
        </w:rPr>
        <w:t xml:space="preserve"> In addition, </w:t>
      </w:r>
      <w:r w:rsidRPr="00DD2D90">
        <w:rPr>
          <w:highlight w:val="green"/>
          <w:u w:val="single"/>
        </w:rPr>
        <w:t xml:space="preserve">Keynes’s </w:t>
      </w:r>
      <w:r w:rsidRPr="00DD2D90">
        <w:rPr>
          <w:u w:val="single"/>
        </w:rPr>
        <w:t xml:space="preserve">theory explains that government spending is one of the main factors influencing economic growth to overcome these </w:t>
      </w:r>
      <w:r w:rsidRPr="009C4A5A">
        <w:rPr>
          <w:sz w:val="16"/>
        </w:rPr>
        <w:t xml:space="preserve">problems. The role of Government spending in Indonesia encourages economic growth, but it </w:t>
      </w:r>
      <w:r w:rsidRPr="00DD2D90">
        <w:rPr>
          <w:highlight w:val="green"/>
          <w:u w:val="single"/>
        </w:rPr>
        <w:t>is not</w:t>
      </w:r>
      <w:r w:rsidRPr="00DD2D90">
        <w:rPr>
          <w:u w:val="single"/>
        </w:rPr>
        <w:t xml:space="preserve"> efficient and </w:t>
      </w:r>
      <w:r w:rsidRPr="00DD2D90">
        <w:rPr>
          <w:highlight w:val="green"/>
          <w:u w:val="single"/>
        </w:rPr>
        <w:t>effective in reducing</w:t>
      </w:r>
      <w:r w:rsidRPr="00DD2D90">
        <w:rPr>
          <w:u w:val="single"/>
        </w:rPr>
        <w:t xml:space="preserve"> development problems, such as </w:t>
      </w:r>
      <w:r w:rsidRPr="00DD2D90">
        <w:rPr>
          <w:b/>
          <w:bCs/>
          <w:highlight w:val="green"/>
          <w:u w:val="single"/>
        </w:rPr>
        <w:t>unemployment, poverty</w:t>
      </w:r>
      <w:r w:rsidRPr="00DD2D90">
        <w:rPr>
          <w:highlight w:val="green"/>
          <w:u w:val="single"/>
        </w:rPr>
        <w:t xml:space="preserve">, and </w:t>
      </w:r>
      <w:r w:rsidRPr="00DD2D90">
        <w:rPr>
          <w:b/>
          <w:bCs/>
          <w:highlight w:val="green"/>
          <w:u w:val="single"/>
        </w:rPr>
        <w:t>inequality</w:t>
      </w:r>
      <w:r w:rsidRPr="00DD2D90">
        <w:rPr>
          <w:u w:val="single"/>
        </w:rPr>
        <w:t>.</w:t>
      </w:r>
      <w:r w:rsidRPr="009C4A5A">
        <w:rPr>
          <w:sz w:val="16"/>
        </w:rPr>
        <w:t xml:space="preserve"> This is because the basic theory of Keynes asserts that government spending should be used effectively as an instrument to increase output and national income by controlling aggregate demand. </w:t>
      </w:r>
      <w:r w:rsidRPr="00DD2D90">
        <w:rPr>
          <w:u w:val="single"/>
        </w:rPr>
        <w:t xml:space="preserve">Contemporarily, </w:t>
      </w:r>
      <w:r w:rsidRPr="00DD2D90">
        <w:rPr>
          <w:highlight w:val="green"/>
          <w:u w:val="single"/>
        </w:rPr>
        <w:t xml:space="preserve">ineffective </w:t>
      </w:r>
      <w:r w:rsidRPr="00DD2D90">
        <w:rPr>
          <w:u w:val="single"/>
        </w:rPr>
        <w:t xml:space="preserve">government </w:t>
      </w:r>
      <w:r w:rsidRPr="00DD2D90">
        <w:rPr>
          <w:highlight w:val="green"/>
          <w:u w:val="single"/>
        </w:rPr>
        <w:t>spending derived from tax</w:t>
      </w:r>
      <w:r w:rsidRPr="00DD2D90">
        <w:rPr>
          <w:u w:val="single"/>
        </w:rPr>
        <w:t xml:space="preserve"> increases alone </w:t>
      </w:r>
      <w:r w:rsidRPr="00DD2D90">
        <w:rPr>
          <w:highlight w:val="green"/>
          <w:u w:val="single"/>
        </w:rPr>
        <w:t>has a negative impact</w:t>
      </w:r>
      <w:r w:rsidRPr="00DD2D90">
        <w:rPr>
          <w:u w:val="single"/>
        </w:rPr>
        <w:t xml:space="preserve">. Therefore, </w:t>
      </w:r>
      <w:r w:rsidRPr="00DD2D90">
        <w:rPr>
          <w:highlight w:val="green"/>
          <w:u w:val="single"/>
        </w:rPr>
        <w:t xml:space="preserve">when </w:t>
      </w:r>
      <w:r w:rsidRPr="00DD2D90">
        <w:rPr>
          <w:u w:val="single"/>
        </w:rPr>
        <w:t xml:space="preserve">ineffective </w:t>
      </w:r>
      <w:r w:rsidRPr="00DD2D90">
        <w:rPr>
          <w:highlight w:val="green"/>
          <w:u w:val="single"/>
        </w:rPr>
        <w:t>spending is obtained from</w:t>
      </w:r>
      <w:r w:rsidRPr="00DD2D90">
        <w:rPr>
          <w:u w:val="single"/>
        </w:rPr>
        <w:t xml:space="preserve"> sources of foreign </w:t>
      </w:r>
      <w:r w:rsidRPr="00DD2D90">
        <w:rPr>
          <w:highlight w:val="green"/>
          <w:u w:val="single"/>
        </w:rPr>
        <w:t xml:space="preserve">loans, it forces the country to </w:t>
      </w:r>
      <w:r w:rsidRPr="00DD2D90">
        <w:rPr>
          <w:rStyle w:val="Emphasis"/>
          <w:highlight w:val="green"/>
        </w:rPr>
        <w:t>destruction</w:t>
      </w:r>
      <w:r w:rsidRPr="00DD2D90">
        <w:rPr>
          <w:u w:val="single"/>
        </w:rPr>
        <w:t>.</w:t>
      </w:r>
      <w:r w:rsidRPr="009C4A5A">
        <w:rPr>
          <w:sz w:val="16"/>
        </w:rPr>
        <w:t xml:space="preserve"> The problem of rigid wages and irrational actions is known to impel government spending to become more inefficient and the public to be more consumptive. </w:t>
      </w:r>
      <w:r w:rsidRPr="00DD2D90">
        <w:rPr>
          <w:u w:val="single"/>
        </w:rPr>
        <w:t xml:space="preserve">Therefore, monetary policy to overcome poverty through government </w:t>
      </w:r>
      <w:r w:rsidRPr="00DD2D90">
        <w:rPr>
          <w:highlight w:val="green"/>
          <w:u w:val="single"/>
        </w:rPr>
        <w:t>spending</w:t>
      </w:r>
      <w:r w:rsidRPr="00DD2D90">
        <w:rPr>
          <w:u w:val="single"/>
        </w:rPr>
        <w:t xml:space="preserve">, as well as increasing social assistance to surmount lack </w:t>
      </w:r>
      <w:r w:rsidRPr="00DD2D90">
        <w:rPr>
          <w:highlight w:val="green"/>
          <w:u w:val="single"/>
        </w:rPr>
        <w:t>becomes uneconomical</w:t>
      </w:r>
      <w:r w:rsidRPr="00DD2D90">
        <w:rPr>
          <w:u w:val="single"/>
        </w:rPr>
        <w:t>.</w:t>
      </w:r>
      <w:r w:rsidRPr="009C4A5A">
        <w:rPr>
          <w:sz w:val="16"/>
        </w:rPr>
        <w:t xml:space="preserve"> Generally, low wages continue to drive unemployment and poverty. This is because poverty is associated with various counterproductive economic behaviors (Bruijn &amp; Antonides, 2021). </w:t>
      </w:r>
      <w:r w:rsidRPr="00DD2D90">
        <w:rPr>
          <w:u w:val="single"/>
        </w:rPr>
        <w:t xml:space="preserve">When the phenomenon of community problems that tend to be consumptive has been integrated into the choice of unproductive and uneconomical institutional policies, the </w:t>
      </w:r>
      <w:r w:rsidRPr="00DD2D90">
        <w:rPr>
          <w:highlight w:val="green"/>
          <w:u w:val="single"/>
        </w:rPr>
        <w:t xml:space="preserve">irrational behavior </w:t>
      </w:r>
      <w:r w:rsidRPr="00DD2D90">
        <w:rPr>
          <w:u w:val="single"/>
        </w:rPr>
        <w:t xml:space="preserve">of the people increasingly </w:t>
      </w:r>
      <w:r w:rsidRPr="00DD2D90">
        <w:rPr>
          <w:highlight w:val="green"/>
          <w:u w:val="single"/>
        </w:rPr>
        <w:t xml:space="preserve">encourages </w:t>
      </w:r>
      <w:r w:rsidRPr="00DD2D90">
        <w:rPr>
          <w:rStyle w:val="Emphasis"/>
          <w:highlight w:val="green"/>
        </w:rPr>
        <w:t>high inflation</w:t>
      </w:r>
      <w:r w:rsidRPr="00DD2D90">
        <w:rPr>
          <w:highlight w:val="green"/>
          <w:u w:val="single"/>
        </w:rPr>
        <w:t xml:space="preserve"> </w:t>
      </w:r>
      <w:r w:rsidRPr="00DD2D90">
        <w:rPr>
          <w:u w:val="single"/>
        </w:rPr>
        <w:t xml:space="preserve">and becomes </w:t>
      </w:r>
      <w:r w:rsidRPr="00DD2D90">
        <w:rPr>
          <w:rStyle w:val="Emphasis"/>
        </w:rPr>
        <w:t>difficult to control</w:t>
      </w:r>
      <w:r w:rsidRPr="00DD2D90">
        <w:rPr>
          <w:u w:val="single"/>
        </w:rPr>
        <w:t>.</w:t>
      </w:r>
      <w:r w:rsidRPr="009C4A5A">
        <w:rPr>
          <w:sz w:val="16"/>
        </w:rPr>
        <w:t xml:space="preserve"> The impact of monetary policy is increasingly ineffective to overcome poverty. Policies to improve the quality and capacity of Indonesian human resources, which are creative, productive, innovative, and adaptive, are not evenly distributed and are still relatively low, hence, they are unable to mitigate them. This research has a limitation which is, it only focuses more on Keynesian macroeconomic fundamentals. Government spending, unemployment, poverty, inequality, inflation, and economic growth are very complex issues, therefore, studies from other interrelated dimensions are still needed. The contribution of this research is expected to explain that Keynes’s theory is empirically relevant in Indonesia, even though it still faces challenges from the assumption of the level of rationality of society, and the effectiveness of institutional policies which are not sufficiently measured from the economic and political dimensions.</w:t>
      </w:r>
    </w:p>
    <w:p w14:paraId="5B5A71CF" w14:textId="77777777" w:rsidR="00F81E93" w:rsidRPr="009C4A5A" w:rsidRDefault="00F81E93">
      <w:pPr>
        <w:rPr>
          <w:rFonts w:eastAsiaTheme="majorEastAsia" w:cstheme="majorBidi"/>
          <w:b/>
          <w:iCs/>
          <w:sz w:val="16"/>
        </w:rPr>
      </w:pPr>
      <w:r w:rsidRPr="009C4A5A">
        <w:rPr>
          <w:sz w:val="16"/>
        </w:rPr>
        <w:br w:type="page"/>
      </w:r>
    </w:p>
    <w:p w14:paraId="2B80B4BD" w14:textId="224F6821" w:rsidR="00B2192A" w:rsidRPr="009C4A5A" w:rsidRDefault="00D55636" w:rsidP="00B2192A">
      <w:pPr>
        <w:pStyle w:val="Heading4"/>
        <w:rPr>
          <w:szCs w:val="26"/>
        </w:rPr>
      </w:pPr>
      <w:r w:rsidRPr="009C4A5A">
        <w:rPr>
          <w:szCs w:val="26"/>
        </w:rPr>
        <w:t>Complex systems have impossible requirements for information, comprehensibility, and future-planning. This means central planning the provision of goods is inherently inefficient and increases costs compared to it being treated as a commodity in a market</w:t>
      </w:r>
    </w:p>
    <w:p w14:paraId="03A2771A" w14:textId="38B3EDA7" w:rsidR="00B2192A" w:rsidRPr="00DD2D90" w:rsidRDefault="00B00C2C" w:rsidP="00B2192A">
      <w:r w:rsidRPr="009C4A5A">
        <w:rPr>
          <w:b/>
          <w:bCs/>
          <w:sz w:val="26"/>
          <w:szCs w:val="26"/>
        </w:rPr>
        <w:t>Pennington 20</w:t>
      </w:r>
      <w:r w:rsidRPr="00DD2D90">
        <w:t xml:space="preserve"> [</w:t>
      </w:r>
      <w:r w:rsidR="00B2192A" w:rsidRPr="00DD2D90">
        <w:t xml:space="preserve">Mark Pennington, </w:t>
      </w:r>
      <w:r w:rsidR="001F336C" w:rsidRPr="00DD2D90">
        <w:t xml:space="preserve">Department of Political Economy at King’s College, </w:t>
      </w:r>
      <w:r w:rsidR="00B2192A" w:rsidRPr="00DD2D90">
        <w:t>7-28-2020, "Hayek on complexity, uncertainty and pandemic response", SpringerLink, https://link.springer.com/article/10.1007/s11138-020-00522-9]/Kankee</w:t>
      </w:r>
    </w:p>
    <w:p w14:paraId="6136FC05" w14:textId="77777777" w:rsidR="003525FF" w:rsidRPr="009C4A5A" w:rsidRDefault="00B2192A" w:rsidP="003525FF">
      <w:pPr>
        <w:rPr>
          <w:sz w:val="16"/>
        </w:rPr>
      </w:pPr>
      <w:r w:rsidRPr="009C4A5A">
        <w:rPr>
          <w:sz w:val="16"/>
        </w:rPr>
        <w:t xml:space="preserve">2 Hayek: Simple versus complex systems A central aspect of Hayek’s social theory is the distinction he draws between simple and complex phenomena (for example Hayek 1967). Simple phenomena are those where it may be possible from a given starting position to predict the outcomes that will be generated by the application of a stimulus into a system. Scientific problems in some (though by no means all) parts of physics are of this type and they allow for the derivation of predictive, quantitative regularities by scientific analysts. </w:t>
      </w:r>
      <w:r w:rsidRPr="00DD2D90">
        <w:rPr>
          <w:rStyle w:val="StyleUnderline"/>
          <w:highlight w:val="green"/>
        </w:rPr>
        <w:t>Complex phenomena</w:t>
      </w:r>
      <w:r w:rsidRPr="009C4A5A">
        <w:rPr>
          <w:sz w:val="16"/>
        </w:rPr>
        <w:t xml:space="preserve"> by contrast, </w:t>
      </w:r>
      <w:r w:rsidRPr="00DD2D90">
        <w:rPr>
          <w:rStyle w:val="StyleUnderline"/>
        </w:rPr>
        <w:t>refer to systems where</w:t>
      </w:r>
      <w:r w:rsidRPr="009C4A5A">
        <w:rPr>
          <w:sz w:val="16"/>
        </w:rPr>
        <w:t xml:space="preserve"> the </w:t>
      </w:r>
      <w:r w:rsidRPr="00DD2D90">
        <w:rPr>
          <w:rStyle w:val="StyleUnderline"/>
        </w:rPr>
        <w:t>elements</w:t>
      </w:r>
      <w:r w:rsidRPr="009C4A5A">
        <w:rPr>
          <w:sz w:val="16"/>
        </w:rPr>
        <w:t xml:space="preserve"> that make up a greater whole </w:t>
      </w:r>
      <w:r w:rsidRPr="00DD2D90">
        <w:rPr>
          <w:rStyle w:val="StyleUnderline"/>
          <w:highlight w:val="green"/>
        </w:rPr>
        <w:t xml:space="preserve">do not interact in a </w:t>
      </w:r>
      <w:r w:rsidRPr="00DD2D90">
        <w:rPr>
          <w:rStyle w:val="Emphasis"/>
          <w:highlight w:val="green"/>
        </w:rPr>
        <w:t>linear</w:t>
      </w:r>
      <w:r w:rsidRPr="00DD2D90">
        <w:rPr>
          <w:rStyle w:val="StyleUnderline"/>
        </w:rPr>
        <w:t xml:space="preserve"> fashion and where </w:t>
      </w:r>
      <w:r w:rsidRPr="00DD2D90">
        <w:rPr>
          <w:rStyle w:val="StyleUnderline"/>
          <w:highlight w:val="green"/>
        </w:rPr>
        <w:t>the number of elements and the character of their interaction may be too vast</w:t>
      </w:r>
      <w:r w:rsidRPr="00DD2D90">
        <w:rPr>
          <w:rStyle w:val="StyleUnderline"/>
        </w:rPr>
        <w:t xml:space="preserve"> for them </w:t>
      </w:r>
      <w:r w:rsidRPr="00DD2D90">
        <w:rPr>
          <w:rStyle w:val="StyleUnderline"/>
          <w:highlight w:val="green"/>
        </w:rPr>
        <w:t>to be comprehended</w:t>
      </w:r>
      <w:r w:rsidRPr="009C4A5A">
        <w:rPr>
          <w:sz w:val="16"/>
        </w:rPr>
        <w:t xml:space="preserve"> by scientific observers. While </w:t>
      </w:r>
      <w:r w:rsidRPr="00DD2D90">
        <w:rPr>
          <w:rStyle w:val="StyleUnderline"/>
        </w:rPr>
        <w:t>non-linear systems</w:t>
      </w:r>
      <w:r w:rsidRPr="009C4A5A">
        <w:rPr>
          <w:sz w:val="16"/>
        </w:rPr>
        <w:t xml:space="preserve"> can be scientifically modelled the relevant relationships </w:t>
      </w:r>
      <w:r w:rsidRPr="00DD2D90">
        <w:rPr>
          <w:rStyle w:val="StyleUnderline"/>
        </w:rPr>
        <w:t xml:space="preserve">may not </w:t>
      </w:r>
      <w:r w:rsidRPr="009C4A5A">
        <w:rPr>
          <w:sz w:val="16"/>
        </w:rPr>
        <w:t>typically</w:t>
      </w:r>
      <w:r w:rsidRPr="00DD2D90">
        <w:rPr>
          <w:rStyle w:val="StyleUnderline"/>
        </w:rPr>
        <w:t xml:space="preserve"> be</w:t>
      </w:r>
      <w:r w:rsidRPr="009C4A5A">
        <w:rPr>
          <w:sz w:val="16"/>
        </w:rPr>
        <w:t xml:space="preserve"> </w:t>
      </w:r>
      <w:r w:rsidRPr="00DD2D90">
        <w:rPr>
          <w:rStyle w:val="StyleUnderline"/>
        </w:rPr>
        <w:t>characterised with sufficient quantitative precision</w:t>
      </w:r>
      <w:r w:rsidRPr="009C4A5A">
        <w:rPr>
          <w:sz w:val="16"/>
        </w:rPr>
        <w:t xml:space="preserve">. The most that analysts may do when faced with complex phenomena is to try to understand the general principles that allow an order to form between the various elements– not to predict successfully the precise form that the order will take. All that science may be able to achieve in the face of such phenomena is to predict a statistical range of possible outcomes. It is tempting to equate Hayek’s distinction between simple and complex phenomena with the difference between the subject matter of the natural and social sciences, but this would be mistaken (for a discussion see Caldwell 2004). While it is true that some natural sciences analyse simple systems, this is not always so. Many of the phenomena analysed in biology or ecology for example, are closer to complex systems. In such cases natural scientists may discover the general principles such as the principles of ecological succession that drive processes of environmental change. Typically, however, the </w:t>
      </w:r>
      <w:r w:rsidRPr="00DD2D90">
        <w:rPr>
          <w:rStyle w:val="StyleUnderline"/>
          <w:highlight w:val="green"/>
        </w:rPr>
        <w:t>scientists</w:t>
      </w:r>
      <w:r w:rsidRPr="009C4A5A">
        <w:rPr>
          <w:sz w:val="16"/>
        </w:rPr>
        <w:t xml:space="preserve"> concerned </w:t>
      </w:r>
      <w:r w:rsidRPr="00DD2D90">
        <w:rPr>
          <w:rStyle w:val="StyleUnderline"/>
          <w:highlight w:val="green"/>
        </w:rPr>
        <w:t>may not</w:t>
      </w:r>
      <w:r w:rsidRPr="00DD2D90">
        <w:rPr>
          <w:rStyle w:val="StyleUnderline"/>
        </w:rPr>
        <w:t xml:space="preserve"> be able to discern enough about the multiple contextual relationships between elements to </w:t>
      </w:r>
      <w:r w:rsidRPr="00DD2D90">
        <w:rPr>
          <w:rStyle w:val="StyleUnderline"/>
          <w:highlight w:val="green"/>
        </w:rPr>
        <w:t>predict</w:t>
      </w:r>
      <w:r w:rsidRPr="00DD2D90">
        <w:rPr>
          <w:rStyle w:val="StyleUnderline"/>
        </w:rPr>
        <w:t xml:space="preserve"> successfully </w:t>
      </w:r>
      <w:r w:rsidRPr="00DD2D90">
        <w:rPr>
          <w:rStyle w:val="StyleUnderline"/>
          <w:highlight w:val="green"/>
        </w:rPr>
        <w:t>how eco-systems will evolve, given</w:t>
      </w:r>
      <w:r w:rsidRPr="00DD2D90">
        <w:rPr>
          <w:rStyle w:val="StyleUnderline"/>
        </w:rPr>
        <w:t xml:space="preserve"> </w:t>
      </w:r>
      <w:r w:rsidRPr="00DD2D90">
        <w:rPr>
          <w:rStyle w:val="StyleUnderline"/>
          <w:highlight w:val="green"/>
        </w:rPr>
        <w:t>certain</w:t>
      </w:r>
      <w:r w:rsidRPr="00DD2D90">
        <w:rPr>
          <w:rStyle w:val="StyleUnderline"/>
        </w:rPr>
        <w:t xml:space="preserve"> exogenous </w:t>
      </w:r>
      <w:r w:rsidRPr="009C4A5A">
        <w:rPr>
          <w:sz w:val="16"/>
        </w:rPr>
        <w:t xml:space="preserve">or endogenous </w:t>
      </w:r>
      <w:r w:rsidRPr="00DD2D90">
        <w:rPr>
          <w:rStyle w:val="StyleUnderline"/>
          <w:highlight w:val="green"/>
        </w:rPr>
        <w:t>changes</w:t>
      </w:r>
      <w:r w:rsidRPr="009C4A5A">
        <w:rPr>
          <w:sz w:val="16"/>
        </w:rPr>
        <w:t xml:space="preserve"> to them (for example Botkin 1990; Scheiner and Willig 2011). Turning to the socio-economic world, the challenge of scientific understanding relates to even more complex systems. </w:t>
      </w:r>
      <w:r w:rsidRPr="00DD2D90">
        <w:rPr>
          <w:rStyle w:val="StyleUnderline"/>
        </w:rPr>
        <w:t>Knowledge</w:t>
      </w:r>
      <w:r w:rsidRPr="009C4A5A">
        <w:rPr>
          <w:sz w:val="16"/>
        </w:rPr>
        <w:t xml:space="preserve"> </w:t>
      </w:r>
      <w:r w:rsidRPr="00DD2D90">
        <w:rPr>
          <w:rStyle w:val="StyleUnderline"/>
        </w:rPr>
        <w:t>of</w:t>
      </w:r>
      <w:r w:rsidRPr="009C4A5A">
        <w:rPr>
          <w:sz w:val="16"/>
        </w:rPr>
        <w:t xml:space="preserve"> all the varied and changing </w:t>
      </w:r>
      <w:r w:rsidRPr="00DD2D90">
        <w:rPr>
          <w:rStyle w:val="StyleUnderline"/>
        </w:rPr>
        <w:t>economic</w:t>
      </w:r>
      <w:r w:rsidRPr="009C4A5A">
        <w:rPr>
          <w:sz w:val="16"/>
        </w:rPr>
        <w:t xml:space="preserve"> and cultural </w:t>
      </w:r>
      <w:r w:rsidRPr="00DD2D90">
        <w:rPr>
          <w:rStyle w:val="StyleUnderline"/>
        </w:rPr>
        <w:t>conditions</w:t>
      </w:r>
      <w:r w:rsidRPr="009C4A5A">
        <w:rPr>
          <w:sz w:val="16"/>
        </w:rPr>
        <w:t xml:space="preserve"> that confront multitudes of people </w:t>
      </w:r>
      <w:r w:rsidRPr="00DD2D90">
        <w:rPr>
          <w:rStyle w:val="StyleUnderline"/>
        </w:rPr>
        <w:t>may not be comprehended by any social scientist</w:t>
      </w:r>
      <w:r w:rsidRPr="009C4A5A">
        <w:rPr>
          <w:sz w:val="16"/>
        </w:rPr>
        <w:t xml:space="preserve"> or group of such scientists. Away from very basic forms of human society where the rhythms and routines of people might be observed and predicted with some accuracy by external observers – in</w:t>
      </w:r>
      <w:r w:rsidRPr="00DD2D90">
        <w:rPr>
          <w:rStyle w:val="StyleUnderline"/>
        </w:rPr>
        <w:t xml:space="preserve"> more complex social orders </w:t>
      </w:r>
      <w:r w:rsidRPr="009C4A5A">
        <w:rPr>
          <w:sz w:val="16"/>
        </w:rPr>
        <w:t xml:space="preserve">the most that social science may achieve is an understanding of the general principles of human interaction and the broad patterns they produce. What </w:t>
      </w:r>
      <w:r w:rsidRPr="00DD2D90">
        <w:rPr>
          <w:rStyle w:val="StyleUnderline"/>
        </w:rPr>
        <w:t>may not be predicted</w:t>
      </w:r>
      <w:r w:rsidRPr="009C4A5A">
        <w:rPr>
          <w:sz w:val="16"/>
        </w:rPr>
        <w:t xml:space="preserve"> successfully are specific responses to specific events. Economists may for example understand that if a good becomes scarcer in a market, various changes such as a rise in price and the search for new supplies or substitutes may be expected. </w:t>
      </w:r>
      <w:r w:rsidRPr="00DD2D90">
        <w:rPr>
          <w:rStyle w:val="StyleUnderline"/>
        </w:rPr>
        <w:t>They may not</w:t>
      </w:r>
      <w:r w:rsidRPr="009C4A5A">
        <w:rPr>
          <w:sz w:val="16"/>
        </w:rPr>
        <w:t xml:space="preserve">, however, </w:t>
      </w:r>
      <w:r w:rsidRPr="00DD2D90">
        <w:rPr>
          <w:rStyle w:val="StyleUnderline"/>
        </w:rPr>
        <w:t>predict successfully</w:t>
      </w:r>
      <w:r w:rsidRPr="009C4A5A">
        <w:rPr>
          <w:sz w:val="16"/>
        </w:rPr>
        <w:t xml:space="preserve"> (other than by chance) </w:t>
      </w:r>
      <w:r w:rsidRPr="00DD2D90">
        <w:rPr>
          <w:rStyle w:val="StyleUnderline"/>
        </w:rPr>
        <w:t>what the specific responses will entail and the balance between the respective forces set in train</w:t>
      </w:r>
      <w:r w:rsidRPr="009C4A5A">
        <w:rPr>
          <w:sz w:val="16"/>
        </w:rPr>
        <w:t xml:space="preserve"> (for a recent argument see Kay and King 2020). Moreover, it may not even be possible to specify the range of likely responses because </w:t>
      </w:r>
      <w:r w:rsidRPr="00DD2D90">
        <w:rPr>
          <w:rStyle w:val="StyleUnderline"/>
        </w:rPr>
        <w:t>unlike the natural world the ‘</w:t>
      </w:r>
      <w:r w:rsidRPr="00DD2D90">
        <w:rPr>
          <w:rStyle w:val="StyleUnderline"/>
          <w:highlight w:val="green"/>
        </w:rPr>
        <w:t>human elements’</w:t>
      </w:r>
      <w:r w:rsidRPr="00DD2D90">
        <w:rPr>
          <w:rStyle w:val="StyleUnderline"/>
        </w:rPr>
        <w:t xml:space="preserve"> making up the social ecology </w:t>
      </w:r>
      <w:r w:rsidRPr="00DD2D90">
        <w:rPr>
          <w:rStyle w:val="StyleUnderline"/>
          <w:highlight w:val="green"/>
        </w:rPr>
        <w:t>are creative actors</w:t>
      </w:r>
      <w:r w:rsidRPr="009C4A5A">
        <w:rPr>
          <w:sz w:val="16"/>
        </w:rPr>
        <w:t xml:space="preserve">. On a Hayekian view, it is for this reason that </w:t>
      </w:r>
      <w:r w:rsidRPr="00DD2D90">
        <w:rPr>
          <w:rStyle w:val="StyleUnderline"/>
        </w:rPr>
        <w:t>the modelling of social interaction</w:t>
      </w:r>
      <w:r w:rsidRPr="009C4A5A">
        <w:rPr>
          <w:sz w:val="16"/>
        </w:rPr>
        <w:t xml:space="preserve"> in terms of the predicted behaviour of statistically ‘representative agents’ that characterises contemporary neo-classical economics </w:t>
      </w:r>
      <w:r w:rsidRPr="00DD2D90">
        <w:rPr>
          <w:rStyle w:val="StyleUnderline"/>
        </w:rPr>
        <w:t>is of questionable value</w:t>
      </w:r>
      <w:r w:rsidRPr="009C4A5A">
        <w:rPr>
          <w:sz w:val="16"/>
        </w:rPr>
        <w:t xml:space="preserve"> – for it is entrepreneurial outliers that drive processes of social change. While there may be ‘orderliness’ in society this does not equate to some static or fixed equilibrium state where change can only be accounted for through ‘exogenous shocks’ to an otherwise stable system. Rather, social interaction should be understood as process of ceaseless and sometimes turbulent change brought about by the generation of new ideas, processes, and ways of doing things (for example, Wagner 2020). This stance does not imply rejecting statistical modelling as a possible way to inform the day to day plans of individuals and organisations. Since future decisions grow incrementally out of past decisions there are some regularities that people can rely on to navigate their way in the world – though even here expectations will often be disappointed. Longer term econometric forecasting may however be of little use because the building of reliable econometric models requires knowledge of the factors that will shape the future in advance of their emergence (Parker and Stacey 1994: 76–77). 2.1 Directive intelligence versus rules and decentralised feedback </w:t>
      </w:r>
      <w:r w:rsidRPr="00DD2D90">
        <w:rPr>
          <w:rStyle w:val="StyleUnderline"/>
        </w:rPr>
        <w:t>The</w:t>
      </w:r>
      <w:r w:rsidRPr="009C4A5A">
        <w:rPr>
          <w:sz w:val="16"/>
        </w:rPr>
        <w:t xml:space="preserve"> key </w:t>
      </w:r>
      <w:r w:rsidRPr="00DD2D90">
        <w:rPr>
          <w:rStyle w:val="StyleUnderline"/>
        </w:rPr>
        <w:t>point</w:t>
      </w:r>
      <w:r w:rsidRPr="009C4A5A">
        <w:rPr>
          <w:sz w:val="16"/>
        </w:rPr>
        <w:t xml:space="preserve"> that </w:t>
      </w:r>
      <w:r w:rsidRPr="00DD2D90">
        <w:rPr>
          <w:rStyle w:val="StyleUnderline"/>
        </w:rPr>
        <w:t xml:space="preserve">Hayek </w:t>
      </w:r>
      <w:r w:rsidRPr="00DD2D90">
        <w:rPr>
          <w:rStyle w:val="StyleUnderline"/>
          <w:highlight w:val="green"/>
        </w:rPr>
        <w:t>takes</w:t>
      </w:r>
      <w:r w:rsidRPr="00DD2D90">
        <w:rPr>
          <w:rStyle w:val="StyleUnderline"/>
        </w:rPr>
        <w:t xml:space="preserve"> from the </w:t>
      </w:r>
      <w:r w:rsidRPr="00DD2D90">
        <w:rPr>
          <w:rStyle w:val="StyleUnderline"/>
          <w:highlight w:val="green"/>
        </w:rPr>
        <w:t>distinction between simple and complex</w:t>
      </w:r>
      <w:r w:rsidRPr="00DD2D90">
        <w:rPr>
          <w:rStyle w:val="StyleUnderline"/>
        </w:rPr>
        <w:t xml:space="preserve"> systems</w:t>
      </w:r>
      <w:r w:rsidRPr="009C4A5A">
        <w:rPr>
          <w:sz w:val="16"/>
        </w:rPr>
        <w:t xml:space="preserve"> </w:t>
      </w:r>
      <w:r w:rsidRPr="00DD2D90">
        <w:rPr>
          <w:rStyle w:val="StyleUnderline"/>
        </w:rPr>
        <w:t xml:space="preserve">is that whereas </w:t>
      </w:r>
      <w:r w:rsidRPr="00DD2D90">
        <w:rPr>
          <w:rStyle w:val="StyleUnderline"/>
          <w:highlight w:val="green"/>
        </w:rPr>
        <w:t>the former can be subject to</w:t>
      </w:r>
      <w:r w:rsidRPr="00DD2D90">
        <w:rPr>
          <w:rStyle w:val="StyleUnderline"/>
        </w:rPr>
        <w:t xml:space="preserve"> </w:t>
      </w:r>
      <w:r w:rsidRPr="00DD2D90">
        <w:rPr>
          <w:rStyle w:val="StyleUnderline"/>
          <w:highlight w:val="green"/>
        </w:rPr>
        <w:t>planning</w:t>
      </w:r>
      <w:r w:rsidRPr="00DD2D90">
        <w:rPr>
          <w:rStyle w:val="StyleUnderline"/>
        </w:rPr>
        <w:t xml:space="preserve"> and control </w:t>
      </w:r>
      <w:r w:rsidRPr="00DD2D90">
        <w:rPr>
          <w:rStyle w:val="StyleUnderline"/>
          <w:highlight w:val="green"/>
        </w:rPr>
        <w:t>by a ‘directive</w:t>
      </w:r>
      <w:r w:rsidRPr="00DD2D90">
        <w:rPr>
          <w:rStyle w:val="StyleUnderline"/>
        </w:rPr>
        <w:t xml:space="preserve"> intelligence’ </w:t>
      </w:r>
      <w:r w:rsidRPr="00DD2D90">
        <w:rPr>
          <w:rStyle w:val="StyleUnderline"/>
          <w:highlight w:val="green"/>
        </w:rPr>
        <w:t xml:space="preserve">the latter cannot </w:t>
      </w:r>
      <w:r w:rsidRPr="00DD2D90">
        <w:rPr>
          <w:rStyle w:val="StyleUnderline"/>
        </w:rPr>
        <w:t xml:space="preserve">be subject to such control </w:t>
      </w:r>
      <w:r w:rsidRPr="00DD2D90">
        <w:rPr>
          <w:rStyle w:val="StyleUnderline"/>
          <w:highlight w:val="green"/>
        </w:rPr>
        <w:t>owing to the overwhelming ‘knowledge problem’</w:t>
      </w:r>
      <w:r w:rsidRPr="00DD2D90">
        <w:rPr>
          <w:rStyle w:val="StyleUnderline"/>
        </w:rPr>
        <w:t xml:space="preserve"> that would face such an intelligence</w:t>
      </w:r>
      <w:r w:rsidRPr="009C4A5A">
        <w:rPr>
          <w:sz w:val="16"/>
        </w:rPr>
        <w:t xml:space="preserve">. Whatever </w:t>
      </w:r>
      <w:r w:rsidRPr="00DD2D90">
        <w:rPr>
          <w:rStyle w:val="StyleUnderline"/>
        </w:rPr>
        <w:t>objectives</w:t>
      </w:r>
      <w:r w:rsidRPr="009C4A5A">
        <w:rPr>
          <w:sz w:val="16"/>
        </w:rPr>
        <w:t xml:space="preserve"> people may have, whether </w:t>
      </w:r>
      <w:r w:rsidRPr="00DD2D90">
        <w:rPr>
          <w:rStyle w:val="StyleUnderline"/>
        </w:rPr>
        <w:t xml:space="preserve">pertaining to </w:t>
      </w:r>
      <w:r w:rsidRPr="00DD2D90">
        <w:rPr>
          <w:rStyle w:val="StyleUnderline"/>
          <w:highlight w:val="green"/>
        </w:rPr>
        <w:t>health</w:t>
      </w:r>
      <w:r w:rsidRPr="009C4A5A">
        <w:rPr>
          <w:sz w:val="16"/>
        </w:rPr>
        <w:t xml:space="preserve">, economic growth, environmental protection, or some combination of these, </w:t>
      </w:r>
      <w:r w:rsidRPr="00DD2D90">
        <w:rPr>
          <w:rStyle w:val="StyleUnderline"/>
        </w:rPr>
        <w:t>will</w:t>
      </w:r>
      <w:r w:rsidRPr="009C4A5A">
        <w:rPr>
          <w:sz w:val="16"/>
        </w:rPr>
        <w:t xml:space="preserve"> to a large extent </w:t>
      </w:r>
      <w:r w:rsidRPr="00DD2D90">
        <w:rPr>
          <w:rStyle w:val="StyleUnderline"/>
          <w:highlight w:val="green"/>
        </w:rPr>
        <w:t>have to be achieved via</w:t>
      </w:r>
      <w:r w:rsidRPr="00DD2D90">
        <w:rPr>
          <w:rStyle w:val="StyleUnderline"/>
        </w:rPr>
        <w:t xml:space="preserve"> </w:t>
      </w:r>
      <w:r w:rsidRPr="00DD2D90">
        <w:rPr>
          <w:rStyle w:val="StyleUnderline"/>
          <w:highlight w:val="green"/>
        </w:rPr>
        <w:t>indirect mechanisms</w:t>
      </w:r>
      <w:r w:rsidRPr="009C4A5A">
        <w:rPr>
          <w:sz w:val="16"/>
        </w:rPr>
        <w:t xml:space="preserve">. Unless people choose a dramatically simpler form of social existence that might be more amenable to direction and control, then </w:t>
      </w:r>
      <w:r w:rsidRPr="00DD2D90">
        <w:rPr>
          <w:rStyle w:val="StyleUnderline"/>
        </w:rPr>
        <w:t>intelligent policy can only hope to find rules that allow for the many agents that make up complex social systems to adapt to the actions of others without having to know all of the factors that drive them</w:t>
      </w:r>
      <w:r w:rsidRPr="009C4A5A">
        <w:rPr>
          <w:sz w:val="16"/>
        </w:rPr>
        <w:t xml:space="preserve">. The </w:t>
      </w:r>
      <w:r w:rsidRPr="00DD2D90">
        <w:rPr>
          <w:rStyle w:val="StyleUnderline"/>
          <w:highlight w:val="green"/>
        </w:rPr>
        <w:t>mechanisms</w:t>
      </w:r>
      <w:r w:rsidRPr="009C4A5A">
        <w:rPr>
          <w:sz w:val="16"/>
        </w:rPr>
        <w:t xml:space="preserve"> and rules </w:t>
      </w:r>
      <w:r w:rsidRPr="00DD2D90">
        <w:rPr>
          <w:rStyle w:val="StyleUnderline"/>
          <w:highlight w:val="green"/>
        </w:rPr>
        <w:t>that</w:t>
      </w:r>
      <w:r w:rsidRPr="00DD2D90">
        <w:rPr>
          <w:rStyle w:val="StyleUnderline"/>
        </w:rPr>
        <w:t xml:space="preserve"> </w:t>
      </w:r>
      <w:r w:rsidRPr="00DD2D90">
        <w:rPr>
          <w:rStyle w:val="StyleUnderline"/>
          <w:highlight w:val="green"/>
        </w:rPr>
        <w:t>work</w:t>
      </w:r>
      <w:r w:rsidRPr="00DD2D90">
        <w:rPr>
          <w:rStyle w:val="StyleUnderline"/>
        </w:rPr>
        <w:t xml:space="preserve"> most </w:t>
      </w:r>
      <w:r w:rsidRPr="00DD2D90">
        <w:rPr>
          <w:rStyle w:val="StyleUnderline"/>
          <w:highlight w:val="green"/>
        </w:rPr>
        <w:t>effectively</w:t>
      </w:r>
      <w:r w:rsidRPr="00DD2D90">
        <w:rPr>
          <w:rStyle w:val="StyleUnderline"/>
        </w:rPr>
        <w:t xml:space="preserve"> in this regard </w:t>
      </w:r>
      <w:r w:rsidRPr="00DD2D90">
        <w:rPr>
          <w:rStyle w:val="StyleUnderline"/>
          <w:highlight w:val="green"/>
        </w:rPr>
        <w:t xml:space="preserve">will </w:t>
      </w:r>
      <w:r w:rsidRPr="00DD2D90">
        <w:rPr>
          <w:rStyle w:val="StyleUnderline"/>
        </w:rPr>
        <w:t xml:space="preserve">be those that </w:t>
      </w:r>
      <w:r w:rsidRPr="00DD2D90">
        <w:rPr>
          <w:rStyle w:val="StyleUnderline"/>
          <w:highlight w:val="green"/>
        </w:rPr>
        <w:t>provide</w:t>
      </w:r>
      <w:r w:rsidRPr="009C4A5A">
        <w:rPr>
          <w:sz w:val="16"/>
        </w:rPr>
        <w:t xml:space="preserve"> relatively </w:t>
      </w:r>
      <w:r w:rsidRPr="00DD2D90">
        <w:rPr>
          <w:rStyle w:val="StyleUnderline"/>
          <w:highlight w:val="green"/>
        </w:rPr>
        <w:t>clear feedback</w:t>
      </w:r>
      <w:r w:rsidRPr="009C4A5A">
        <w:rPr>
          <w:sz w:val="16"/>
        </w:rPr>
        <w:t xml:space="preserve"> to the agents and agencies concerned </w:t>
      </w:r>
      <w:r w:rsidRPr="00DD2D90">
        <w:rPr>
          <w:rStyle w:val="StyleUnderline"/>
          <w:highlight w:val="green"/>
        </w:rPr>
        <w:t>and</w:t>
      </w:r>
      <w:r w:rsidRPr="009C4A5A">
        <w:rPr>
          <w:sz w:val="16"/>
        </w:rPr>
        <w:t xml:space="preserve"> enable relatively </w:t>
      </w:r>
      <w:r w:rsidRPr="00DD2D90">
        <w:rPr>
          <w:rStyle w:val="StyleUnderline"/>
          <w:highlight w:val="green"/>
        </w:rPr>
        <w:t>speedy adaptation to changing info</w:t>
      </w:r>
      <w:r w:rsidRPr="00DD2D90">
        <w:rPr>
          <w:rStyle w:val="StyleUnderline"/>
        </w:rPr>
        <w:t>rmation</w:t>
      </w:r>
      <w:r w:rsidRPr="009C4A5A">
        <w:rPr>
          <w:sz w:val="16"/>
        </w:rPr>
        <w:t xml:space="preserve"> about success and failure in reading situations </w:t>
      </w:r>
      <w:r w:rsidRPr="00DD2D90">
        <w:rPr>
          <w:rStyle w:val="StyleUnderline"/>
          <w:highlight w:val="green"/>
        </w:rPr>
        <w:t>at the local</w:t>
      </w:r>
      <w:r w:rsidRPr="009C4A5A">
        <w:rPr>
          <w:sz w:val="16"/>
          <w:highlight w:val="green"/>
        </w:rPr>
        <w:t xml:space="preserve"> </w:t>
      </w:r>
      <w:r w:rsidRPr="00DD2D90">
        <w:rPr>
          <w:rStyle w:val="StyleUnderline"/>
          <w:highlight w:val="green"/>
        </w:rPr>
        <w:t>level</w:t>
      </w:r>
      <w:r w:rsidRPr="009C4A5A">
        <w:rPr>
          <w:sz w:val="16"/>
        </w:rPr>
        <w:t xml:space="preserve">. In brief, </w:t>
      </w:r>
      <w:r w:rsidRPr="00DD2D90">
        <w:rPr>
          <w:rStyle w:val="StyleUnderline"/>
        </w:rPr>
        <w:t>this</w:t>
      </w:r>
      <w:r w:rsidRPr="009C4A5A">
        <w:rPr>
          <w:sz w:val="16"/>
        </w:rPr>
        <w:t xml:space="preserve"> analysis </w:t>
      </w:r>
      <w:r w:rsidRPr="00DD2D90">
        <w:rPr>
          <w:rStyle w:val="StyleUnderline"/>
        </w:rPr>
        <w:t xml:space="preserve">underlies Hayek’s case for a </w:t>
      </w:r>
      <w:r w:rsidRPr="00DD2D90">
        <w:rPr>
          <w:rStyle w:val="StyleUnderline"/>
          <w:highlight w:val="green"/>
        </w:rPr>
        <w:t>market economy</w:t>
      </w:r>
      <w:r w:rsidRPr="009C4A5A">
        <w:rPr>
          <w:sz w:val="16"/>
        </w:rPr>
        <w:t xml:space="preserve"> based on rules of private property and contract, </w:t>
      </w:r>
      <w:r w:rsidRPr="00DD2D90">
        <w:rPr>
          <w:rStyle w:val="StyleUnderline"/>
        </w:rPr>
        <w:t>over a planned</w:t>
      </w:r>
      <w:r w:rsidRPr="009C4A5A">
        <w:rPr>
          <w:sz w:val="16"/>
        </w:rPr>
        <w:t xml:space="preserve"> or centrally managed </w:t>
      </w:r>
      <w:r w:rsidRPr="00DD2D90">
        <w:rPr>
          <w:rStyle w:val="StyleUnderline"/>
        </w:rPr>
        <w:t>economy</w:t>
      </w:r>
      <w:r w:rsidRPr="009C4A5A">
        <w:rPr>
          <w:sz w:val="16"/>
        </w:rPr>
        <w:t xml:space="preserve">. A market economy should be understood as a complex adaptive system where property rights and </w:t>
      </w:r>
      <w:r w:rsidRPr="00DD2D90">
        <w:rPr>
          <w:rStyle w:val="StyleUnderline"/>
        </w:rPr>
        <w:t>freedom of contract provide rules that enable an intricate ecology of</w:t>
      </w:r>
      <w:r w:rsidRPr="009C4A5A">
        <w:rPr>
          <w:sz w:val="16"/>
        </w:rPr>
        <w:t xml:space="preserve"> dispersed </w:t>
      </w:r>
      <w:r w:rsidRPr="00DD2D90">
        <w:rPr>
          <w:rStyle w:val="StyleUnderline"/>
        </w:rPr>
        <w:t>individuals and organisations</w:t>
      </w:r>
      <w:r w:rsidRPr="009C4A5A">
        <w:rPr>
          <w:sz w:val="16"/>
        </w:rPr>
        <w:t xml:space="preserve"> to experiment in responding to their own circumstances and for the results of these experiments to be communicated to neighbouring actors via profit and loss accounting and market price signals. </w:t>
      </w:r>
      <w:r w:rsidRPr="00DD2D90">
        <w:rPr>
          <w:rStyle w:val="StyleUnderline"/>
        </w:rPr>
        <w:t xml:space="preserve">The </w:t>
      </w:r>
      <w:r w:rsidRPr="00DD2D90">
        <w:rPr>
          <w:rStyle w:val="StyleUnderline"/>
          <w:highlight w:val="green"/>
        </w:rPr>
        <w:t>resultant ‘order’ is an ‘emergent’ property</w:t>
      </w:r>
      <w:r w:rsidRPr="00DD2D90">
        <w:rPr>
          <w:rStyle w:val="StyleUnderline"/>
        </w:rPr>
        <w:t xml:space="preserve"> of the constant interaction between the various elements in a context where </w:t>
      </w:r>
      <w:r w:rsidRPr="00DD2D90">
        <w:rPr>
          <w:rStyle w:val="StyleUnderline"/>
          <w:highlight w:val="green"/>
        </w:rPr>
        <w:t>no ‘directive intelligence’ could be aware of all the</w:t>
      </w:r>
      <w:r w:rsidRPr="00DD2D90">
        <w:rPr>
          <w:rStyle w:val="StyleUnderline"/>
        </w:rPr>
        <w:t xml:space="preserve"> possible and continually </w:t>
      </w:r>
      <w:r w:rsidRPr="00DD2D90">
        <w:rPr>
          <w:rStyle w:val="StyleUnderline"/>
          <w:highlight w:val="green"/>
        </w:rPr>
        <w:t>changing</w:t>
      </w:r>
      <w:r w:rsidRPr="00DD2D90">
        <w:rPr>
          <w:rStyle w:val="StyleUnderline"/>
        </w:rPr>
        <w:t xml:space="preserve"> margins for </w:t>
      </w:r>
      <w:r w:rsidRPr="00DD2D90">
        <w:rPr>
          <w:rStyle w:val="StyleUnderline"/>
          <w:highlight w:val="green"/>
        </w:rPr>
        <w:t>adjustment</w:t>
      </w:r>
      <w:r w:rsidRPr="009C4A5A">
        <w:rPr>
          <w:sz w:val="16"/>
        </w:rPr>
        <w:t xml:space="preserve">. Contrary to some critical readings of Hayek’s ideas (for example, Grossman and Stiglitz 1980), there is no suggestion that the relevant order in markets occurs instantaneously or that adaptations made are ‘perfect’. Rather, Hayek’s claim is a comparative one that </w:t>
      </w:r>
      <w:r w:rsidRPr="00DD2D90">
        <w:rPr>
          <w:rStyle w:val="StyleUnderline"/>
        </w:rPr>
        <w:t>market economies facilitate more learning and adjustment than would likely arise in a centrally managed alternative</w:t>
      </w:r>
      <w:r w:rsidRPr="009C4A5A">
        <w:rPr>
          <w:sz w:val="16"/>
        </w:rPr>
        <w:t xml:space="preserve">. Neither is there any suggestion that prices communicate all necessary knowledge. Hayek’s argument is the more modest one that </w:t>
      </w:r>
      <w:r w:rsidRPr="00DD2D90">
        <w:rPr>
          <w:rStyle w:val="StyleUnderline"/>
        </w:rPr>
        <w:t xml:space="preserve">market </w:t>
      </w:r>
      <w:r w:rsidRPr="00DD2D90">
        <w:rPr>
          <w:rStyle w:val="StyleUnderline"/>
          <w:highlight w:val="green"/>
        </w:rPr>
        <w:t>prices communicate</w:t>
      </w:r>
      <w:r w:rsidRPr="00DD2D90">
        <w:rPr>
          <w:rStyle w:val="StyleUnderline"/>
        </w:rPr>
        <w:t xml:space="preserve"> in an indirect way </w:t>
      </w:r>
      <w:r w:rsidRPr="00DD2D90">
        <w:rPr>
          <w:rStyle w:val="StyleUnderline"/>
          <w:highlight w:val="green"/>
        </w:rPr>
        <w:t>more knowledge than would be possible without them</w:t>
      </w:r>
      <w:r w:rsidRPr="009C4A5A">
        <w:rPr>
          <w:sz w:val="16"/>
        </w:rPr>
        <w:t xml:space="preserve">. Price signals will always operate in a ‘noisy’ environment and given uncertainty about future states of the world entrepreneurs must try to understand whether shifts in prices reflect longer or shorter-term social trends and what the possible causes of these might be. Part of Hayek’s case for the market economy is that competition operates as a discovery procedure where different social constructions of what prices mean, are tested against one another and the relative strength of these subjective readings revealed through the account of profit and loss (for example, Hayek 1948; Hayek 1978a, b). Prices on this view are not ‘given data’ which are presented in their totality to actors. Rather they present themselves as overlapping ‘bits’ of data that both affect and are affected by a process of social contestation and interaction where widely dispersed interpretations of economic possibilities continually tussle with one another. Outside of such a rivalrous process the capacity to reveal the opportunity costs of alternative courses of action would be confined to the very limited imagination of a ‘directive intelligence’ or ‘social planner’. It should be noted that none of these arguments are undermined by technological innovations such as for example the development of artificial intelligence or ‘big data’ gathering techniques which it is often suggested might allow for the replacement of market processes (for example Cottrell and Cockshott 1993; Phillips and Rozworski 2019 – for a critique see Hodgson 1998). On the one hand, these innovations increase the scope for decentralised agents -whether individuals, firms, or voluntary organisations, to increase the complexity of their own decision-making. This means that no matter how sophisticated the relevant technology becomes the complexity of the social system at the ‘meta-level’ will be higher than the cognitive capacities of any ‘directive intelligence’. Similarly, no matter how much data collection is facilitated by technology it will remain the case that the </w:t>
      </w:r>
      <w:r w:rsidRPr="00DD2D90">
        <w:rPr>
          <w:rStyle w:val="StyleUnderline"/>
        </w:rPr>
        <w:t>data</w:t>
      </w:r>
      <w:r w:rsidRPr="009C4A5A">
        <w:rPr>
          <w:sz w:val="16"/>
        </w:rPr>
        <w:t xml:space="preserve"> at issue </w:t>
      </w:r>
      <w:r w:rsidRPr="00DD2D90">
        <w:rPr>
          <w:rStyle w:val="StyleUnderline"/>
        </w:rPr>
        <w:t>will not ‘speak for themselves’</w:t>
      </w:r>
      <w:r w:rsidRPr="009C4A5A">
        <w:rPr>
          <w:sz w:val="16"/>
        </w:rPr>
        <w:t xml:space="preserve">. </w:t>
      </w:r>
      <w:r w:rsidRPr="00DD2D90">
        <w:rPr>
          <w:rStyle w:val="StyleUnderline"/>
        </w:rPr>
        <w:t>Even if big data were to allow for a retrodictive understanding of the causes of socio-economic events this understanding will arrive ‘too late’ to act as a guide to effective decision-making</w:t>
      </w:r>
      <w:r w:rsidRPr="009C4A5A">
        <w:rPr>
          <w:sz w:val="16"/>
        </w:rPr>
        <w:t xml:space="preserve">. Moreover, to the extent that it provides an understanding of the past different </w:t>
      </w:r>
      <w:r w:rsidRPr="00DD2D90">
        <w:rPr>
          <w:rStyle w:val="StyleUnderline"/>
        </w:rPr>
        <w:t>people will interpret the future implications of the relevant data in different ways</w:t>
      </w:r>
      <w:r w:rsidRPr="009C4A5A">
        <w:rPr>
          <w:sz w:val="16"/>
        </w:rPr>
        <w:t xml:space="preserve">. On a Hayekian view, readings of data are no more than social constructions so the importance of competition in testing these different constructions against alternative readings remains paramount. Absent competition there is likely to be an increased risk of large scale decision failure where should those empowered to make decisions err in their choices then the effects are likely to be felt across the whole of society, rather than being confined to a relatively smaller portion of the community in question. 3 The coronavirus pandemic as a complex problem </w:t>
      </w:r>
    </w:p>
    <w:p w14:paraId="11975DD3" w14:textId="73F9578F" w:rsidR="003525FF" w:rsidRPr="009C4A5A" w:rsidRDefault="00E06053" w:rsidP="003525FF">
      <w:pPr>
        <w:pStyle w:val="Heading4"/>
        <w:rPr>
          <w:szCs w:val="26"/>
        </w:rPr>
      </w:pPr>
      <w:r w:rsidRPr="009C4A5A">
        <w:rPr>
          <w:szCs w:val="26"/>
        </w:rPr>
        <w:t xml:space="preserve">Massive </w:t>
      </w:r>
      <w:r w:rsidR="0053268C" w:rsidRPr="009C4A5A">
        <w:rPr>
          <w:szCs w:val="26"/>
        </w:rPr>
        <w:t>e</w:t>
      </w:r>
      <w:r w:rsidRPr="009C4A5A">
        <w:rPr>
          <w:szCs w:val="26"/>
        </w:rPr>
        <w:t xml:space="preserve">conomic changes </w:t>
      </w:r>
      <w:proofErr w:type="gramStart"/>
      <w:r w:rsidRPr="009C4A5A">
        <w:rPr>
          <w:szCs w:val="26"/>
        </w:rPr>
        <w:t>causes</w:t>
      </w:r>
      <w:proofErr w:type="gramEnd"/>
      <w:r w:rsidRPr="009C4A5A">
        <w:rPr>
          <w:szCs w:val="26"/>
        </w:rPr>
        <w:t xml:space="preserve"> regulatory uncertainty and removes the self-regulation of markets through price signals – both </w:t>
      </w:r>
      <w:proofErr w:type="gramStart"/>
      <w:r w:rsidR="0053268C" w:rsidRPr="009C4A5A">
        <w:rPr>
          <w:szCs w:val="26"/>
        </w:rPr>
        <w:t>increase  system</w:t>
      </w:r>
      <w:proofErr w:type="gramEnd"/>
      <w:r w:rsidR="0053268C" w:rsidRPr="009C4A5A">
        <w:rPr>
          <w:szCs w:val="26"/>
        </w:rPr>
        <w:t xml:space="preserve"> complexity that makes central planning impossible, resulting in massive social disasters from bad decision-making</w:t>
      </w:r>
    </w:p>
    <w:p w14:paraId="3CF14BC0" w14:textId="639DFBA8" w:rsidR="003525FF" w:rsidRPr="00DD2D90" w:rsidRDefault="00D55636" w:rsidP="003525FF">
      <w:r w:rsidRPr="009C4A5A">
        <w:rPr>
          <w:b/>
          <w:bCs/>
          <w:sz w:val="26"/>
          <w:szCs w:val="26"/>
        </w:rPr>
        <w:t>Pennington 20</w:t>
      </w:r>
      <w:r w:rsidRPr="00DD2D90">
        <w:t xml:space="preserve"> [Mark Pennington, Department of Political Economy at King’s College, 7-28-2020, "Hayek on complexity, uncertainty and pandemic response", SpringerLink, https://link.springer.com/article/10.1007/s11138-020-00522-9]/Kankee</w:t>
      </w:r>
    </w:p>
    <w:p w14:paraId="0ABFDC04" w14:textId="795D767C" w:rsidR="00B2192A" w:rsidRPr="009C4A5A" w:rsidRDefault="00B2192A" w:rsidP="003525FF">
      <w:pPr>
        <w:rPr>
          <w:sz w:val="16"/>
        </w:rPr>
      </w:pPr>
      <w:r w:rsidRPr="009C4A5A">
        <w:rPr>
          <w:sz w:val="16"/>
        </w:rPr>
        <w:t xml:space="preserve">While the foregoing arguments are theoretical in nature, they are also empirically grounded claims that help to explain, at least in a qualitative sense, the superior performance of economies that rely on market processes relative to those that try to suppress them. Though Hayek develops a powerful case for the importance of market processes however, his perspective does not imply that there are market solutions to all socio-economic problems. In works such as The Road to Serfdom (1944) and The Constitution of Liberty (1960) Hayek sets out an extensive range of government measures where public goods style challenges arise. Dealing with infectious diseases such as the new coronavirus where these dynamics may be especially prevalent, may thus be a justifiable form of government action. Nonetheless, understanding and evaluating any such action will require proper appreciation of the levels of complexity in play and whether there are effective feedback mechanisms available to policymakers to cope with the uncertainties at hand. On a Hayekian view, the task is to find institutional configurations that allow for experimentation and feedback that is somewhat analogous to that provided by markets. With this challenge in mind this section sets out some of the complexities that may confront policymakers facing the coronavirus pandemic. The subsequent section turns to the existence or otherwise of mechanisms analogous to those in market processes that may enable decision-makers to avoid large scale errors and to learn from other decision-making nodes. As with other pandemics, a first layer of complexity that policymakers must contend with in addressing the new coronavirus concerns the epidemiology of the virus itself. Epidemiological problems although involving natural science phenomena are not of the simple ‘physics’ type. While epidemiologists may discern the principles that govern how a virus spreads and perhaps simulate a range of possible outcomes –the precise manner of spread through a population will depend on a host of context specific variables that may not be accessible to the scientists or experts concerned. This challenge is seen most clearly perhaps in the problem of modelling the spread of the pandemic and the sometimes very different projections of the size and shape of the peak of the disease (for a discussion of this see Ormerod 2020). Will the pandemic peter out of its own accord without first having to affect a large percentage of the population? At what level of spread might ‘herd immunity’ be achieved? How is the spread of the virus affected by weather and geography? Will there be a second wave of infections? And will the virus mutate into a weaker or stronger form? Uncertainties surrounding answers to these and other such questions mean that modelling and data analysis will involve a good deal of subjective interpretation and scope for significant error. An additional layer of complexity arises because the virus which is itself a complex phenomenon is interacting with a further complex phenomenon represented by the various political, economic, cultural and institutional arrangements across the world that might affect the manner of spread. As Ormerod (2020) notes, one of the key limitations of epidemiological models is that their projections often fail to account for human behaviour and changes in that behaviour – including those induced by public policy. There is, for example, considerable uncertainty about how the new coronavirus will respond to various public policy interventions. It is unclear how ‘lockdown’ policies might affect the size of a possible second wave of transmission. On one scenario lockdowns might be essential to reducing the spread of the disease to the point where infections in any ‘second wave’ could be more easily managed and controlled. On the other hand, however, it could be that the success of lockdowns in limiting the spread of a first wave of the virus will only contribute to a much larger and potentially uncontrollable second wave of infections owing to the limited extent of herd immunity arising from the lockdown measures. Still further </w:t>
      </w:r>
      <w:r w:rsidRPr="00DD2D90">
        <w:rPr>
          <w:rStyle w:val="StyleUnderline"/>
        </w:rPr>
        <w:t>complexity is injected into the policy conundrum by uncertainties about how different populations with different social attitudes, time horizons and belief systems may respond to the various policy measures that are adopted, or to news</w:t>
      </w:r>
      <w:r w:rsidRPr="009C4A5A">
        <w:rPr>
          <w:sz w:val="16"/>
        </w:rPr>
        <w:t xml:space="preserve"> about developments that are affecting the spread of the virus. Within this context, there is a distinct possibility for ‘Lucas effects’ to arise. In macro-economic analysis these refer to situations where </w:t>
      </w:r>
      <w:r w:rsidRPr="00DD2D90">
        <w:rPr>
          <w:rStyle w:val="StyleUnderline"/>
        </w:rPr>
        <w:t>public policy measures might be counteracted by shifts in behaviour which are a response to the measures concerned</w:t>
      </w:r>
      <w:r w:rsidRPr="009C4A5A">
        <w:rPr>
          <w:sz w:val="16"/>
        </w:rPr>
        <w:t xml:space="preserve"> (for example, Lucas 1976). If for example policymakers seek to raise inflation in the hope of lowering unemployment, then this may lead to a shift in employers inflation expectations which may lead them to decrease employment. Macro-economic models if they are to be useful to policymakers need, therefore, to factor in how changes in policy might change the expectations and behaviour of the agents on which the policy is supposed to act. In the specific context of pandemic response it is possible that if people come to believe that a vaccine is imminent or that herd immunity is close to being achieved they may start to behave in ways – such as abandoning social distancing measures – that make the immediate problem worse. On a Hayekian view, however, </w:t>
      </w:r>
      <w:r w:rsidRPr="00DD2D90">
        <w:rPr>
          <w:rStyle w:val="StyleUnderline"/>
          <w:highlight w:val="green"/>
        </w:rPr>
        <w:t>there is a</w:t>
      </w:r>
      <w:r w:rsidRPr="00DD2D90">
        <w:rPr>
          <w:rStyle w:val="StyleUnderline"/>
        </w:rPr>
        <w:t xml:space="preserve"> </w:t>
      </w:r>
      <w:r w:rsidRPr="00DD2D90">
        <w:rPr>
          <w:rStyle w:val="Emphasis"/>
        </w:rPr>
        <w:t>significant</w:t>
      </w:r>
      <w:r w:rsidRPr="00DD2D90">
        <w:rPr>
          <w:rStyle w:val="StyleUnderline"/>
        </w:rPr>
        <w:t xml:space="preserve"> ‘</w:t>
      </w:r>
      <w:r w:rsidRPr="00DD2D90">
        <w:rPr>
          <w:rStyle w:val="StyleUnderline"/>
          <w:highlight w:val="green"/>
        </w:rPr>
        <w:t xml:space="preserve">knowledge </w:t>
      </w:r>
      <w:r w:rsidRPr="00DD2D90">
        <w:rPr>
          <w:rStyle w:val="StyleUnderline"/>
        </w:rPr>
        <w:t xml:space="preserve">problem’ for </w:t>
      </w:r>
      <w:r w:rsidRPr="00DD2D90">
        <w:rPr>
          <w:rStyle w:val="StyleUnderline"/>
          <w:highlight w:val="green"/>
        </w:rPr>
        <w:t xml:space="preserve">policymakers in understanding how expectations will be </w:t>
      </w:r>
      <w:r w:rsidRPr="00DD2D90">
        <w:rPr>
          <w:rStyle w:val="StyleUnderline"/>
        </w:rPr>
        <w:t xml:space="preserve">changed by the pattern of events or by </w:t>
      </w:r>
      <w:r w:rsidRPr="00DD2D90">
        <w:rPr>
          <w:rStyle w:val="StyleUnderline"/>
          <w:highlight w:val="green"/>
        </w:rPr>
        <w:t>policy interventions</w:t>
      </w:r>
      <w:r w:rsidRPr="009C4A5A">
        <w:rPr>
          <w:sz w:val="16"/>
        </w:rPr>
        <w:t xml:space="preserve"> – and </w:t>
      </w:r>
      <w:r w:rsidRPr="00DD2D90">
        <w:rPr>
          <w:rStyle w:val="StyleUnderline"/>
        </w:rPr>
        <w:t xml:space="preserve">this problem is </w:t>
      </w:r>
      <w:r w:rsidRPr="00DD2D90">
        <w:rPr>
          <w:rStyle w:val="Emphasis"/>
        </w:rPr>
        <w:t>especially severe</w:t>
      </w:r>
      <w:r w:rsidRPr="00DD2D90">
        <w:rPr>
          <w:rStyle w:val="StyleUnderline"/>
        </w:rPr>
        <w:t xml:space="preserve"> in a context of heterogenous individuals with divergent ideas whose actions cannot be reduced to those of a ‘representative agent’</w:t>
      </w:r>
      <w:r w:rsidRPr="009C4A5A">
        <w:rPr>
          <w:sz w:val="16"/>
        </w:rPr>
        <w:t xml:space="preserve">. The complexities discussed thus far raise significant challenges for policymakers even if they concern themselves solely with managing the health effects of the virus. To approach pandemic response in such a way would be to see it as primarily a ‘technological problem’ – where the task at hand is to allocate resources to achieve a singular ‘technical’ end. Pandemic response, however, is not best understood as a narrowly technical exercise but as an ‘economic problem’ which involves allocating resources between multiple competing ends. </w:t>
      </w:r>
      <w:r w:rsidRPr="00DD2D90">
        <w:rPr>
          <w:rStyle w:val="StyleUnderline"/>
          <w:highlight w:val="green"/>
        </w:rPr>
        <w:t>In</w:t>
      </w:r>
      <w:r w:rsidRPr="00DD2D90">
        <w:rPr>
          <w:rStyle w:val="StyleUnderline"/>
        </w:rPr>
        <w:t xml:space="preserve"> the context of </w:t>
      </w:r>
      <w:r w:rsidRPr="00DD2D90">
        <w:rPr>
          <w:rStyle w:val="StyleUnderline"/>
          <w:highlight w:val="green"/>
        </w:rPr>
        <w:t>health</w:t>
      </w:r>
      <w:r w:rsidRPr="00DD2D90">
        <w:rPr>
          <w:rStyle w:val="StyleUnderline"/>
        </w:rPr>
        <w:t xml:space="preserve"> objectives </w:t>
      </w:r>
      <w:r w:rsidRPr="00DD2D90">
        <w:rPr>
          <w:rStyle w:val="StyleUnderline"/>
          <w:highlight w:val="green"/>
        </w:rPr>
        <w:t xml:space="preserve">there are </w:t>
      </w:r>
      <w:r w:rsidRPr="00DD2D90">
        <w:rPr>
          <w:rStyle w:val="Emphasis"/>
          <w:highlight w:val="green"/>
        </w:rPr>
        <w:t>complex</w:t>
      </w:r>
      <w:r w:rsidRPr="00DD2D90">
        <w:rPr>
          <w:rStyle w:val="StyleUnderline"/>
          <w:highlight w:val="green"/>
        </w:rPr>
        <w:t xml:space="preserve"> and </w:t>
      </w:r>
      <w:r w:rsidRPr="00DD2D90">
        <w:rPr>
          <w:rStyle w:val="Emphasis"/>
          <w:highlight w:val="green"/>
        </w:rPr>
        <w:t>uncertain trade-offs</w:t>
      </w:r>
      <w:r w:rsidRPr="00DD2D90">
        <w:rPr>
          <w:rStyle w:val="StyleUnderline"/>
        </w:rPr>
        <w:t xml:space="preserve"> to be made </w:t>
      </w:r>
      <w:r w:rsidRPr="00DD2D90">
        <w:rPr>
          <w:rStyle w:val="StyleUnderline"/>
          <w:highlight w:val="green"/>
        </w:rPr>
        <w:t>between the possible reduction</w:t>
      </w:r>
      <w:r w:rsidRPr="00DD2D90">
        <w:rPr>
          <w:rStyle w:val="StyleUnderline"/>
        </w:rPr>
        <w:t xml:space="preserve"> of deaths</w:t>
      </w:r>
      <w:r w:rsidRPr="009C4A5A">
        <w:rPr>
          <w:sz w:val="16"/>
        </w:rPr>
        <w:t xml:space="preserve"> from the coronavirus that might follow lock-down measures </w:t>
      </w:r>
      <w:r w:rsidRPr="00DD2D90">
        <w:rPr>
          <w:rStyle w:val="StyleUnderline"/>
          <w:highlight w:val="green"/>
        </w:rPr>
        <w:t>and</w:t>
      </w:r>
      <w:r w:rsidRPr="00DD2D90">
        <w:rPr>
          <w:rStyle w:val="StyleUnderline"/>
        </w:rPr>
        <w:t xml:space="preserve"> the possible </w:t>
      </w:r>
      <w:r w:rsidRPr="00DD2D90">
        <w:rPr>
          <w:rStyle w:val="StyleUnderline"/>
          <w:highlight w:val="green"/>
        </w:rPr>
        <w:t>increased</w:t>
      </w:r>
      <w:r w:rsidRPr="00DD2D90">
        <w:rPr>
          <w:rStyle w:val="StyleUnderline"/>
        </w:rPr>
        <w:t xml:space="preserve"> </w:t>
      </w:r>
      <w:r w:rsidRPr="00DD2D90">
        <w:rPr>
          <w:rStyle w:val="StyleUnderline"/>
          <w:highlight w:val="green"/>
        </w:rPr>
        <w:t>deaths</w:t>
      </w:r>
      <w:r w:rsidRPr="00DD2D90">
        <w:rPr>
          <w:rStyle w:val="StyleUnderline"/>
        </w:rPr>
        <w:t xml:space="preserve"> </w:t>
      </w:r>
      <w:r w:rsidRPr="00DD2D90">
        <w:rPr>
          <w:rStyle w:val="StyleUnderline"/>
          <w:highlight w:val="green"/>
        </w:rPr>
        <w:t>arising from illnesses that might go undiagnosed</w:t>
      </w:r>
      <w:r w:rsidRPr="00DD2D90">
        <w:rPr>
          <w:rStyle w:val="StyleUnderline"/>
        </w:rPr>
        <w:t xml:space="preserve"> or untreated</w:t>
      </w:r>
      <w:r w:rsidRPr="009C4A5A">
        <w:rPr>
          <w:sz w:val="16"/>
        </w:rPr>
        <w:t xml:space="preserve"> because of such measures. Away from the problem of trying to trade off deaths from these different sources, there are also costs to be considered pertaining to the possible deterioration in people’s mental health as well as to possibilities such as increases in domestic violence that may also accompany prolonged periods of confinement and social isolation. Turning away from these health-related trade-offs to broader socio-economic questions there is great uncertainty over the extent to which the socio-economic damage that may have been inflicted by a less controlled spread of the virus is matched or outweighed by the scale of the socio-economic costs associated with the measures being taken to contain it. Part of this challenge can be understood as arising from trade-offs between different sources of what Higgs (1997) refers to as ‘regime uncertainty’. On a Hayekian view, </w:t>
      </w:r>
      <w:r w:rsidRPr="00DD2D90">
        <w:rPr>
          <w:rStyle w:val="StyleUnderline"/>
        </w:rPr>
        <w:t xml:space="preserve">one of the </w:t>
      </w:r>
      <w:r w:rsidRPr="00DD2D90">
        <w:rPr>
          <w:rStyle w:val="Emphasis"/>
        </w:rPr>
        <w:t>primary</w:t>
      </w:r>
      <w:r w:rsidRPr="00DD2D90">
        <w:rPr>
          <w:rStyle w:val="StyleUnderline"/>
        </w:rPr>
        <w:t xml:space="preserve"> functions of social institutions</w:t>
      </w:r>
      <w:r w:rsidRPr="009C4A5A">
        <w:rPr>
          <w:sz w:val="16"/>
        </w:rPr>
        <w:t xml:space="preserve"> </w:t>
      </w:r>
      <w:r w:rsidRPr="00DD2D90">
        <w:rPr>
          <w:rStyle w:val="StyleUnderline"/>
        </w:rPr>
        <w:t xml:space="preserve">such as </w:t>
      </w:r>
      <w:r w:rsidRPr="00DD2D90">
        <w:rPr>
          <w:rStyle w:val="Emphasis"/>
        </w:rPr>
        <w:t>private property</w:t>
      </w:r>
      <w:r w:rsidRPr="00DD2D90">
        <w:rPr>
          <w:rStyle w:val="StyleUnderline"/>
        </w:rPr>
        <w:t xml:space="preserve"> rights</w:t>
      </w:r>
      <w:r w:rsidRPr="009C4A5A">
        <w:rPr>
          <w:sz w:val="16"/>
        </w:rPr>
        <w:t xml:space="preserve"> and contract law </w:t>
      </w:r>
      <w:r w:rsidRPr="00DD2D90">
        <w:rPr>
          <w:rStyle w:val="StyleUnderline"/>
        </w:rPr>
        <w:t>is to provide</w:t>
      </w:r>
      <w:r w:rsidRPr="009C4A5A">
        <w:rPr>
          <w:sz w:val="16"/>
        </w:rPr>
        <w:t xml:space="preserve"> a measure of </w:t>
      </w:r>
      <w:r w:rsidRPr="00DD2D90">
        <w:rPr>
          <w:rStyle w:val="Emphasis"/>
        </w:rPr>
        <w:t>certainty</w:t>
      </w:r>
      <w:r w:rsidRPr="009C4A5A">
        <w:rPr>
          <w:sz w:val="16"/>
        </w:rPr>
        <w:t xml:space="preserve"> </w:t>
      </w:r>
      <w:r w:rsidRPr="00DD2D90">
        <w:rPr>
          <w:rStyle w:val="StyleUnderline"/>
        </w:rPr>
        <w:t>to decision-makers in an otherwise highly complex and uncertain world</w:t>
      </w:r>
      <w:r w:rsidRPr="009C4A5A">
        <w:rPr>
          <w:sz w:val="16"/>
        </w:rPr>
        <w:t xml:space="preserve">. Agents operating in a market economy cannot be sure that their ex ante assessment of a decision situation will be confirmed ex post – but secure property rights do provide some degree of certainty that agents can retain the profits from decisions that turn out well and face the costs of those that turn out badly. </w:t>
      </w:r>
      <w:r w:rsidRPr="00DD2D90">
        <w:rPr>
          <w:rStyle w:val="StyleUnderline"/>
          <w:highlight w:val="green"/>
        </w:rPr>
        <w:t>Regime uncertainty</w:t>
      </w:r>
      <w:r w:rsidRPr="009C4A5A">
        <w:rPr>
          <w:sz w:val="16"/>
        </w:rPr>
        <w:t xml:space="preserve"> however </w:t>
      </w:r>
      <w:r w:rsidRPr="00DD2D90">
        <w:rPr>
          <w:rStyle w:val="StyleUnderline"/>
          <w:highlight w:val="green"/>
        </w:rPr>
        <w:t>arises</w:t>
      </w:r>
      <w:r w:rsidRPr="009C4A5A">
        <w:rPr>
          <w:sz w:val="16"/>
        </w:rPr>
        <w:t xml:space="preserve"> precisely </w:t>
      </w:r>
      <w:r w:rsidRPr="00DD2D90">
        <w:rPr>
          <w:rStyle w:val="StyleUnderline"/>
        </w:rPr>
        <w:t xml:space="preserve">in contexts </w:t>
      </w:r>
      <w:r w:rsidRPr="00DD2D90">
        <w:rPr>
          <w:rStyle w:val="StyleUnderline"/>
          <w:highlight w:val="green"/>
        </w:rPr>
        <w:t>where the basis of social rules such as</w:t>
      </w:r>
      <w:r w:rsidRPr="009C4A5A">
        <w:rPr>
          <w:sz w:val="16"/>
        </w:rPr>
        <w:t xml:space="preserve"> security of </w:t>
      </w:r>
      <w:r w:rsidRPr="00DD2D90">
        <w:rPr>
          <w:rStyle w:val="StyleUnderline"/>
          <w:highlight w:val="green"/>
        </w:rPr>
        <w:t>property</w:t>
      </w:r>
      <w:r w:rsidRPr="009C4A5A">
        <w:rPr>
          <w:sz w:val="16"/>
        </w:rPr>
        <w:t xml:space="preserve"> itself </w:t>
      </w:r>
      <w:r w:rsidRPr="00DD2D90">
        <w:rPr>
          <w:rStyle w:val="StyleUnderline"/>
          <w:highlight w:val="green"/>
        </w:rPr>
        <w:t>becomes subject to uncertainty</w:t>
      </w:r>
      <w:r w:rsidRPr="009C4A5A">
        <w:rPr>
          <w:sz w:val="16"/>
        </w:rPr>
        <w:t xml:space="preserve">. In the context of pandemics regime uncertainty could arise from the failure of political authorities to act. An uncontrolled pandemic might lead to social dislocation and a break down in respect for the social norms and institutions – such as respect for property – that provide much of the glue sustaining social life. On the other hand, however, regime </w:t>
      </w:r>
      <w:r w:rsidRPr="00DD2D90">
        <w:rPr>
          <w:rStyle w:val="StyleUnderline"/>
          <w:highlight w:val="green"/>
        </w:rPr>
        <w:t>uncertainty might</w:t>
      </w:r>
      <w:r w:rsidRPr="00DD2D90">
        <w:rPr>
          <w:rStyle w:val="StyleUnderline"/>
        </w:rPr>
        <w:t xml:space="preserve"> also </w:t>
      </w:r>
      <w:r w:rsidRPr="00DD2D90">
        <w:rPr>
          <w:rStyle w:val="StyleUnderline"/>
          <w:highlight w:val="green"/>
        </w:rPr>
        <w:t>arise from badly judged</w:t>
      </w:r>
      <w:r w:rsidRPr="00DD2D90">
        <w:rPr>
          <w:rStyle w:val="StyleUnderline"/>
        </w:rPr>
        <w:t xml:space="preserve"> public </w:t>
      </w:r>
      <w:r w:rsidRPr="00DD2D90">
        <w:rPr>
          <w:rStyle w:val="StyleUnderline"/>
          <w:highlight w:val="green"/>
        </w:rPr>
        <w:t>policy interventions</w:t>
      </w:r>
      <w:r w:rsidRPr="009C4A5A">
        <w:rPr>
          <w:sz w:val="16"/>
        </w:rPr>
        <w:t xml:space="preserve">. There is a danger that </w:t>
      </w:r>
      <w:r w:rsidRPr="00DD2D90">
        <w:rPr>
          <w:rStyle w:val="StyleUnderline"/>
        </w:rPr>
        <w:t xml:space="preserve">political </w:t>
      </w:r>
      <w:r w:rsidRPr="00DD2D90">
        <w:rPr>
          <w:rStyle w:val="StyleUnderline"/>
          <w:highlight w:val="green"/>
        </w:rPr>
        <w:t>authorities may intervene</w:t>
      </w:r>
      <w:r w:rsidRPr="00DD2D90">
        <w:rPr>
          <w:rStyle w:val="StyleUnderline"/>
        </w:rPr>
        <w:t xml:space="preserve"> in market relationships </w:t>
      </w:r>
      <w:r w:rsidRPr="00DD2D90">
        <w:rPr>
          <w:rStyle w:val="StyleUnderline"/>
          <w:highlight w:val="green"/>
        </w:rPr>
        <w:t xml:space="preserve">in </w:t>
      </w:r>
      <w:r w:rsidRPr="00DD2D90">
        <w:rPr>
          <w:rStyle w:val="Emphasis"/>
          <w:highlight w:val="green"/>
        </w:rPr>
        <w:t>unpredictable</w:t>
      </w:r>
      <w:r w:rsidRPr="00DD2D90">
        <w:rPr>
          <w:rStyle w:val="StyleUnderline"/>
          <w:highlight w:val="green"/>
        </w:rPr>
        <w:t xml:space="preserve"> ways</w:t>
      </w:r>
      <w:r w:rsidRPr="00DD2D90">
        <w:rPr>
          <w:rStyle w:val="StyleUnderline"/>
        </w:rPr>
        <w:t xml:space="preserve"> to a point that </w:t>
      </w:r>
      <w:r w:rsidRPr="00DD2D90">
        <w:rPr>
          <w:rStyle w:val="StyleUnderline"/>
          <w:highlight w:val="green"/>
        </w:rPr>
        <w:t>this destroys</w:t>
      </w:r>
      <w:r w:rsidRPr="00DD2D90">
        <w:rPr>
          <w:rStyle w:val="StyleUnderline"/>
        </w:rPr>
        <w:t xml:space="preserve"> the </w:t>
      </w:r>
      <w:r w:rsidRPr="00DD2D90">
        <w:rPr>
          <w:rStyle w:val="StyleUnderline"/>
          <w:highlight w:val="green"/>
        </w:rPr>
        <w:t>confidence</w:t>
      </w:r>
      <w:r w:rsidRPr="00DD2D90">
        <w:rPr>
          <w:rStyle w:val="StyleUnderline"/>
        </w:rPr>
        <w:t xml:space="preserve"> of people in the impartiality of the law</w:t>
      </w:r>
      <w:r w:rsidRPr="009C4A5A">
        <w:rPr>
          <w:sz w:val="16"/>
        </w:rPr>
        <w:t xml:space="preserve">. Consider in this context the worker ‘furlough schemes’ that have been introduced in parts of Europe and the United States. These schemes pay out a large proportion of the wage bill for employers in businesses that have been closed by lockdown policies. In a context where public health measures have effectively ‘paused’ the economic system there is a strong case for schemes of this kind. There is however also a danger that </w:t>
      </w:r>
      <w:r w:rsidRPr="00DD2D90">
        <w:rPr>
          <w:rStyle w:val="StyleUnderline"/>
          <w:highlight w:val="green"/>
        </w:rPr>
        <w:t>political pressures</w:t>
      </w:r>
      <w:r w:rsidRPr="00DD2D90">
        <w:rPr>
          <w:rStyle w:val="StyleUnderline"/>
        </w:rPr>
        <w:t xml:space="preserve"> </w:t>
      </w:r>
      <w:r w:rsidRPr="00DD2D90">
        <w:rPr>
          <w:rStyle w:val="StyleUnderline"/>
          <w:highlight w:val="green"/>
        </w:rPr>
        <w:t>could</w:t>
      </w:r>
      <w:r w:rsidRPr="00DD2D90">
        <w:rPr>
          <w:rStyle w:val="StyleUnderline"/>
        </w:rPr>
        <w:t xml:space="preserve"> be brought to bear on policymakers in ways that </w:t>
      </w:r>
      <w:r w:rsidRPr="00DD2D90">
        <w:rPr>
          <w:rStyle w:val="StyleUnderline"/>
          <w:highlight w:val="green"/>
        </w:rPr>
        <w:t>introduce</w:t>
      </w:r>
      <w:r w:rsidRPr="00DD2D90">
        <w:rPr>
          <w:rStyle w:val="StyleUnderline"/>
        </w:rPr>
        <w:t xml:space="preserve"> significant </w:t>
      </w:r>
      <w:r w:rsidRPr="00DD2D90">
        <w:rPr>
          <w:rStyle w:val="StyleUnderline"/>
          <w:highlight w:val="green"/>
        </w:rPr>
        <w:t>arbitrariness</w:t>
      </w:r>
      <w:r w:rsidRPr="00DD2D90">
        <w:rPr>
          <w:rStyle w:val="StyleUnderline"/>
        </w:rPr>
        <w:t xml:space="preserve"> in the operation of the schemes.</w:t>
      </w:r>
      <w:r w:rsidRPr="009C4A5A">
        <w:rPr>
          <w:sz w:val="16"/>
        </w:rPr>
        <w:t xml:space="preserve"> The problem here is that any evidence of </w:t>
      </w:r>
      <w:r w:rsidRPr="00DD2D90">
        <w:rPr>
          <w:rStyle w:val="StyleUnderline"/>
        </w:rPr>
        <w:t>political favouritism may reduce the long term confidence of investors who in addition to navigating the inevitable uncertainties of business life may also fear having to anticipate potentially arbitrary interventions that favour some sectors over others</w:t>
      </w:r>
      <w:r w:rsidRPr="009C4A5A">
        <w:rPr>
          <w:sz w:val="16"/>
        </w:rPr>
        <w:t xml:space="preserve">. A different though related set of issues arise with the introduction of measures such as contact tracing schemes where there are concerns that personal data initially used to track those infected with the coronavirus might be used by political authorities as sources of information to be used against their opponents. Away from these issues of regime uncertainty there are wider and equally complex challenges arising from attempts to manage the macro-economic consequences of the pandemic and the policies to control it. Returning to the case of employment ‘furloughs’, while government spending may be necessary to support workers and employers in the immediate term there is also a danger that schemes of this kind may cause lasting economic damage if they are maintained for too long. If the effect of lock-down policies is to induce longer term changes in behaviour which may persist after the pandemic has passed – such as a greater reliance on home working, reduced demand for office space or increasing popularity for online delivery in fields such as education - then these changes may imply the need for significant economic restructuring and reallocations of labour and capital which an overly long furlough period would delay. Such changes cannot occur instantaneously but must occur over time as entrepreneurs try to discover which combinations of labour and capital are best suited to the new circumstances – and while this process unfolds there will inevitably be ‘unused capacity’ as a proportion of labour and capital will be left unemployed or ‘idle’. In these circumstances, Keynesian inspired ‘stimulus packages’ and macro-economic interventions that seek to ‘close the output gap’ and to preserve the pre-pandemic pattern of employment by maintaining ‘aggregate demand’, are subject to the concerns raised by the Hayekian critique of such measures in the context of financial or other economic crises (for a recent statement of these see White 2014). More specifically, a focus on aggregate demand may obscure underlying shifts in the structure and distribution of demand across different sectors and hence the need for relative price adjustments to signal the need for changes in the structure of production. </w:t>
      </w:r>
      <w:r w:rsidRPr="00DD2D90">
        <w:rPr>
          <w:rStyle w:val="StyleUnderline"/>
        </w:rPr>
        <w:t xml:space="preserve">Large scale </w:t>
      </w:r>
      <w:r w:rsidRPr="00DD2D90">
        <w:rPr>
          <w:rStyle w:val="StyleUnderline"/>
          <w:highlight w:val="green"/>
        </w:rPr>
        <w:t>public spending</w:t>
      </w:r>
      <w:r w:rsidRPr="00DD2D90">
        <w:rPr>
          <w:rStyle w:val="StyleUnderline"/>
        </w:rPr>
        <w:t xml:space="preserve"> programmes </w:t>
      </w:r>
      <w:r w:rsidRPr="00DD2D90">
        <w:rPr>
          <w:rStyle w:val="StyleUnderline"/>
          <w:highlight w:val="green"/>
        </w:rPr>
        <w:t>that</w:t>
      </w:r>
      <w:r w:rsidRPr="00DD2D90">
        <w:rPr>
          <w:rStyle w:val="StyleUnderline"/>
        </w:rPr>
        <w:t xml:space="preserve"> </w:t>
      </w:r>
      <w:r w:rsidRPr="00DD2D90">
        <w:rPr>
          <w:rStyle w:val="StyleUnderline"/>
          <w:highlight w:val="green"/>
        </w:rPr>
        <w:t>are not themselves subject</w:t>
      </w:r>
      <w:r w:rsidRPr="00DD2D90">
        <w:rPr>
          <w:rStyle w:val="StyleUnderline"/>
        </w:rPr>
        <w:t xml:space="preserve"> to </w:t>
      </w:r>
      <w:r w:rsidRPr="00DD2D90">
        <w:rPr>
          <w:rStyle w:val="StyleUnderline"/>
          <w:highlight w:val="green"/>
        </w:rPr>
        <w:t>profit</w:t>
      </w:r>
      <w:r w:rsidRPr="00DD2D90">
        <w:rPr>
          <w:rStyle w:val="StyleUnderline"/>
        </w:rPr>
        <w:t xml:space="preserve"> and loss </w:t>
      </w:r>
      <w:r w:rsidRPr="00DD2D90">
        <w:rPr>
          <w:rStyle w:val="StyleUnderline"/>
          <w:highlight w:val="green"/>
        </w:rPr>
        <w:t>signals risk</w:t>
      </w:r>
      <w:r w:rsidRPr="00DD2D90">
        <w:rPr>
          <w:rStyle w:val="StyleUnderline"/>
        </w:rPr>
        <w:t xml:space="preserve"> </w:t>
      </w:r>
      <w:r w:rsidRPr="00DD2D90">
        <w:rPr>
          <w:rStyle w:val="StyleUnderline"/>
          <w:highlight w:val="green"/>
        </w:rPr>
        <w:t>delaying</w:t>
      </w:r>
      <w:r w:rsidRPr="00DD2D90">
        <w:rPr>
          <w:rStyle w:val="StyleUnderline"/>
        </w:rPr>
        <w:t xml:space="preserve"> the necessary </w:t>
      </w:r>
      <w:r w:rsidRPr="00DD2D90">
        <w:rPr>
          <w:rStyle w:val="StyleUnderline"/>
          <w:highlight w:val="green"/>
        </w:rPr>
        <w:t>adjustments</w:t>
      </w:r>
      <w:r w:rsidRPr="00DD2D90">
        <w:rPr>
          <w:rStyle w:val="StyleUnderline"/>
        </w:rPr>
        <w:t xml:space="preserve"> </w:t>
      </w:r>
      <w:r w:rsidRPr="00DD2D90">
        <w:rPr>
          <w:rStyle w:val="StyleUnderline"/>
          <w:highlight w:val="green"/>
        </w:rPr>
        <w:t>and</w:t>
      </w:r>
      <w:r w:rsidRPr="00DD2D90">
        <w:rPr>
          <w:rStyle w:val="StyleUnderline"/>
        </w:rPr>
        <w:t xml:space="preserve"> indeed may </w:t>
      </w:r>
      <w:r w:rsidRPr="00DD2D90">
        <w:rPr>
          <w:rStyle w:val="StyleUnderline"/>
          <w:highlight w:val="green"/>
        </w:rPr>
        <w:t>lead to malinvestments</w:t>
      </w:r>
      <w:r w:rsidRPr="009C4A5A">
        <w:rPr>
          <w:sz w:val="16"/>
        </w:rPr>
        <w:t xml:space="preserve">. Judging the timing for withdrawing furlough measures or macro-economic stimulus policies that seek to preserve pre-pandemic employment patterns will therefore be subject to a high level of both economic and political uncertainty and modelling efforts to time these decisions and their likely effects will involve a high degree of subjectivity and potential for significant error. 4 Complexity and pandemic response: Avoiding systemic error and the scope for policy learning On a Hayekian view, understanding society as a set of ordered though dynamic relationships rather than a static equilibrium means that justifying public policy responses to the complex dilemmas set out in the previous section does not require that these responses will be ‘optimal’ - precisely because the uncertainties and complexities at hand may preclude the identification of ‘optimal solutions.’ Given the character of pandemics as public health problems involving potentially significant externalities, market solutions and those based on voluntary associations may not be viableFootnote 1 so there are strong grounds for endorsing some form of public policy response (for example, Ramanan and Malani 2011). Nonetheless, the question that Hayek’s perspective might ask is whether there are any systemic mechanisms that may enable policy-makers to avoid large scale decision-making errors and to identify and act upon knowledge of relatively ‘better’ or ‘worse’ responses. 4.1 Avoiding Systemic Error Turning first to the question of avoiding large scale error, it is important to recognise that as Lindblom and other analysts of public administration have shown, states are not unitary hierarchies operating with a singular ‘directive intelligence’, but are better understood as networked structures where many different organisational ‘brains’ are linked together through bargaining and mutual adjustment (Lindblom 1965, 1979). Unlike most market settings however, these are networked arrangements where competition is limited and where particular organisational nodes, or coalitions of actors may exercise a disproportionate or monopolistic influence over the network, as a whole (Wagner 2016, 2020). In the specific case of pandemic response </w:t>
      </w:r>
      <w:r w:rsidRPr="00DD2D90">
        <w:rPr>
          <w:rStyle w:val="StyleUnderline"/>
        </w:rPr>
        <w:t>public health bodies</w:t>
      </w:r>
      <w:r w:rsidRPr="009C4A5A">
        <w:rPr>
          <w:sz w:val="16"/>
        </w:rPr>
        <w:t xml:space="preserve"> and economic agencies such as treasuries and central banks are ‘big players’ within the social ecology that owing to their size and/or unique powers, </w:t>
      </w:r>
      <w:r w:rsidRPr="00DD2D90">
        <w:rPr>
          <w:rStyle w:val="StyleUnderline"/>
        </w:rPr>
        <w:t>have the potential to inflict large scale errors on the wider polity</w:t>
      </w:r>
      <w:r w:rsidRPr="009C4A5A">
        <w:rPr>
          <w:sz w:val="16"/>
        </w:rPr>
        <w:t xml:space="preserve"> (Koppl 2002). It should be acknowledged here that </w:t>
      </w:r>
      <w:r w:rsidRPr="00DD2D90">
        <w:rPr>
          <w:rStyle w:val="StyleUnderline"/>
        </w:rPr>
        <w:t>expert epidemiological opinion</w:t>
      </w:r>
      <w:r w:rsidRPr="009C4A5A">
        <w:rPr>
          <w:sz w:val="16"/>
        </w:rPr>
        <w:t xml:space="preserve"> and economic opinion over how to respond to the pandemic </w:t>
      </w:r>
      <w:r w:rsidRPr="00DD2D90">
        <w:rPr>
          <w:rStyle w:val="StyleUnderline"/>
        </w:rPr>
        <w:t>is not characterised by a consensus</w:t>
      </w:r>
      <w:r w:rsidRPr="009C4A5A">
        <w:rPr>
          <w:sz w:val="16"/>
        </w:rPr>
        <w:t xml:space="preserve"> so in practice the decisions made by public health authorities, treasuries and politicians will reflect those of a dominant coalition in the jurisdictions concerned. Within this context, an important institutional limitation on the scope for systemic error by ‘big players’ is that the world lacks an international administrative structure with the powers to enforce a ‘global governance solution’ to the pandemic. Relative to what might be the case under the existing more fractured and decentralised governance regime a </w:t>
      </w:r>
      <w:r w:rsidRPr="00DD2D90">
        <w:rPr>
          <w:rStyle w:val="StyleUnderline"/>
        </w:rPr>
        <w:t>global governance</w:t>
      </w:r>
      <w:r w:rsidRPr="009C4A5A">
        <w:rPr>
          <w:sz w:val="16"/>
        </w:rPr>
        <w:t xml:space="preserve"> approach </w:t>
      </w:r>
      <w:r w:rsidRPr="00DD2D90">
        <w:rPr>
          <w:rStyle w:val="StyleUnderline"/>
        </w:rPr>
        <w:t>might increase the likelihood of a large scale health</w:t>
      </w:r>
      <w:r w:rsidRPr="009C4A5A">
        <w:rPr>
          <w:sz w:val="16"/>
        </w:rPr>
        <w:t xml:space="preserve"> or economic </w:t>
      </w:r>
      <w:r w:rsidRPr="00DD2D90">
        <w:rPr>
          <w:rStyle w:val="StyleUnderline"/>
        </w:rPr>
        <w:t>disaster should those who control public health bodies</w:t>
      </w:r>
      <w:r w:rsidRPr="009C4A5A">
        <w:rPr>
          <w:sz w:val="16"/>
        </w:rPr>
        <w:t xml:space="preserve">, treasuries and central banks </w:t>
      </w:r>
      <w:r w:rsidRPr="00DD2D90">
        <w:rPr>
          <w:rStyle w:val="StyleUnderline"/>
        </w:rPr>
        <w:t>err in their choice of policy measures.</w:t>
      </w:r>
      <w:r w:rsidRPr="009C4A5A">
        <w:rPr>
          <w:sz w:val="16"/>
        </w:rPr>
        <w:t xml:space="preserve"> Writing in the context of common pool resource management Elinor Ostrom makes a point that may be equally applicable to pandemic response. “</w:t>
      </w:r>
      <w:r w:rsidRPr="00DD2D90">
        <w:rPr>
          <w:rStyle w:val="StyleUnderline"/>
          <w:highlight w:val="green"/>
        </w:rPr>
        <w:t>Where there is only a single</w:t>
      </w:r>
      <w:r w:rsidRPr="00DD2D90">
        <w:rPr>
          <w:rStyle w:val="StyleUnderline"/>
        </w:rPr>
        <w:t xml:space="preserve"> governing </w:t>
      </w:r>
      <w:r w:rsidRPr="00DD2D90">
        <w:rPr>
          <w:rStyle w:val="StyleUnderline"/>
          <w:highlight w:val="green"/>
        </w:rPr>
        <w:t>authority</w:t>
      </w:r>
      <w:r w:rsidRPr="00DD2D90">
        <w:rPr>
          <w:rStyle w:val="StyleUnderline"/>
        </w:rPr>
        <w:t>, policy-makers have to experiment simultaneously with all the common pool resources</w:t>
      </w:r>
      <w:r w:rsidRPr="009C4A5A">
        <w:rPr>
          <w:sz w:val="16"/>
        </w:rPr>
        <w:t xml:space="preserve"> within their jurisdiction with each policy change.... Thus </w:t>
      </w:r>
      <w:r w:rsidRPr="00DD2D90">
        <w:rPr>
          <w:rStyle w:val="StyleUnderline"/>
          <w:highlight w:val="green"/>
        </w:rPr>
        <w:t xml:space="preserve">an experiment </w:t>
      </w:r>
      <w:r w:rsidRPr="00DD2D90">
        <w:rPr>
          <w:rStyle w:val="StyleUnderline"/>
        </w:rPr>
        <w:t xml:space="preserve">that is </w:t>
      </w:r>
      <w:r w:rsidRPr="00DD2D90">
        <w:rPr>
          <w:rStyle w:val="StyleUnderline"/>
          <w:highlight w:val="green"/>
        </w:rPr>
        <w:t>based on erroneous data</w:t>
      </w:r>
      <w:r w:rsidRPr="00DD2D90">
        <w:rPr>
          <w:rStyle w:val="StyleUnderline"/>
        </w:rPr>
        <w:t xml:space="preserve"> about one key structural variable or one false assumption about how actors will react </w:t>
      </w:r>
      <w:r w:rsidRPr="00DD2D90">
        <w:rPr>
          <w:rStyle w:val="StyleUnderline"/>
          <w:highlight w:val="green"/>
        </w:rPr>
        <w:t xml:space="preserve">can lead to a </w:t>
      </w:r>
      <w:r w:rsidRPr="00DD2D90">
        <w:rPr>
          <w:rStyle w:val="Emphasis"/>
          <w:highlight w:val="green"/>
        </w:rPr>
        <w:t>very large disaster</w:t>
      </w:r>
      <w:r w:rsidRPr="009C4A5A">
        <w:rPr>
          <w:sz w:val="16"/>
        </w:rPr>
        <w:t xml:space="preserve">.... The important point is </w:t>
      </w:r>
      <w:r w:rsidRPr="00DD2D90">
        <w:rPr>
          <w:rStyle w:val="StyleUnderline"/>
        </w:rPr>
        <w:t>that if systems are</w:t>
      </w:r>
      <w:r w:rsidRPr="009C4A5A">
        <w:rPr>
          <w:sz w:val="16"/>
        </w:rPr>
        <w:t xml:space="preserve"> relatively </w:t>
      </w:r>
      <w:r w:rsidRPr="00DD2D90">
        <w:rPr>
          <w:rStyle w:val="StyleUnderline"/>
        </w:rPr>
        <w:t>separable</w:t>
      </w:r>
      <w:r w:rsidRPr="009C4A5A">
        <w:rPr>
          <w:sz w:val="16"/>
        </w:rPr>
        <w:t xml:space="preserve">, </w:t>
      </w:r>
      <w:r w:rsidRPr="00DD2D90">
        <w:rPr>
          <w:rStyle w:val="StyleUnderline"/>
          <w:highlight w:val="green"/>
        </w:rPr>
        <w:t>allocating responsibility</w:t>
      </w:r>
      <w:r w:rsidRPr="009C4A5A">
        <w:rPr>
          <w:sz w:val="16"/>
        </w:rPr>
        <w:t xml:space="preserve"> </w:t>
      </w:r>
      <w:r w:rsidRPr="00DD2D90">
        <w:rPr>
          <w:rStyle w:val="StyleUnderline"/>
        </w:rPr>
        <w:t>for</w:t>
      </w:r>
      <w:r w:rsidRPr="009C4A5A">
        <w:rPr>
          <w:sz w:val="16"/>
        </w:rPr>
        <w:t xml:space="preserve"> </w:t>
      </w:r>
      <w:r w:rsidRPr="00DD2D90">
        <w:rPr>
          <w:rStyle w:val="StyleUnderline"/>
        </w:rPr>
        <w:t>experimenting</w:t>
      </w:r>
      <w:r w:rsidRPr="009C4A5A">
        <w:rPr>
          <w:sz w:val="16"/>
        </w:rPr>
        <w:t xml:space="preserve"> with rules </w:t>
      </w:r>
      <w:r w:rsidRPr="00DD2D90">
        <w:rPr>
          <w:rStyle w:val="StyleUnderline"/>
          <w:highlight w:val="green"/>
        </w:rPr>
        <w:t>will</w:t>
      </w:r>
      <w:r w:rsidRPr="009C4A5A">
        <w:rPr>
          <w:sz w:val="16"/>
        </w:rPr>
        <w:t xml:space="preserve"> not avoid failure but will </w:t>
      </w:r>
      <w:r w:rsidRPr="00DD2D90">
        <w:rPr>
          <w:rStyle w:val="StyleUnderline"/>
        </w:rPr>
        <w:t xml:space="preserve">drastically </w:t>
      </w:r>
      <w:r w:rsidRPr="00DD2D90">
        <w:rPr>
          <w:rStyle w:val="StyleUnderline"/>
          <w:highlight w:val="green"/>
        </w:rPr>
        <w:t>reduce the probability of</w:t>
      </w:r>
      <w:r w:rsidRPr="00DD2D90">
        <w:rPr>
          <w:rStyle w:val="StyleUnderline"/>
        </w:rPr>
        <w:t xml:space="preserve"> immense </w:t>
      </w:r>
      <w:r w:rsidRPr="00DD2D90">
        <w:rPr>
          <w:rStyle w:val="StyleUnderline"/>
          <w:highlight w:val="green"/>
        </w:rPr>
        <w:t>failures for an entire</w:t>
      </w:r>
      <w:r w:rsidRPr="00DD2D90">
        <w:rPr>
          <w:rStyle w:val="StyleUnderline"/>
        </w:rPr>
        <w:t xml:space="preserve"> </w:t>
      </w:r>
      <w:r w:rsidRPr="00DD2D90">
        <w:rPr>
          <w:rStyle w:val="StyleUnderline"/>
          <w:highlight w:val="green"/>
        </w:rPr>
        <w:t>region</w:t>
      </w:r>
      <w:r w:rsidRPr="009C4A5A">
        <w:rPr>
          <w:sz w:val="16"/>
        </w:rPr>
        <w:t xml:space="preserve"> (Ostrom 2006: 284).” The current pattern of pandemic response does not rely heavily on global ‘big-players’ or a ‘single governing authority’. Rather, there is some level of decentralisation exercised largely through the powers of nation states and to a lesser extent within nation states where federal political systems are operative. It is perhaps significant in this regard that many countries started to introduce response measures, such as social distancing and travel restrictions, before international bodies such as the World Health Organisation made such recommendations, while others resisted implementing measures after the WHO declared a ‘global pandemic’. Similarly, it may be significant that in federal political systems such as the United States, some jurisdictions introduced lockdown measures before such recommendations were made by the federal Centre for Disease Control – as did many private employers, while other states resisted these calls.Footnote 2 Nonetheless, it needs to be emphasised that while the relatively decentralised structures of international and in some cases national governance may reduce the risk of large-scale policy failure, the powers exercised by public health and economic agencies within nation states are such that the scope for error by ‘big players’ remains considerable. The problem here is that there a few mechanisms that enable an effective balance to be struck between the need to reduce the high transactions costs that may be associated with an excessively decentralised response to the virus with the systemic risks associated with over-centralisation. As Coase (1992) points out, in market economies under normal circumstances the balance between centralisation and decentralisation is continually determined and re-determined through an ongoing process of competition embedded in profit and loss signals as firms of different sizes compete within one another and the process of mergers, demergers and new entrants unfolds. Similarly, Ostrom points to the importance of institutional diversity in addressing problems of scale where the existence of competing and overlapping decision centres whether private, communal or public allow multiple comparisons between governance regimes and knowledge of relative successes and failures in the supply and management of public goods to be spread through an experimental process (for example, Ostrom 2006). This may be particularly important in the context of pandemic response because the management challenge at hand may not equate to a singular collective action problem. Rather it may be that the spread of the virus requires responses to a range of multiple and more localised collective action problems the structure of which will vary according to geography, population density and the cultural characteristics and beliefs of the populations concerned. Unfortunately, however, there may not be mechanisms to decipher what level of political and legislative decentralisation best matches these varying socio-environmental characteristics. This is not to say that there is no scope for determining such a balance. Centralised trial and error and ‘muddling through’ by ‘big-players’ can lead to some changes in decision-making that reduce the scale of individual public decision failures. In both the United Kingdom and the United States for example, the initial failure of national public health agencies to involve private and voluntary sector agents in the roll out of coronavirus testing appears to have been a key factor behind what was initially a miniscule number of completed tests. Subsequent lobbying by private bodies and media commentary led to a reversal of this stance which was then followed by significant expansions in testing delivery (BBC News May 02, 2020). Pointing to the success of centralised trial and error in such examples, however, may only serve to illustrate the broader weaknesses of such an approach when faced with more complex, multi-dimensional challenges. In the example just given, the focus of trial and error learning was confined to a very narrow ‘technical’ end – i.e. how to increase the number of completed tests. Problems of this kind may be more amenable to a centralised learning process because there is scope for ‘before and after’ type observations to discern the effect of particular interventions. Learning of this kind may be much more problematic however, when the problems at hand are ‘economic’ in nature and involve many competing margins for adjustment that may only be revealed in a context where multiple governance models can coexist and where trial and error learning occurs in a more decentralised manner. With respect to broader matters of pandemic response therefore, such as the costs of decisions to lock down populations and businesses or to engage in economic policy measures to counteract the effects of such decisions, then the scope for institutional evolution may be very limited. Owing to the ‘emergency’ nature of the pandemic, to all intents and purposes the inhabitants of nations may be ‘stuck’ with whatever institutional configurations they have. This may be a significant problem, because institutional configurations that work well under ‘normal’ circumstances may not be well adapted for pandemic response and the scope to avoid potentially large-scale decision failures associated with these may thus be limited. 4.2 The scope for policy learning While the avoidance of large-scale policy failure is an important institutional consideration, from a Hayekian view so too is the importance of generating counterfactuals to allow for policy-learning. As with the previous discussion this speaks to the value of a fractured governance regime based on nation states or varying degrees of federalism rather than a global governance approach. Just as central economic planning deprives consumers and producers of the information generated by competitive experimentation in a market, so a global governance approach would deprive decision-makers of any sense of the possible opportunity costs associated with different responses to the virus. On this understanding, it may be a virtue of the predominantly nation-centric approach that while many countries have chosen to pursue ‘lockdown’ measures, others such as Sweden have opted for a very different approach based on allowing a gradual spread of the virus through the population. The Swedish approach may not be the ‘right one’ but without its existence or others like it there would be no comparative base against which to evaluate the policy measures adopted elsewhere, and potentially to learn from these. Indeed, outside a context that allows for at least some level of decentralisation terms such as policy ‘success’ or ‘failure’ are meaningless. On a Hayekian view, </w:t>
      </w:r>
      <w:r w:rsidRPr="00DD2D90">
        <w:rPr>
          <w:rStyle w:val="StyleUnderline"/>
          <w:highlight w:val="green"/>
        </w:rPr>
        <w:t xml:space="preserve">one cannot judge policy responses against </w:t>
      </w:r>
      <w:r w:rsidRPr="00DD2D90">
        <w:rPr>
          <w:rStyle w:val="StyleUnderline"/>
        </w:rPr>
        <w:t xml:space="preserve">a vision of </w:t>
      </w:r>
      <w:r w:rsidRPr="00DD2D90">
        <w:rPr>
          <w:rStyle w:val="StyleUnderline"/>
          <w:highlight w:val="green"/>
        </w:rPr>
        <w:t>an ‘idealised’ policy</w:t>
      </w:r>
      <w:r w:rsidRPr="00DD2D90">
        <w:rPr>
          <w:rStyle w:val="StyleUnderline"/>
        </w:rPr>
        <w:t xml:space="preserve"> </w:t>
      </w:r>
      <w:r w:rsidRPr="00DD2D90">
        <w:rPr>
          <w:rStyle w:val="StyleUnderline"/>
          <w:highlight w:val="green"/>
        </w:rPr>
        <w:t>that might be implemented by omniscient agents</w:t>
      </w:r>
      <w:r w:rsidRPr="00DD2D90">
        <w:rPr>
          <w:rStyle w:val="StyleUnderline"/>
        </w:rPr>
        <w:t xml:space="preserve"> </w:t>
      </w:r>
      <w:r w:rsidRPr="00DD2D90">
        <w:rPr>
          <w:rStyle w:val="StyleUnderline"/>
          <w:highlight w:val="green"/>
        </w:rPr>
        <w:t xml:space="preserve">because in conditions of </w:t>
      </w:r>
      <w:r w:rsidRPr="00DD2D90">
        <w:rPr>
          <w:rStyle w:val="Emphasis"/>
          <w:highlight w:val="green"/>
        </w:rPr>
        <w:t>complexity</w:t>
      </w:r>
      <w:r w:rsidRPr="00DD2D90">
        <w:rPr>
          <w:rStyle w:val="StyleUnderline"/>
          <w:highlight w:val="green"/>
        </w:rPr>
        <w:t xml:space="preserve"> and </w:t>
      </w:r>
      <w:r w:rsidRPr="00DD2D90">
        <w:rPr>
          <w:rStyle w:val="Emphasis"/>
          <w:highlight w:val="green"/>
        </w:rPr>
        <w:t>uncertainty</w:t>
      </w:r>
      <w:r w:rsidRPr="00DD2D90">
        <w:rPr>
          <w:rStyle w:val="StyleUnderline"/>
          <w:highlight w:val="green"/>
        </w:rPr>
        <w:t xml:space="preserve"> knowledge</w:t>
      </w:r>
      <w:r w:rsidRPr="00DD2D90">
        <w:rPr>
          <w:rStyle w:val="StyleUnderline"/>
        </w:rPr>
        <w:t xml:space="preserve"> of such an ideal </w:t>
      </w:r>
      <w:r w:rsidRPr="00DD2D90">
        <w:rPr>
          <w:rStyle w:val="StyleUnderline"/>
          <w:highlight w:val="green"/>
        </w:rPr>
        <w:t>is elusive</w:t>
      </w:r>
      <w:r w:rsidRPr="009C4A5A">
        <w:rPr>
          <w:sz w:val="16"/>
        </w:rPr>
        <w:t xml:space="preserve">. The success or failure of a policy can only be determined through a process of endogenous comparison – and this requires a framework that allows for the generation of such comparisons. While the scope for counterfactuals generated by the fractured nature of international governance is important for policy learning, in the context of pandemic response it needs to be recognised that politicians and </w:t>
      </w:r>
      <w:r w:rsidRPr="00DD2D90">
        <w:rPr>
          <w:rStyle w:val="StyleUnderline"/>
          <w:highlight w:val="green"/>
        </w:rPr>
        <w:t>regulators</w:t>
      </w:r>
      <w:r w:rsidRPr="009C4A5A">
        <w:rPr>
          <w:sz w:val="16"/>
        </w:rPr>
        <w:t xml:space="preserve"> in nation states and other levels of decision-making </w:t>
      </w:r>
      <w:r w:rsidRPr="00DD2D90">
        <w:rPr>
          <w:rStyle w:val="StyleUnderline"/>
          <w:highlight w:val="green"/>
        </w:rPr>
        <w:t>face a</w:t>
      </w:r>
      <w:r w:rsidRPr="00DD2D90">
        <w:rPr>
          <w:rStyle w:val="StyleUnderline"/>
        </w:rPr>
        <w:t xml:space="preserve"> significant ‘</w:t>
      </w:r>
      <w:r w:rsidRPr="00DD2D90">
        <w:rPr>
          <w:rStyle w:val="StyleUnderline"/>
          <w:highlight w:val="green"/>
        </w:rPr>
        <w:t>signal extraction problem’</w:t>
      </w:r>
      <w:r w:rsidRPr="00DD2D90">
        <w:rPr>
          <w:rStyle w:val="StyleUnderline"/>
        </w:rPr>
        <w:t xml:space="preserve"> </w:t>
      </w:r>
      <w:r w:rsidRPr="00DD2D90">
        <w:rPr>
          <w:rStyle w:val="StyleUnderline"/>
          <w:highlight w:val="green"/>
        </w:rPr>
        <w:t>in deciphering</w:t>
      </w:r>
      <w:r w:rsidRPr="00DD2D90">
        <w:rPr>
          <w:rStyle w:val="StyleUnderline"/>
        </w:rPr>
        <w:t xml:space="preserve"> </w:t>
      </w:r>
      <w:r w:rsidRPr="00DD2D90">
        <w:rPr>
          <w:rStyle w:val="StyleUnderline"/>
          <w:highlight w:val="green"/>
        </w:rPr>
        <w:t>what</w:t>
      </w:r>
      <w:r w:rsidRPr="00DD2D90">
        <w:rPr>
          <w:rStyle w:val="StyleUnderline"/>
        </w:rPr>
        <w:t xml:space="preserve"> the </w:t>
      </w:r>
      <w:r w:rsidRPr="00DD2D90">
        <w:rPr>
          <w:rStyle w:val="StyleUnderline"/>
          <w:highlight w:val="green"/>
        </w:rPr>
        <w:t>results</w:t>
      </w:r>
      <w:r w:rsidRPr="00DD2D90">
        <w:rPr>
          <w:rStyle w:val="StyleUnderline"/>
        </w:rPr>
        <w:t xml:space="preserve"> of various policy experiments may </w:t>
      </w:r>
      <w:r w:rsidRPr="00DD2D90">
        <w:rPr>
          <w:rStyle w:val="StyleUnderline"/>
          <w:highlight w:val="green"/>
        </w:rPr>
        <w:t>mean</w:t>
      </w:r>
      <w:r w:rsidRPr="00DD2D90">
        <w:rPr>
          <w:rStyle w:val="StyleUnderline"/>
        </w:rPr>
        <w:t xml:space="preserve"> </w:t>
      </w:r>
      <w:r w:rsidRPr="00DD2D90">
        <w:rPr>
          <w:rStyle w:val="StyleUnderline"/>
          <w:highlight w:val="green"/>
        </w:rPr>
        <w:t>and whether</w:t>
      </w:r>
      <w:r w:rsidRPr="00DD2D90">
        <w:rPr>
          <w:rStyle w:val="StyleUnderline"/>
        </w:rPr>
        <w:t xml:space="preserve"> any </w:t>
      </w:r>
      <w:r w:rsidRPr="00DD2D90">
        <w:rPr>
          <w:rStyle w:val="StyleUnderline"/>
          <w:highlight w:val="green"/>
        </w:rPr>
        <w:t>lessons can be</w:t>
      </w:r>
      <w:r w:rsidRPr="00DD2D90">
        <w:rPr>
          <w:rStyle w:val="StyleUnderline"/>
        </w:rPr>
        <w:t xml:space="preserve"> </w:t>
      </w:r>
      <w:r w:rsidRPr="00DD2D90">
        <w:rPr>
          <w:rStyle w:val="StyleUnderline"/>
          <w:highlight w:val="green"/>
        </w:rPr>
        <w:t>applied elsewhere</w:t>
      </w:r>
      <w:r w:rsidRPr="009C4A5A">
        <w:rPr>
          <w:sz w:val="16"/>
        </w:rPr>
        <w:t>. As noted earlier, the prices, profits and losses generated in markets do not necessarily provide a transparent signal ‘telling’ decision-makers how to act. In market settings, however, the feedback received from consumer spending decisions on specific products is such that the profits/losses made relative to those of competitors, combined perhaps with knowledge from market research, provides a relatively clear signal that competitors should move in the direction of their rivals practices. Relative to this situation the ‘noise’ around the different outcomes arising from various approaches to managing the coronavirus may be much more pronounced. Thus, even if the Swedish model produces satisfactory results from a Swedish perspective it does not follow that the same results would or could be achieved with this model in countries such as the UK or France that have very different cultural traditions with which the policy would be interacting. Similarly, it is hard to judge whether the apparent success of countries such as Germany and Switzerland in having a death rate far lower than that found in the UK follows from the characteristics of the populations infected by the disease, other factors such as housing conditions or the nature of urban form in these countries or, whether the lower death rates reflect instead the superiority of health care systems that make much greater use of private providers and market forces.Footnote 3 If any of these factors are significant, then it is far from clear that any policy lesson from the pandemic could be implemented with sufficient speed, or indeed whether it could be implemented at all. The difficulty of interpreting policy results highlighted above is compounded by the question of what an appropriate time frame might be in which to make a comparative evaluation of the health and socio-economic effects of alternative policy measures. Will countries that look to be performing relatively well with respect to death rates look to have chosen effective responses if a second and possibly larger wave of the virus arrives in the autumn/winter when the prevalence of some level of herd immunity might be desirable? With respect to economic evaluation, will countries that have adopted measures that have in the short term succeeded in reducing the spread of the virus by massively curtailing economic activity be able to sustain such measures if the virus remains a public health hazard over a number of years? Given the complications that time frames introduce into the analysis it is hard to see how any policy lessons if they can be detected might be adopted with sufficient speed. Moreover, it should be noted here that any short to medium term evaluations may change radically depending on whether an effective vaccine is found. Lockdown measures that may have saved lives at great economic cost might still look to have been the best available response should a vaccine be developed relatively speedily. If a vaccine is not forthcoming, however, then those responses or non-responses that have not involved large scale economic contraction may turn out to be the most effective with respect to health and socio-economic objectives. Finally, it should be emphasised that while the possible arrival of a vaccine may be affected by investments made by public and private agents, no matter how much private or public money is spent in this regard the discovery of a vaccine will to a significant degree lie beyond any authorities control. 4.3 Pandemic response as muddling through The conclusion that would seem to follow from this analysis is that the scope for both error avoidance and policy learning in the context of pandemic response is heavily constrained. The rationalistic models depicted in many public health and welfare economics accounts that conceptualise policy as a process wherein policymakers list the possible options they face, evaluate the options, and then select the option that generates the highest value are entirely inappropriate to this and indeed most other forms of government decision-making. In the specific case of pandemic response, the level of complexity and uncertainty may be so great that it is not possible for such calculations to be made. The data that would be needed to calculate in this manner either do not exist – at least not in ‘concentrated or integrated form’ (Hayek 1945: 520) and, to the extent that there are institutional procedures that help to generate and communicate relevant data the relations between cause and effect and the micro-level connections that underlie such data are opaque. Much of the response will therefore be based on centralised guesswork by ‘big players’ and while there may be no alternative other than for policymakers to rely on subjective interpretations of epidemiological and economic models to guide their decisions, these are fraught with the possibility of large scale error. Now of course, scientific understanding in both the natural and social world is always highly imperfect and as new data emerge this may enable an evaluation of which models were more accurate in an ex post sense. The Hayekian perspective presented here is not incompatible with this stance but it emphasises that should it be possible to explain retrospectively which policy responses have been more or less efficacious this will not necessarily inform policy-makers whether the same responses would work for a future such event. Beyond perhaps some very basic and general lessons such as the importance of maintaining adaptable/flexible health care systems (which are desirable at all times), some (though not all) social distancing measures, and perhaps the wearing of face coverings it may be hard to discern what lessons should be learned from the current episode. This does not necessarily undermine the case for a public policy response – though neither does it imply that voluntary measures are obviously inferior - but at the very least it suggests that expectations for publicly organised pandemic response should be modest. Though it is not a conclusion that many citizens, politicians or social scientists may feel comfortable in accepting, the Hayekian perspective suggests that policymakers may be operating in a fog of ignorance where insofar as tolerable responses are reached, these may to a large degree result from fortuitous accidents arising from a process of ‘muddling through’. 5 Conclusion: Implications for a post-pandemic political economy The analysis thus far has focussed on the challenge of discerning appropriate responses to the pandemic, but the Hayekian perspective also points to important considerations for the post-pandemic world. If historical experience of crises whether wars or natural disasters are any guide to the post-pandemic political economy, then this period seems likely to be characterised by increasing calls for more government activism and control (on this see Higgs 1987). On the one hand, these calls may be driven by demands for preventive measures to avoid anything like the present crisis happening again. On the other hand, states that have assumed significant control over resource allocation during the pandemic may be reluctant to relinquish their powers and may be encouraged to retain them by those who envisage significantly expanding the role of government in the economy. The concluding part of this paper briefly sets out why these forces should be questioned. 5.1 The conceit of post-pandemic risk planning While it is understandable that citizens and politicians should seek to avoid a repeat of current events, the Hayekian perspective suggests that ‘</w:t>
      </w:r>
      <w:r w:rsidRPr="00DD2D90">
        <w:rPr>
          <w:rStyle w:val="StyleUnderline"/>
        </w:rPr>
        <w:t>scientific management’ of future risks is unlikely to be successful</w:t>
      </w:r>
      <w:r w:rsidRPr="009C4A5A">
        <w:rPr>
          <w:sz w:val="16"/>
        </w:rPr>
        <w:t xml:space="preserve">. That politicians and regulators were, prior to the current pandemic, overwhelmingly concerned with the threat of a ‘climate emergency’ and seem to have been taken aback by the new coronavirus, only serves to demonstrate that </w:t>
      </w:r>
      <w:r w:rsidRPr="00DD2D90">
        <w:rPr>
          <w:rStyle w:val="StyleUnderline"/>
        </w:rPr>
        <w:t>there is great uncertainty over which risks should be the focus of attention</w:t>
      </w:r>
      <w:r w:rsidRPr="009C4A5A">
        <w:rPr>
          <w:sz w:val="16"/>
        </w:rPr>
        <w:t xml:space="preserve">. Neither are such oversights confined to governmental actors – as recently as January this year a variety of corporate bodies representing major business interests at the World Economic Forum were also citing climate change as the most important global risk, with the threat of infectious diseases rating much lower in the scale of priorities (World Economic Forum 2020). To point out these oversights is not of course, to say that climate change or other such risks should not be taken seriously. Rather, </w:t>
      </w:r>
      <w:r w:rsidRPr="00DD2D90">
        <w:rPr>
          <w:rStyle w:val="StyleUnderline"/>
        </w:rPr>
        <w:t>it is to highlight the problem of assigning weightings to these risks in conditions of radical uncertainty</w:t>
      </w:r>
      <w:r w:rsidRPr="009C4A5A">
        <w:rPr>
          <w:sz w:val="16"/>
        </w:rPr>
        <w:t xml:space="preserve">. Looking to the future, it is not the case that precautionary measures should be taken against all possible catastrophes because the accumulated costs of responding to every such possibility may be as great, or greater than that of the catastrophes to be avoided (on this see for example, Martin and Pindyck 2015). It is, therefore, essential to choose from multiple conceivable disaster avoidance measures, which should be prioritised. Should the focus of risk avoidance be on the possibility of further pandemics, climate change, the threat of nuclear terrorism, or bioterrorism? The problem here is that many of the parameters relevant to discerning these probabilities and the possible interactions between them are simply unknown. This challenge is surely significant in the context of known threats, but </w:t>
      </w:r>
      <w:r w:rsidRPr="00DD2D90">
        <w:rPr>
          <w:rStyle w:val="StyleUnderline"/>
        </w:rPr>
        <w:t xml:space="preserve">it is compounded by the possibility of </w:t>
      </w:r>
      <w:r w:rsidRPr="00DD2D90">
        <w:rPr>
          <w:rStyle w:val="Emphasis"/>
        </w:rPr>
        <w:t>unknown, unknowns</w:t>
      </w:r>
      <w:r w:rsidRPr="009C4A5A">
        <w:rPr>
          <w:sz w:val="16"/>
        </w:rPr>
        <w:t xml:space="preserve">. In conditions of radical uncertainty, it </w:t>
      </w:r>
      <w:r w:rsidRPr="00DD2D90">
        <w:rPr>
          <w:rStyle w:val="StyleUnderline"/>
        </w:rPr>
        <w:t>is not merely that actors may not know which possibility from a given set will occur but that the set itself may be unbounded and hence unknowable</w:t>
      </w:r>
      <w:r w:rsidRPr="009C4A5A">
        <w:rPr>
          <w:sz w:val="16"/>
        </w:rPr>
        <w:t xml:space="preserve"> (Knight 1921). None of the above should be taken to imply that all scenario planning and spending based on such planning to account for future risks should be discarded. There is a limited, prudential case for private and public funding of measures to guard against future pandemics or other threats such as climate change. What the Hayekian perspective suggests however, is that relatively little faith should be placed in these measures because </w:t>
      </w:r>
      <w:r w:rsidRPr="00DD2D90">
        <w:rPr>
          <w:rStyle w:val="StyleUnderline"/>
        </w:rPr>
        <w:t>given the nature of uncertainty, the next disaster to strike may well be one that has yet to be conceived</w:t>
      </w:r>
      <w:r w:rsidRPr="009C4A5A">
        <w:rPr>
          <w:sz w:val="16"/>
        </w:rPr>
        <w:t xml:space="preserve">. In the final analysis, ‘what cannot be known, cannot be planned for’ (Hayek 1988) so there are grounds to be wary of granting authority to political agencies that justify their assumption of new powers on the basis of highly uncertain and perhaps unknowable likelihoods of future risks. Moreover, insofar as authority is granted to public bodies rather than for example leaving these decisions to private insurance markets, then an important implication from the Hayekian analysis is that this authority should be fractured and should where possible avoid reliance on global governance schemes. Should the wrong risks be chosen by big players in a global governance structure then the negative consequences will be felt globally. </w:t>
      </w:r>
      <w:r w:rsidRPr="00DD2D90">
        <w:rPr>
          <w:rStyle w:val="StyleUnderline"/>
          <w:highlight w:val="green"/>
        </w:rPr>
        <w:t>In a more fractured regime</w:t>
      </w:r>
      <w:r w:rsidRPr="009C4A5A">
        <w:rPr>
          <w:sz w:val="16"/>
        </w:rPr>
        <w:t xml:space="preserve"> on the other hand, unless all decision-making units perceive risks in the same way then </w:t>
      </w:r>
      <w:r w:rsidRPr="00DD2D90">
        <w:rPr>
          <w:rStyle w:val="StyleUnderline"/>
          <w:highlight w:val="green"/>
        </w:rPr>
        <w:t>the greater heterogeneity of</w:t>
      </w:r>
      <w:r w:rsidRPr="00DD2D90">
        <w:rPr>
          <w:rStyle w:val="StyleUnderline"/>
        </w:rPr>
        <w:t xml:space="preserve"> </w:t>
      </w:r>
      <w:r w:rsidRPr="00DD2D90">
        <w:rPr>
          <w:rStyle w:val="StyleUnderline"/>
          <w:highlight w:val="green"/>
        </w:rPr>
        <w:t>decisions, may reduce</w:t>
      </w:r>
      <w:r w:rsidRPr="00DD2D90">
        <w:rPr>
          <w:rStyle w:val="StyleUnderline"/>
        </w:rPr>
        <w:t xml:space="preserve"> </w:t>
      </w:r>
      <w:r w:rsidRPr="009C4A5A">
        <w:rPr>
          <w:sz w:val="16"/>
        </w:rPr>
        <w:t xml:space="preserve">though it may not eliminate, </w:t>
      </w:r>
      <w:r w:rsidRPr="00DD2D90">
        <w:rPr>
          <w:rStyle w:val="StyleUnderline"/>
          <w:highlight w:val="green"/>
        </w:rPr>
        <w:t xml:space="preserve">the possibility of </w:t>
      </w:r>
      <w:r w:rsidRPr="00DD2D90">
        <w:rPr>
          <w:rStyle w:val="Emphasis"/>
          <w:highlight w:val="green"/>
        </w:rPr>
        <w:t>system-wide failures</w:t>
      </w:r>
      <w:r w:rsidRPr="00DD2D90">
        <w:rPr>
          <w:rStyle w:val="StyleUnderline"/>
        </w:rPr>
        <w:t xml:space="preserve"> of risk management</w:t>
      </w:r>
      <w:r w:rsidRPr="009C4A5A">
        <w:rPr>
          <w:sz w:val="16"/>
        </w:rPr>
        <w:t xml:space="preserve">. 5.2 Growth, resilience, and the conceit of the transformational state If there is reason to </w:t>
      </w:r>
      <w:r w:rsidRPr="00DD2D90">
        <w:rPr>
          <w:rStyle w:val="StyleUnderline"/>
        </w:rPr>
        <w:t>doubt the efficacy of centralised governance</w:t>
      </w:r>
      <w:r w:rsidRPr="009C4A5A">
        <w:rPr>
          <w:sz w:val="16"/>
        </w:rPr>
        <w:t xml:space="preserve"> in strategic risk planning then </w:t>
      </w:r>
      <w:r w:rsidRPr="00DD2D90">
        <w:rPr>
          <w:rStyle w:val="StyleUnderline"/>
          <w:highlight w:val="green"/>
        </w:rPr>
        <w:t>the most effective</w:t>
      </w:r>
      <w:r w:rsidRPr="009C4A5A">
        <w:rPr>
          <w:sz w:val="16"/>
        </w:rPr>
        <w:t xml:space="preserve"> and multipurpose ‘</w:t>
      </w:r>
      <w:r w:rsidRPr="00DD2D90">
        <w:rPr>
          <w:rStyle w:val="StyleUnderline"/>
          <w:highlight w:val="green"/>
        </w:rPr>
        <w:t>insurance</w:t>
      </w:r>
      <w:r w:rsidRPr="009C4A5A">
        <w:rPr>
          <w:sz w:val="16"/>
          <w:highlight w:val="green"/>
        </w:rPr>
        <w:t xml:space="preserve"> </w:t>
      </w:r>
      <w:r w:rsidRPr="00DD2D90">
        <w:rPr>
          <w:rStyle w:val="StyleUnderline"/>
          <w:highlight w:val="green"/>
        </w:rPr>
        <w:t>policy’</w:t>
      </w:r>
      <w:r w:rsidRPr="009C4A5A">
        <w:rPr>
          <w:sz w:val="16"/>
        </w:rPr>
        <w:t xml:space="preserve"> that might account for the broadest range of future risks </w:t>
      </w:r>
      <w:r w:rsidRPr="00DD2D90">
        <w:rPr>
          <w:rStyle w:val="StyleUnderline"/>
          <w:highlight w:val="green"/>
        </w:rPr>
        <w:t>may be to sustain</w:t>
      </w:r>
      <w:r w:rsidRPr="00DD2D90">
        <w:rPr>
          <w:rStyle w:val="StyleUnderline"/>
        </w:rPr>
        <w:t xml:space="preserve"> </w:t>
      </w:r>
      <w:r w:rsidRPr="00DD2D90">
        <w:rPr>
          <w:rStyle w:val="StyleUnderline"/>
          <w:highlight w:val="green"/>
        </w:rPr>
        <w:t>robust</w:t>
      </w:r>
      <w:r w:rsidRPr="00DD2D90">
        <w:rPr>
          <w:rStyle w:val="StyleUnderline"/>
        </w:rPr>
        <w:t xml:space="preserve"> levels of </w:t>
      </w:r>
      <w:r w:rsidRPr="00DD2D90">
        <w:rPr>
          <w:rStyle w:val="StyleUnderline"/>
          <w:highlight w:val="green"/>
        </w:rPr>
        <w:t>economic growth</w:t>
      </w:r>
      <w:r w:rsidRPr="009C4A5A">
        <w:rPr>
          <w:sz w:val="16"/>
        </w:rPr>
        <w:t xml:space="preserve">. The resources generated by such growth may provide resilience against risks from multiple directions. In a context where states have recently assumed massive responsibilities for directing economic activity, however, many may argue that securing growth and the form it will take should be the responsibility of the state. There is a long line of thinking in the social democratic and progressive traditions, inspired by thinkers such as John Dewey (1927) and John Maynard Keynes (1931) and reflected more recently by Mariana Mazzucato (2013), which suggests that crisis situations require bold and radical experimentation by state agencies. On this view, only the state has the capacity to engage in the ‘transformational’ measures that might be required to ‘jolt’ society out of crises events. Support for this worldview was evident prior to the current pandemic with the renewed enthusiasm across the political spectrum for various industrial policies, green ‘new deals’ and targeted protectionism, but post-pandemic these pressures may well grow in intensity (for example IIPP 2019). On a Hayekian view, however, these trends should be resisted. One reason for this is the danger of injecting a further source of ‘regime uncertainty’ into what may already be unstable political economic environments. In responding to the pandemic governments across many parts of the world have already engaged in socio-economic interventions of unprecedented scale, and as noted earlier both </w:t>
      </w:r>
      <w:r w:rsidRPr="00DD2D90">
        <w:rPr>
          <w:rStyle w:val="StyleUnderline"/>
        </w:rPr>
        <w:t>the</w:t>
      </w:r>
      <w:r w:rsidRPr="009C4A5A">
        <w:rPr>
          <w:sz w:val="16"/>
        </w:rPr>
        <w:t xml:space="preserve"> socio-economic </w:t>
      </w:r>
      <w:r w:rsidRPr="00DD2D90">
        <w:rPr>
          <w:rStyle w:val="StyleUnderline"/>
        </w:rPr>
        <w:t>effects of these interventions</w:t>
      </w:r>
      <w:r w:rsidRPr="009C4A5A">
        <w:rPr>
          <w:sz w:val="16"/>
        </w:rPr>
        <w:t xml:space="preserve"> and of measures to unwind them </w:t>
      </w:r>
      <w:r w:rsidRPr="00DD2D90">
        <w:rPr>
          <w:rStyle w:val="StyleUnderline"/>
        </w:rPr>
        <w:t xml:space="preserve">are subject to </w:t>
      </w:r>
      <w:r w:rsidRPr="00DD2D90">
        <w:rPr>
          <w:rStyle w:val="Emphasis"/>
        </w:rPr>
        <w:t>significant uncertainty</w:t>
      </w:r>
      <w:r w:rsidRPr="00DD2D90">
        <w:rPr>
          <w:rStyle w:val="StyleUnderline"/>
        </w:rPr>
        <w:t xml:space="preserve"> and scope for </w:t>
      </w:r>
      <w:r w:rsidRPr="00DD2D90">
        <w:rPr>
          <w:rStyle w:val="Emphasis"/>
        </w:rPr>
        <w:t>systemic error</w:t>
      </w:r>
      <w:r w:rsidRPr="009C4A5A">
        <w:rPr>
          <w:sz w:val="16"/>
        </w:rPr>
        <w:t xml:space="preserve">. These policies have also followed in the wake of the massive interventions in financial markets by monetary authorities in the 12 years since the crisis of 2008.Footnote 4 </w:t>
      </w:r>
      <w:r w:rsidRPr="00DD2D90">
        <w:rPr>
          <w:rStyle w:val="StyleUnderline"/>
        </w:rPr>
        <w:t>To embark on ‘</w:t>
      </w:r>
      <w:r w:rsidRPr="00DD2D90">
        <w:rPr>
          <w:rStyle w:val="StyleUnderline"/>
          <w:highlight w:val="green"/>
        </w:rPr>
        <w:t>transformational’ measures</w:t>
      </w:r>
      <w:r w:rsidRPr="00DD2D90">
        <w:rPr>
          <w:rStyle w:val="StyleUnderline"/>
        </w:rPr>
        <w:t xml:space="preserve"> in such a context would be to </w:t>
      </w:r>
      <w:r w:rsidRPr="00DD2D90">
        <w:rPr>
          <w:rStyle w:val="StyleUnderline"/>
          <w:highlight w:val="green"/>
        </w:rPr>
        <w:t>generate</w:t>
      </w:r>
      <w:r w:rsidRPr="00DD2D90">
        <w:rPr>
          <w:rStyle w:val="StyleUnderline"/>
        </w:rPr>
        <w:t xml:space="preserve"> an </w:t>
      </w:r>
      <w:r w:rsidRPr="00DD2D90">
        <w:rPr>
          <w:rStyle w:val="StyleUnderline"/>
          <w:highlight w:val="green"/>
        </w:rPr>
        <w:t>additional</w:t>
      </w:r>
      <w:r w:rsidRPr="00DD2D90">
        <w:rPr>
          <w:rStyle w:val="StyleUnderline"/>
        </w:rPr>
        <w:t xml:space="preserve"> source of </w:t>
      </w:r>
      <w:r w:rsidRPr="00DD2D90">
        <w:rPr>
          <w:rStyle w:val="Emphasis"/>
          <w:highlight w:val="green"/>
        </w:rPr>
        <w:t>systemic risk</w:t>
      </w:r>
      <w:r w:rsidRPr="00DD2D90">
        <w:rPr>
          <w:rStyle w:val="StyleUnderline"/>
        </w:rPr>
        <w:t xml:space="preserve"> and may further </w:t>
      </w:r>
      <w:r w:rsidRPr="00DD2D90">
        <w:rPr>
          <w:rStyle w:val="Emphasis"/>
        </w:rPr>
        <w:t>undermine</w:t>
      </w:r>
      <w:r w:rsidRPr="00DD2D90">
        <w:rPr>
          <w:rStyle w:val="StyleUnderline"/>
        </w:rPr>
        <w:t xml:space="preserve"> the background foundations of competition and private contracting</w:t>
      </w:r>
      <w:r w:rsidRPr="009C4A5A">
        <w:rPr>
          <w:sz w:val="16"/>
        </w:rPr>
        <w:t xml:space="preserve">, in favour of a regime where discretionary political and bureaucratic power by ‘big players’ exercises a growing and unpredictable element in the calculations that private agents must make. The second and related reason to </w:t>
      </w:r>
      <w:r w:rsidRPr="00DD2D90">
        <w:rPr>
          <w:rStyle w:val="StyleUnderline"/>
        </w:rPr>
        <w:t>resist any</w:t>
      </w:r>
      <w:r w:rsidRPr="009C4A5A">
        <w:rPr>
          <w:sz w:val="16"/>
        </w:rPr>
        <w:t xml:space="preserve"> post-pandemic </w:t>
      </w:r>
      <w:r w:rsidRPr="00DD2D90">
        <w:rPr>
          <w:rStyle w:val="StyleUnderline"/>
        </w:rPr>
        <w:t xml:space="preserve">expansion in </w:t>
      </w:r>
      <w:r w:rsidRPr="00DD2D90">
        <w:rPr>
          <w:rStyle w:val="StyleUnderline"/>
          <w:highlight w:val="green"/>
        </w:rPr>
        <w:t>government</w:t>
      </w:r>
      <w:r w:rsidRPr="00DD2D90">
        <w:rPr>
          <w:rStyle w:val="StyleUnderline"/>
        </w:rPr>
        <w:t xml:space="preserve">al power is that this </w:t>
      </w:r>
      <w:r w:rsidRPr="00DD2D90">
        <w:rPr>
          <w:rStyle w:val="StyleUnderline"/>
          <w:highlight w:val="green"/>
        </w:rPr>
        <w:t>may recreate</w:t>
      </w:r>
      <w:r w:rsidRPr="00DD2D90">
        <w:rPr>
          <w:rStyle w:val="StyleUnderline"/>
        </w:rPr>
        <w:t xml:space="preserve"> the severe </w:t>
      </w:r>
      <w:r w:rsidRPr="00DD2D90">
        <w:rPr>
          <w:rStyle w:val="StyleUnderline"/>
          <w:highlight w:val="green"/>
        </w:rPr>
        <w:t>knowledge problems</w:t>
      </w:r>
      <w:r w:rsidRPr="00DD2D90">
        <w:rPr>
          <w:rStyle w:val="StyleUnderline"/>
        </w:rPr>
        <w:t xml:space="preserve"> that politicians</w:t>
      </w:r>
      <w:r w:rsidRPr="009C4A5A">
        <w:rPr>
          <w:sz w:val="16"/>
        </w:rPr>
        <w:t xml:space="preserve"> have </w:t>
      </w:r>
      <w:r w:rsidRPr="00DD2D90">
        <w:rPr>
          <w:rStyle w:val="StyleUnderline"/>
        </w:rPr>
        <w:t>faced</w:t>
      </w:r>
      <w:r w:rsidRPr="009C4A5A">
        <w:rPr>
          <w:sz w:val="16"/>
        </w:rPr>
        <w:t xml:space="preserve"> in choosing how to respond to the pandemic - </w:t>
      </w:r>
      <w:r w:rsidRPr="00DD2D90">
        <w:rPr>
          <w:rStyle w:val="StyleUnderline"/>
          <w:highlight w:val="green"/>
        </w:rPr>
        <w:t>on a</w:t>
      </w:r>
      <w:r w:rsidRPr="00DD2D90">
        <w:rPr>
          <w:rStyle w:val="StyleUnderline"/>
        </w:rPr>
        <w:t xml:space="preserve"> near </w:t>
      </w:r>
      <w:r w:rsidRPr="00DD2D90">
        <w:rPr>
          <w:rStyle w:val="Emphasis"/>
          <w:highlight w:val="green"/>
        </w:rPr>
        <w:t>permanent</w:t>
      </w:r>
      <w:r w:rsidRPr="00DD2D90">
        <w:rPr>
          <w:rStyle w:val="StyleUnderline"/>
          <w:highlight w:val="green"/>
        </w:rPr>
        <w:t xml:space="preserve"> basis</w:t>
      </w:r>
      <w:r w:rsidRPr="009C4A5A">
        <w:rPr>
          <w:sz w:val="16"/>
        </w:rPr>
        <w:t>. Now, this is a bold conjecture, so it is important to be precise in specifying the content of the claim. Part of the knowledge problem of pandemic response discussed in this paper is that the emergency nature of the situation severely limits the scope for policymakers to avoid large scale errors and to learn in a sufficiently timely manner. This is clearly not a characteristic that would be shared by measures such as industrial policies that can be implemented over a longer time scale and with greater scope for trial and error learning. Nonetheless, from a Hayekian perspective, the nature of this learning will be dominated by the ‘muddling through’ of ‘big players’ in a context that limits the generation of counterfactuals and which operates largely without guidance from competitive profit and loss signals. It is in this respect that ‘</w:t>
      </w:r>
      <w:r w:rsidRPr="00DD2D90">
        <w:rPr>
          <w:rStyle w:val="StyleUnderline"/>
        </w:rPr>
        <w:t>transformational’ public policies may replicate the knowledge poor environment</w:t>
      </w:r>
      <w:r w:rsidRPr="009C4A5A">
        <w:rPr>
          <w:sz w:val="16"/>
        </w:rPr>
        <w:t xml:space="preserve"> that characterises the setting of pandemic response. </w:t>
      </w:r>
      <w:r w:rsidRPr="00DD2D90">
        <w:rPr>
          <w:rStyle w:val="StyleUnderline"/>
        </w:rPr>
        <w:t>Compared to the decentralised experimentation that takes place in</w:t>
      </w:r>
      <w:r w:rsidRPr="009C4A5A">
        <w:rPr>
          <w:sz w:val="16"/>
        </w:rPr>
        <w:t xml:space="preserve"> competitive </w:t>
      </w:r>
      <w:r w:rsidRPr="00DD2D90">
        <w:rPr>
          <w:rStyle w:val="StyleUnderline"/>
        </w:rPr>
        <w:t>markets</w:t>
      </w:r>
      <w:r w:rsidRPr="009C4A5A">
        <w:rPr>
          <w:sz w:val="16"/>
        </w:rPr>
        <w:t xml:space="preserve"> the type of experimentation involved in </w:t>
      </w:r>
      <w:r w:rsidRPr="00DD2D90">
        <w:rPr>
          <w:rStyle w:val="StyleUnderline"/>
        </w:rPr>
        <w:t>state-centred</w:t>
      </w:r>
      <w:r w:rsidRPr="009C4A5A">
        <w:rPr>
          <w:sz w:val="16"/>
        </w:rPr>
        <w:t xml:space="preserve"> schemes of economic ‘</w:t>
      </w:r>
      <w:r w:rsidRPr="00DD2D90">
        <w:rPr>
          <w:rStyle w:val="StyleUnderline"/>
        </w:rPr>
        <w:t>transformation’ lacks a systemic mechanism to decipher relatively better from relatively worse decisions.</w:t>
      </w:r>
      <w:r w:rsidRPr="009C4A5A">
        <w:rPr>
          <w:sz w:val="16"/>
        </w:rPr>
        <w:t xml:space="preserve"> It is the systemic discipline provided by </w:t>
      </w:r>
      <w:r w:rsidRPr="00DD2D90">
        <w:rPr>
          <w:rStyle w:val="StyleUnderline"/>
        </w:rPr>
        <w:t>competition</w:t>
      </w:r>
      <w:r w:rsidRPr="009C4A5A">
        <w:rPr>
          <w:sz w:val="16"/>
        </w:rPr>
        <w:t xml:space="preserve"> and profit and loss accounting that, while never guaranteeing successful investment or effective coordination, </w:t>
      </w:r>
      <w:r w:rsidRPr="00DD2D90">
        <w:rPr>
          <w:rStyle w:val="StyleUnderline"/>
        </w:rPr>
        <w:t>increases the chance of discovering beneficial investments and the shutting down of those that fail to add value</w:t>
      </w:r>
      <w:r w:rsidRPr="009C4A5A">
        <w:rPr>
          <w:sz w:val="16"/>
        </w:rPr>
        <w:t xml:space="preserve">. The greater pluralism of decision-making in markets compared to democratic or bureaucratic settings -the fact that in most markets multiple firms offer consumers different products and services - facilitates comparisons between alternatives. Moreover, in these settings there is no need for agents to fully comprehend the reasons underlying their success or failure. The generation of profits and losses, combined with the existence of hard budget constraints, continually prods agents towards better decisions and away from relatively worse ones without needing to wait for complex factual and theoretical knowledge or the interpretation of data regarding cause-effect relationships. By contrast, </w:t>
      </w:r>
      <w:r w:rsidRPr="00DD2D90">
        <w:rPr>
          <w:rStyle w:val="StyleUnderline"/>
        </w:rPr>
        <w:t>state-dominated ‘transformations’ thwart the emergence of counterfactuals and knowledge of opportunity costs by limiting competition</w:t>
      </w:r>
      <w:r w:rsidRPr="009C4A5A">
        <w:rPr>
          <w:sz w:val="16"/>
        </w:rPr>
        <w:t xml:space="preserve">. As with pandemic response, the scale of the expenditures or the scope of the regulations concerned, and the lack of profit and loss signals attached to them, may block the communication of which ‘bits’ of expenditure or regulation are adding value. Without profit and loss accounting </w:t>
      </w:r>
      <w:r w:rsidRPr="00DD2D90">
        <w:rPr>
          <w:rStyle w:val="StyleUnderline"/>
        </w:rPr>
        <w:t>policymakers must rely on centralised</w:t>
      </w:r>
      <w:r w:rsidRPr="009C4A5A">
        <w:rPr>
          <w:sz w:val="16"/>
        </w:rPr>
        <w:t xml:space="preserve"> </w:t>
      </w:r>
      <w:r w:rsidRPr="00DD2D90">
        <w:rPr>
          <w:rStyle w:val="StyleUnderline"/>
        </w:rPr>
        <w:t>guesswork</w:t>
      </w:r>
      <w:r w:rsidRPr="009C4A5A">
        <w:rPr>
          <w:sz w:val="16"/>
        </w:rPr>
        <w:t xml:space="preserve">, </w:t>
      </w:r>
      <w:r w:rsidRPr="00DD2D90">
        <w:rPr>
          <w:rStyle w:val="StyleUnderline"/>
        </w:rPr>
        <w:t>or</w:t>
      </w:r>
      <w:r w:rsidRPr="009C4A5A">
        <w:rPr>
          <w:sz w:val="16"/>
        </w:rPr>
        <w:t xml:space="preserve"> at best reliance on </w:t>
      </w:r>
      <w:r w:rsidRPr="00DD2D90">
        <w:rPr>
          <w:rStyle w:val="StyleUnderline"/>
        </w:rPr>
        <w:t>modelling</w:t>
      </w:r>
      <w:r w:rsidRPr="009C4A5A">
        <w:rPr>
          <w:sz w:val="16"/>
        </w:rPr>
        <w:t xml:space="preserve"> procedures </w:t>
      </w:r>
      <w:r w:rsidRPr="00DD2D90">
        <w:rPr>
          <w:rStyle w:val="StyleUnderline"/>
        </w:rPr>
        <w:t>that</w:t>
      </w:r>
      <w:r w:rsidRPr="009C4A5A">
        <w:rPr>
          <w:sz w:val="16"/>
        </w:rPr>
        <w:t xml:space="preserve"> if they ever do generate knowledge of cause-effect relationships </w:t>
      </w:r>
      <w:r w:rsidRPr="00DD2D90">
        <w:rPr>
          <w:rStyle w:val="StyleUnderline"/>
        </w:rPr>
        <w:t>may not do so with sufficient speed</w:t>
      </w:r>
      <w:r w:rsidRPr="009C4A5A">
        <w:rPr>
          <w:sz w:val="16"/>
        </w:rPr>
        <w:t xml:space="preserve"> to shut down failing projects. This problem is compounded by the much softer budget constraints in the public sector that may enable policymakers to continue supporting ventures that fail to add value. Even when particular firms or industries do make positive returns, if these have been supported by public funds then knowledge of the returns that might have been generated had tax payers been allowed to invest the capital elsewhere will be foregone. To the extent that ‘transformational expenditures’ work to promote growth, therefore, then as is the case with pandemic response, this may to large degree be the result of fortuitous accident. To illustrate the empirical relevance of this perspective, consider the arguments for industrial policy espoused recently by Mazzucato (2013). She maintains that because some of today’s technological innovations had their origins in acts of government spending rather than private investments this demonstrates that ‘directional planning’ by the state can improve on market outcomes and that states should be bold in their willingness to spend on transformational projects. Yet the evidence Mazzucato cites simply fails to support these conclusions (see for example, Mingardi 2015). First, she ignores the opportunity costs of the massive cold war related military spending she claims was partly responsible for innovation and growth. While some of this expenditure may well have added value Mazzucato offers no analysis of the multiple acts of military spending that failed to stimulate beneficial innovation, and which were not shut down. Second, Mazzucato fails to recognise that those elements of public spending that may have generated benefits were not ‘planned’. </w:t>
      </w:r>
      <w:r w:rsidRPr="00DD2D90">
        <w:rPr>
          <w:rStyle w:val="StyleUnderline"/>
        </w:rPr>
        <w:t>At no point does she specify processes that demonstrate how ‘directional intelligence’ and ‘strategic planning’ led to</w:t>
      </w:r>
      <w:r w:rsidRPr="009C4A5A">
        <w:rPr>
          <w:sz w:val="16"/>
        </w:rPr>
        <w:t xml:space="preserve"> specific instances of </w:t>
      </w:r>
      <w:r w:rsidRPr="00DD2D90">
        <w:rPr>
          <w:rStyle w:val="StyleUnderline"/>
        </w:rPr>
        <w:t>success</w:t>
      </w:r>
      <w:r w:rsidRPr="009C4A5A">
        <w:rPr>
          <w:sz w:val="16"/>
        </w:rPr>
        <w:t xml:space="preserve">. On the contrary, the </w:t>
      </w:r>
      <w:r w:rsidRPr="00DD2D90">
        <w:rPr>
          <w:rStyle w:val="StyleUnderline"/>
        </w:rPr>
        <w:t>success stories</w:t>
      </w:r>
      <w:r w:rsidRPr="009C4A5A">
        <w:rPr>
          <w:sz w:val="16"/>
        </w:rPr>
        <w:t xml:space="preserve"> she refers to – such as the development of various digital technologies, </w:t>
      </w:r>
      <w:r w:rsidRPr="00DD2D90">
        <w:rPr>
          <w:rStyle w:val="StyleUnderline"/>
        </w:rPr>
        <w:t>appear to have been unintended</w:t>
      </w:r>
      <w:r w:rsidRPr="009C4A5A">
        <w:rPr>
          <w:sz w:val="16"/>
        </w:rPr>
        <w:t xml:space="preserve"> or accidental </w:t>
      </w:r>
      <w:r w:rsidRPr="00DD2D90">
        <w:rPr>
          <w:rStyle w:val="StyleUnderline"/>
        </w:rPr>
        <w:t>consequences emerging from</w:t>
      </w:r>
      <w:r w:rsidRPr="009C4A5A">
        <w:rPr>
          <w:sz w:val="16"/>
        </w:rPr>
        <w:t xml:space="preserve"> essentially </w:t>
      </w:r>
      <w:r w:rsidRPr="00DD2D90">
        <w:rPr>
          <w:rStyle w:val="StyleUnderline"/>
        </w:rPr>
        <w:t>random spending in the defence sector</w:t>
      </w:r>
      <w:r w:rsidRPr="009C4A5A">
        <w:rPr>
          <w:sz w:val="16"/>
        </w:rPr>
        <w:t xml:space="preserve"> – unintended consequences that were adapted to and </w:t>
      </w:r>
      <w:r w:rsidRPr="00DD2D90">
        <w:rPr>
          <w:rStyle w:val="StyleUnderline"/>
        </w:rPr>
        <w:t>seized upon by private agents</w:t>
      </w:r>
      <w:r w:rsidRPr="009C4A5A">
        <w:rPr>
          <w:sz w:val="16"/>
        </w:rPr>
        <w:t xml:space="preserve"> operating in competitive markets guided by profit and loss signals (ibid). Mazzucato is not alone in downplaying or ignoring opportunity costs and in failing to specify the processes that allow the ‘directive intelligence’ of the state to ‘beat the market’. A similar problem besets the strands of political economy literature that favour targeted protectionism (for example Chang 2007). In this instance, the relative success of some countries that have pursued protectionist policies is touted as evidence in their favour without adequate discussion of the multiple examples where similar measures have failed to deliver success. Moreover, where successes have occurred little if any account is given of the processes or mechanisms that could credibly connect the outcomes to specific acts of directive intelligence. It is simply assumed that the intervention in question was responsible for the outcome rather than arising despite the intervention, or as an accidental or unintended consequence from it (Panagariya 2019). The Hayekian perspective that has informed this paper does not claim that it is impossible for industrial policies, large public spending projects or targeted protectionism to generate positive results, any more than it claims that is impossible for governments to respond effectively to pandemics. As with pandemic response, what it suggests is that </w:t>
      </w:r>
      <w:r w:rsidRPr="00DD2D90">
        <w:rPr>
          <w:rStyle w:val="StyleUnderline"/>
        </w:rPr>
        <w:t>relative to markets there are few systemic mechanisms that enable decision-makers to learn whether their decisions add more, or less to public welfare than possible alternatives.</w:t>
      </w:r>
      <w:r w:rsidRPr="009C4A5A">
        <w:rPr>
          <w:sz w:val="16"/>
        </w:rPr>
        <w:t xml:space="preserve"> From a Hayekian perspective, what the Dewey/Keynes/Mazzucato case for state-based experimentation amounts to is the suggestion that if governments commit to spending enough public money on their favoured projects it would be remarkable if none of this expenditure did any good. Yet, this position hardly amounts to an endorsement of the transformational potential of the state. That it may be necessary to rely on the ‘muddling through’ of public agencies when responding to a pandemic, does not imply continued deference to such agencies when the emergency has passed. </w:t>
      </w:r>
    </w:p>
    <w:p w14:paraId="6EDE9437" w14:textId="75BC64FD" w:rsidR="00CA57E7" w:rsidRPr="00DD2D90" w:rsidRDefault="00B2192A" w:rsidP="00CA57E7">
      <w:pPr>
        <w:pStyle w:val="Heading4"/>
        <w:rPr>
          <w:sz w:val="22"/>
        </w:rPr>
      </w:pPr>
      <w:r w:rsidRPr="00DD2D90">
        <w:rPr>
          <w:sz w:val="22"/>
        </w:rPr>
        <w:br w:type="page"/>
      </w:r>
    </w:p>
    <w:p w14:paraId="2D5E4EF9" w14:textId="382CF27B" w:rsidR="00CA57E7" w:rsidRPr="009C4A5A" w:rsidRDefault="00CA57E7" w:rsidP="00CA57E7">
      <w:pPr>
        <w:pStyle w:val="Heading4"/>
        <w:rPr>
          <w:szCs w:val="26"/>
        </w:rPr>
      </w:pPr>
      <w:r w:rsidRPr="009C4A5A">
        <w:rPr>
          <w:szCs w:val="26"/>
        </w:rPr>
        <w:t>Maxing out a country’s “credit card” for future generations to pay the bill is profoundly unethical</w:t>
      </w:r>
    </w:p>
    <w:p w14:paraId="6BE8F9A3" w14:textId="77777777" w:rsidR="00CA57E7" w:rsidRPr="00DD2D90" w:rsidRDefault="00CA57E7" w:rsidP="00CA57E7">
      <w:r w:rsidRPr="009C4A5A">
        <w:rPr>
          <w:b/>
          <w:bCs/>
          <w:sz w:val="26"/>
          <w:szCs w:val="26"/>
        </w:rPr>
        <w:t>Hayek 60</w:t>
      </w:r>
      <w:r w:rsidRPr="00DD2D90">
        <w:t xml:space="preserve"> [Friedrich A. Hayek, political economy philosopher with a Nobel Prize in economics, 1960, “The Constitution </w:t>
      </w:r>
      <w:proofErr w:type="gramStart"/>
      <w:r w:rsidRPr="00DD2D90">
        <w:t>Of</w:t>
      </w:r>
      <w:proofErr w:type="gramEnd"/>
      <w:r w:rsidRPr="00DD2D90">
        <w:t xml:space="preserve"> Liberty,” University of Chicago Press, https://www.mises.at/static/literatur/Buch/hayek-the-constitution-of-liberty.pdf]/Kankee</w:t>
      </w:r>
    </w:p>
    <w:p w14:paraId="63BDE590" w14:textId="77777777" w:rsidR="00CA57E7" w:rsidRPr="00DD2D90" w:rsidRDefault="00CA57E7" w:rsidP="00CA57E7">
      <w:r w:rsidRPr="00DD2D90">
        <w:t>*OCR errors exist</w:t>
      </w:r>
    </w:p>
    <w:p w14:paraId="071CAF31" w14:textId="77777777" w:rsidR="00CA57E7" w:rsidRPr="009C4A5A" w:rsidRDefault="00CA57E7" w:rsidP="00CA57E7">
      <w:pPr>
        <w:rPr>
          <w:sz w:val="16"/>
        </w:rPr>
      </w:pPr>
      <w:r w:rsidRPr="009C4A5A">
        <w:rPr>
          <w:sz w:val="16"/>
        </w:rPr>
        <w:t xml:space="preserve">Though the traditiohal liberal aversion to any discretionary powers of authority may have played some role in making this development possible, it should be noted that the objection against discretionary coercion can really provide no justification for allowing any responsible person an unconditional claim to assist- ance and the right to be the ultimate judge of his own needs. There can be no principle of justice in a free society that confers a right to "non-deterrent". or "non-discretionary" support irrespective of proved need. If such claims have been introduced under the disguise of "social insurance" and through an admitted decep- tion of the public-a deception which is a source of pride to its authors 38-they have certainly nothing to do with the principle of equal justice under the law. The hope is now sometimes expressed by liberals that "the whole Welfare State apparatus must be regarded as a passing phenomenon,"39 a kind of transitional phase of evolution which the general growth of wealth will soon make unnecessary. It must seem doubtful, however, whether there exists such a distinct· phase of evolution in which the net effects of those monopolistic institutions are likely to be beneficial, and still more whether, once they have been created, it wiIl ever be politically possible again to get rid of them. In poor countries </w:t>
      </w:r>
      <w:r w:rsidRPr="00DD2D90">
        <w:rPr>
          <w:rStyle w:val="StyleUnderline"/>
          <w:highlight w:val="green"/>
        </w:rPr>
        <w:t>the burden</w:t>
      </w:r>
      <w:r w:rsidRPr="00DD2D90">
        <w:rPr>
          <w:rStyle w:val="StyleUnderline"/>
        </w:rPr>
        <w:t xml:space="preserve"> of the ever growing machinery is </w:t>
      </w:r>
      <w:r w:rsidRPr="00DD2D90">
        <w:rPr>
          <w:rStyle w:val="StyleUnderline"/>
          <w:highlight w:val="green"/>
        </w:rPr>
        <w:t xml:space="preserve">likely to </w:t>
      </w:r>
      <w:r w:rsidRPr="00DD2D90">
        <w:rPr>
          <w:rStyle w:val="Emphasis"/>
          <w:highlight w:val="green"/>
        </w:rPr>
        <w:t xml:space="preserve">slow </w:t>
      </w:r>
      <w:r w:rsidRPr="00DD2D90">
        <w:rPr>
          <w:rStyle w:val="StyleUnderline"/>
          <w:highlight w:val="green"/>
        </w:rPr>
        <w:t>down</w:t>
      </w:r>
      <w:r w:rsidRPr="009C4A5A">
        <w:rPr>
          <w:sz w:val="16"/>
        </w:rPr>
        <w:t xml:space="preserve"> considerably the </w:t>
      </w:r>
      <w:r w:rsidRPr="00DD2D90">
        <w:rPr>
          <w:rStyle w:val="StyleUnderline"/>
          <w:highlight w:val="green"/>
        </w:rPr>
        <w:t>growth</w:t>
      </w:r>
      <w:r w:rsidRPr="009C4A5A">
        <w:rPr>
          <w:sz w:val="16"/>
        </w:rPr>
        <w:t xml:space="preserve"> of wealth (not to mention its tendency to aggravate the proPlem of overpopulation) and</w:t>
      </w:r>
      <w:r w:rsidRPr="00DD2D90">
        <w:rPr>
          <w:rStyle w:val="StyleUnderline"/>
        </w:rPr>
        <w:t xml:space="preserve"> thus to postpone indefinitely the time when it will be thought unnecessary, while in the richer countries </w:t>
      </w:r>
      <w:r w:rsidRPr="00DD2D90">
        <w:rPr>
          <w:rStyle w:val="StyleUnderline"/>
          <w:highlight w:val="green"/>
        </w:rPr>
        <w:t>it will prevent</w:t>
      </w:r>
      <w:r w:rsidRPr="00DD2D90">
        <w:rPr>
          <w:rStyle w:val="StyleUnderline"/>
        </w:rPr>
        <w:t xml:space="preserve"> the evolution of </w:t>
      </w:r>
      <w:r w:rsidRPr="00DD2D90">
        <w:rPr>
          <w:rStyle w:val="StyleUnderline"/>
          <w:highlight w:val="green"/>
        </w:rPr>
        <w:t>alternative</w:t>
      </w:r>
      <w:r w:rsidRPr="00DD2D90">
        <w:rPr>
          <w:rStyle w:val="StyleUnderline"/>
        </w:rPr>
        <w:t xml:space="preserve"> </w:t>
      </w:r>
      <w:r w:rsidRPr="00DD2D90">
        <w:rPr>
          <w:rStyle w:val="StyleUnderline"/>
          <w:highlight w:val="green"/>
        </w:rPr>
        <w:t>institutions</w:t>
      </w:r>
      <w:r w:rsidRPr="00DD2D90">
        <w:rPr>
          <w:rStyle w:val="StyleUnderline"/>
        </w:rPr>
        <w:t xml:space="preserve"> that could take over some of its functions.</w:t>
      </w:r>
      <w:r w:rsidRPr="009C4A5A">
        <w:rPr>
          <w:sz w:val="16"/>
        </w:rPr>
        <w:t xml:space="preserve"> . There perhaps exists no insuperable obstacle to a gradual' transformation of the sickness and unemployment allowance sys- tems into systems of true insurance under which the individuals pay for benefits offered by competing institutions. </w:t>
      </w:r>
      <w:r w:rsidRPr="00DD2D90">
        <w:rPr>
          <w:rStyle w:val="StyleUnderline"/>
        </w:rPr>
        <w:t>It is</w:t>
      </w:r>
      <w:r w:rsidRPr="009C4A5A">
        <w:rPr>
          <w:sz w:val="16"/>
        </w:rPr>
        <w:t xml:space="preserve"> much more </w:t>
      </w:r>
      <w:r w:rsidRPr="00DD2D90">
        <w:rPr>
          <w:rStyle w:val="StyleUnderline"/>
        </w:rPr>
        <w:t>difficult to see how it will ever be possible to abandon a system of provision for the aged under which each generation, by paying for the needs of the preceding one, acquires a similar claim to support by the next</w:t>
      </w:r>
      <w:r w:rsidRPr="009C4A5A">
        <w:rPr>
          <w:sz w:val="16"/>
        </w:rPr>
        <w:t xml:space="preserve">. It would almost seem as if such </w:t>
      </w:r>
      <w:r w:rsidRPr="00DD2D90">
        <w:rPr>
          <w:rStyle w:val="StyleUnderline"/>
          <w:highlight w:val="green"/>
        </w:rPr>
        <w:t>a system, once introduced, would have to be continued in perpetuity or allowed to collapse entirely</w:t>
      </w:r>
      <w:r w:rsidRPr="009C4A5A">
        <w:rPr>
          <w:sz w:val="16"/>
        </w:rPr>
        <w:t xml:space="preserve">. </w:t>
      </w:r>
      <w:r w:rsidRPr="00DD2D90">
        <w:rPr>
          <w:rStyle w:val="StyleUnderline"/>
          <w:highlight w:val="green"/>
        </w:rPr>
        <w:t>The</w:t>
      </w:r>
      <w:r w:rsidRPr="009C4A5A">
        <w:rPr>
          <w:sz w:val="16"/>
        </w:rPr>
        <w:t xml:space="preserve"> introduction of such a </w:t>
      </w:r>
      <w:r w:rsidRPr="00DD2D90">
        <w:rPr>
          <w:rStyle w:val="StyleUnderline"/>
          <w:highlight w:val="green"/>
        </w:rPr>
        <w:t>system</w:t>
      </w:r>
      <w:r w:rsidRPr="009C4A5A">
        <w:rPr>
          <w:sz w:val="16"/>
        </w:rPr>
        <w:t xml:space="preserve"> therefore </w:t>
      </w:r>
      <w:r w:rsidRPr="00DD2D90">
        <w:rPr>
          <w:rStyle w:val="StyleUnderline"/>
          <w:highlight w:val="green"/>
        </w:rPr>
        <w:t xml:space="preserve">puts a </w:t>
      </w:r>
      <w:r w:rsidRPr="00DD2D90">
        <w:rPr>
          <w:rStyle w:val="Emphasis"/>
          <w:highlight w:val="green"/>
        </w:rPr>
        <w:t>strait jacket</w:t>
      </w:r>
      <w:r w:rsidRPr="00DD2D90">
        <w:rPr>
          <w:rStyle w:val="StyleUnderline"/>
          <w:highlight w:val="green"/>
        </w:rPr>
        <w:t xml:space="preserve"> on</w:t>
      </w:r>
      <w:r w:rsidRPr="00DD2D90">
        <w:rPr>
          <w:rStyle w:val="StyleUnderline"/>
        </w:rPr>
        <w:t xml:space="preserve"> evolution</w:t>
      </w:r>
      <w:r w:rsidRPr="009C4A5A">
        <w:rPr>
          <w:sz w:val="16"/>
        </w:rPr>
        <w:t xml:space="preserve"> </w:t>
      </w:r>
      <w:r w:rsidRPr="00DD2D90">
        <w:rPr>
          <w:rStyle w:val="StyleUnderline"/>
        </w:rPr>
        <w:t xml:space="preserve">and places on </w:t>
      </w:r>
      <w:r w:rsidRPr="00DD2D90">
        <w:rPr>
          <w:rStyle w:val="StyleUnderline"/>
          <w:highlight w:val="green"/>
        </w:rPr>
        <w:t>society</w:t>
      </w:r>
      <w:r w:rsidRPr="00DD2D90">
        <w:rPr>
          <w:rStyle w:val="StyleUnderline"/>
        </w:rPr>
        <w:t xml:space="preserve"> a steadily growing burden</w:t>
      </w:r>
      <w:r w:rsidRPr="009C4A5A">
        <w:rPr>
          <w:sz w:val="16"/>
        </w:rPr>
        <w:t xml:space="preserve"> from which </w:t>
      </w:r>
      <w:r w:rsidRPr="00DD2D90">
        <w:rPr>
          <w:rStyle w:val="StyleUnderline"/>
        </w:rPr>
        <w:t xml:space="preserve">it will </w:t>
      </w:r>
      <w:r w:rsidRPr="009C4A5A">
        <w:rPr>
          <w:sz w:val="16"/>
        </w:rPr>
        <w:t xml:space="preserve">in all probability again and again </w:t>
      </w:r>
      <w:r w:rsidRPr="00DD2D90">
        <w:rPr>
          <w:rStyle w:val="StyleUnderline"/>
        </w:rPr>
        <w:t>attempt to extricate itself by inflation.</w:t>
      </w:r>
      <w:r w:rsidRPr="009C4A5A">
        <w:rPr>
          <w:sz w:val="16"/>
        </w:rPr>
        <w:t xml:space="preserve"> Neither this outlet, however, nor a deliberate default on obligation already incurred 40 can provide the basis for a decent society. Before we can hope to solve these problems sensibly, </w:t>
      </w:r>
      <w:r w:rsidRPr="00DD2D90">
        <w:rPr>
          <w:rStyle w:val="StyleUnderline"/>
          <w:highlight w:val="green"/>
        </w:rPr>
        <w:t>democracy</w:t>
      </w:r>
      <w:r w:rsidRPr="009C4A5A">
        <w:rPr>
          <w:sz w:val="16"/>
        </w:rPr>
        <w:t xml:space="preserve"> will have to learn that it </w:t>
      </w:r>
      <w:r w:rsidRPr="00DD2D90">
        <w:rPr>
          <w:rStyle w:val="StyleUnderline"/>
          <w:highlight w:val="green"/>
        </w:rPr>
        <w:t>must pay for its own follies and that it cannot draw unlimited checks on the future to solve its present problems</w:t>
      </w:r>
      <w:r w:rsidRPr="009C4A5A">
        <w:rPr>
          <w:sz w:val="16"/>
        </w:rPr>
        <w:t xml:space="preserve">. It has been well said that, </w:t>
      </w:r>
      <w:r w:rsidRPr="00DD2D90">
        <w:rPr>
          <w:rStyle w:val="StyleUnderline"/>
          <w:highlight w:val="green"/>
        </w:rPr>
        <w:t>while we used to suffer from social evils, we now</w:t>
      </w:r>
      <w:r w:rsidRPr="00DD2D90">
        <w:rPr>
          <w:rStyle w:val="StyleUnderline"/>
        </w:rPr>
        <w:t xml:space="preserve"> </w:t>
      </w:r>
      <w:r w:rsidRPr="00DD2D90">
        <w:rPr>
          <w:rStyle w:val="StyleUnderline"/>
          <w:highlight w:val="green"/>
        </w:rPr>
        <w:t>suffer from the remedies for them</w:t>
      </w:r>
      <w:r w:rsidRPr="009C4A5A">
        <w:rPr>
          <w:sz w:val="16"/>
        </w:rPr>
        <w:t xml:space="preserve">. 41 The difference is that, while </w:t>
      </w:r>
      <w:r w:rsidRPr="00DD2D90">
        <w:rPr>
          <w:rStyle w:val="StyleUnderline"/>
        </w:rPr>
        <w:t>in former times the social evils were gradually disap- pearing with</w:t>
      </w:r>
      <w:r w:rsidRPr="009C4A5A">
        <w:rPr>
          <w:sz w:val="16"/>
        </w:rPr>
        <w:t xml:space="preserve"> the </w:t>
      </w:r>
      <w:r w:rsidRPr="00DD2D90">
        <w:rPr>
          <w:rStyle w:val="StyleUnderline"/>
        </w:rPr>
        <w:t>growth</w:t>
      </w:r>
      <w:r w:rsidRPr="009C4A5A">
        <w:rPr>
          <w:sz w:val="16"/>
        </w:rPr>
        <w:t xml:space="preserve"> of wealth, the </w:t>
      </w:r>
      <w:r w:rsidRPr="00DD2D90">
        <w:rPr>
          <w:rStyle w:val="StyleUnderline"/>
          <w:highlight w:val="green"/>
        </w:rPr>
        <w:t>remedies</w:t>
      </w:r>
      <w:r w:rsidRPr="009C4A5A">
        <w:rPr>
          <w:sz w:val="16"/>
        </w:rPr>
        <w:t xml:space="preserve"> we have intro- duced are beginning to </w:t>
      </w:r>
      <w:r w:rsidRPr="00DD2D90">
        <w:rPr>
          <w:rStyle w:val="StyleUnderline"/>
          <w:highlight w:val="green"/>
        </w:rPr>
        <w:t>threaten the continuance of</w:t>
      </w:r>
      <w:r w:rsidRPr="009C4A5A">
        <w:rPr>
          <w:sz w:val="16"/>
        </w:rPr>
        <w:t xml:space="preserve"> that </w:t>
      </w:r>
      <w:r w:rsidRPr="00DD2D90">
        <w:rPr>
          <w:rStyle w:val="StyleUnderline"/>
          <w:highlight w:val="green"/>
        </w:rPr>
        <w:t>growth</w:t>
      </w:r>
      <w:r w:rsidRPr="009C4A5A">
        <w:rPr>
          <w:sz w:val="16"/>
        </w:rPr>
        <w:t xml:space="preserve"> of wealth </w:t>
      </w:r>
      <w:r w:rsidRPr="00DD2D90">
        <w:rPr>
          <w:rStyle w:val="StyleUnderline"/>
          <w:highlight w:val="green"/>
        </w:rPr>
        <w:t>on which</w:t>
      </w:r>
      <w:r w:rsidRPr="009C4A5A">
        <w:rPr>
          <w:sz w:val="16"/>
        </w:rPr>
        <w:t xml:space="preserve"> </w:t>
      </w:r>
      <w:r w:rsidRPr="00DD2D90">
        <w:rPr>
          <w:rStyle w:val="StyleUnderline"/>
        </w:rPr>
        <w:t>all</w:t>
      </w:r>
      <w:r w:rsidRPr="009C4A5A">
        <w:rPr>
          <w:sz w:val="16"/>
        </w:rPr>
        <w:t xml:space="preserve"> </w:t>
      </w:r>
      <w:r w:rsidRPr="00DD2D90">
        <w:rPr>
          <w:rStyle w:val="StyleUnderline"/>
          <w:highlight w:val="green"/>
        </w:rPr>
        <w:t>future improvement depends</w:t>
      </w:r>
      <w:r w:rsidRPr="009C4A5A">
        <w:rPr>
          <w:sz w:val="16"/>
        </w:rPr>
        <w:t xml:space="preserve">. Instead of the "five giants" which the welfare state of the Beveridge report was designed to combat, we are now raising new giants which may well prove even greater enemies of a decent way of life. Though we may have speeded up a little the conquest of want, disease, ignorance, squalor, and idleness, we may in the </w:t>
      </w:r>
      <w:r w:rsidRPr="00DD2D90">
        <w:rPr>
          <w:rStyle w:val="StyleUnderline"/>
        </w:rPr>
        <w:t>future</w:t>
      </w:r>
      <w:r w:rsidRPr="009C4A5A">
        <w:rPr>
          <w:sz w:val="16"/>
        </w:rPr>
        <w:t xml:space="preserve"> do worse even in that struggle when the </w:t>
      </w:r>
      <w:r w:rsidRPr="00DD2D90">
        <w:rPr>
          <w:rStyle w:val="Emphasis"/>
        </w:rPr>
        <w:t xml:space="preserve">chief </w:t>
      </w:r>
      <w:r w:rsidRPr="00DD2D90">
        <w:rPr>
          <w:rStyle w:val="Emphasis"/>
          <w:highlight w:val="green"/>
        </w:rPr>
        <w:t>dangers</w:t>
      </w:r>
      <w:r w:rsidRPr="00DD2D90">
        <w:rPr>
          <w:rStyle w:val="StyleUnderline"/>
          <w:highlight w:val="green"/>
        </w:rPr>
        <w:t xml:space="preserve"> </w:t>
      </w:r>
      <w:r w:rsidRPr="00DD2D90">
        <w:rPr>
          <w:rStyle w:val="StyleUnderline"/>
        </w:rPr>
        <w:t xml:space="preserve">will </w:t>
      </w:r>
      <w:r w:rsidRPr="00DD2D90">
        <w:rPr>
          <w:rStyle w:val="StyleUnderline"/>
          <w:highlight w:val="green"/>
        </w:rPr>
        <w:t xml:space="preserve">come from </w:t>
      </w:r>
      <w:r w:rsidRPr="00DD2D90">
        <w:rPr>
          <w:rStyle w:val="StyleUnderline"/>
        </w:rPr>
        <w:t xml:space="preserve">inflation, </w:t>
      </w:r>
      <w:r w:rsidRPr="00DD2D90">
        <w:rPr>
          <w:rStyle w:val="Emphasis"/>
          <w:highlight w:val="green"/>
        </w:rPr>
        <w:t>paralyzing taxation</w:t>
      </w:r>
      <w:r w:rsidRPr="009C4A5A">
        <w:rPr>
          <w:sz w:val="16"/>
        </w:rPr>
        <w:t xml:space="preserve">, coercive labor unions, </w:t>
      </w:r>
      <w:r w:rsidRPr="00DD2D90">
        <w:rPr>
          <w:rStyle w:val="StyleUnderline"/>
        </w:rPr>
        <w:t>an ever increasing dominance of government in</w:t>
      </w:r>
      <w:r w:rsidRPr="009C4A5A">
        <w:rPr>
          <w:sz w:val="16"/>
        </w:rPr>
        <w:t xml:space="preserve"> education, </w:t>
      </w:r>
      <w:r w:rsidRPr="00DD2D90">
        <w:rPr>
          <w:rStyle w:val="StyleUnderline"/>
        </w:rPr>
        <w:t>and</w:t>
      </w:r>
      <w:r w:rsidRPr="009C4A5A">
        <w:rPr>
          <w:sz w:val="16"/>
        </w:rPr>
        <w:t xml:space="preserve"> </w:t>
      </w:r>
      <w:r w:rsidRPr="00DD2D90">
        <w:rPr>
          <w:rStyle w:val="StyleUnderline"/>
        </w:rPr>
        <w:t>a social</w:t>
      </w:r>
      <w:r w:rsidRPr="009C4A5A">
        <w:rPr>
          <w:sz w:val="16"/>
        </w:rPr>
        <w:t xml:space="preserve"> service </w:t>
      </w:r>
      <w:r w:rsidRPr="00DD2D90">
        <w:rPr>
          <w:rStyle w:val="StyleUnderline"/>
        </w:rPr>
        <w:t>bureaucracy</w:t>
      </w:r>
      <w:r w:rsidRPr="009C4A5A">
        <w:rPr>
          <w:sz w:val="16"/>
        </w:rPr>
        <w:t xml:space="preserve"> </w:t>
      </w:r>
      <w:r w:rsidRPr="00DD2D90">
        <w:rPr>
          <w:rStyle w:val="StyleUnderline"/>
        </w:rPr>
        <w:t>with</w:t>
      </w:r>
      <w:r w:rsidRPr="009C4A5A">
        <w:rPr>
          <w:sz w:val="16"/>
        </w:rPr>
        <w:t xml:space="preserve"> far-reaching </w:t>
      </w:r>
      <w:r w:rsidRPr="00DD2D90">
        <w:rPr>
          <w:rStyle w:val="Emphasis"/>
        </w:rPr>
        <w:t>arbitrary</w:t>
      </w:r>
      <w:r w:rsidRPr="00DD2D90">
        <w:rPr>
          <w:rStyle w:val="StyleUnderline"/>
        </w:rPr>
        <w:t xml:space="preserve"> powers</w:t>
      </w:r>
      <w:r w:rsidRPr="009C4A5A">
        <w:rPr>
          <w:sz w:val="16"/>
        </w:rPr>
        <w:t xml:space="preserve">- </w:t>
      </w:r>
      <w:r w:rsidRPr="00DD2D90">
        <w:rPr>
          <w:rStyle w:val="StyleUnderline"/>
        </w:rPr>
        <w:t xml:space="preserve">dangers from which the individual </w:t>
      </w:r>
      <w:r w:rsidRPr="00DD2D90">
        <w:rPr>
          <w:rStyle w:val="Emphasis"/>
        </w:rPr>
        <w:t>cannot escape</w:t>
      </w:r>
      <w:r w:rsidRPr="009C4A5A">
        <w:rPr>
          <w:sz w:val="16"/>
        </w:rPr>
        <w:t xml:space="preserve"> by his 'own efforts and which the momentum of the overextended machinery pf government is likely to increase rather than mitigate. CHAPTER TWENTY Taxation and Redistribution </w:t>
      </w:r>
    </w:p>
    <w:p w14:paraId="7D684870" w14:textId="72799129" w:rsidR="00B2192A" w:rsidRPr="009C4A5A" w:rsidRDefault="00CA57E7" w:rsidP="00CA57E7">
      <w:pPr>
        <w:rPr>
          <w:rFonts w:eastAsiaTheme="majorEastAsia" w:cstheme="majorBidi"/>
          <w:b/>
          <w:iCs/>
          <w:sz w:val="16"/>
        </w:rPr>
      </w:pPr>
      <w:r w:rsidRPr="009C4A5A">
        <w:rPr>
          <w:sz w:val="16"/>
        </w:rPr>
        <w:br w:type="page"/>
      </w:r>
    </w:p>
    <w:p w14:paraId="65AAE0A0" w14:textId="7BEF31A1" w:rsidR="00F63522" w:rsidRPr="00D05211" w:rsidRDefault="00F63522" w:rsidP="00F63522">
      <w:pPr>
        <w:pStyle w:val="Heading3"/>
        <w:rPr>
          <w:rFonts w:ascii="Arial Black" w:hAnsi="Arial Black"/>
          <w:color w:val="B43E1F"/>
          <w:szCs w:val="32"/>
        </w:rPr>
      </w:pPr>
      <w:r w:rsidRPr="00D05211">
        <w:rPr>
          <w:rFonts w:ascii="Arial Black" w:hAnsi="Arial Black"/>
          <w:color w:val="B43E1F"/>
          <w:szCs w:val="32"/>
        </w:rPr>
        <w:t xml:space="preserve">Contention 3: </w:t>
      </w:r>
      <w:r w:rsidR="00914260" w:rsidRPr="00D05211">
        <w:rPr>
          <w:rFonts w:ascii="Arial Black" w:hAnsi="Arial Black"/>
          <w:color w:val="B43E1F"/>
          <w:szCs w:val="32"/>
        </w:rPr>
        <w:t>Case Turns</w:t>
      </w:r>
    </w:p>
    <w:p w14:paraId="798C813B" w14:textId="08489449" w:rsidR="00893021" w:rsidRPr="009C4A5A" w:rsidRDefault="00893021" w:rsidP="00893021">
      <w:pPr>
        <w:pStyle w:val="Heading4"/>
        <w:rPr>
          <w:szCs w:val="26"/>
        </w:rPr>
      </w:pPr>
      <w:r w:rsidRPr="009C4A5A">
        <w:rPr>
          <w:szCs w:val="26"/>
        </w:rPr>
        <w:t xml:space="preserve">Other countries prove </w:t>
      </w:r>
      <w:r w:rsidR="0068756B" w:rsidRPr="009C4A5A">
        <w:rPr>
          <w:szCs w:val="26"/>
        </w:rPr>
        <w:t xml:space="preserve">single-payer increases </w:t>
      </w:r>
      <w:r w:rsidRPr="009C4A5A">
        <w:rPr>
          <w:szCs w:val="26"/>
        </w:rPr>
        <w:t>wait times</w:t>
      </w:r>
    </w:p>
    <w:p w14:paraId="1E46BCA7" w14:textId="117F70D0" w:rsidR="00893021" w:rsidRPr="00DD2D90" w:rsidRDefault="00893021" w:rsidP="00893021">
      <w:r w:rsidRPr="009C4A5A">
        <w:rPr>
          <w:b/>
          <w:bCs/>
          <w:sz w:val="26"/>
          <w:szCs w:val="26"/>
        </w:rPr>
        <w:t>Fund and Simon 23</w:t>
      </w:r>
      <w:r w:rsidRPr="00DD2D90">
        <w:t xml:space="preserve"> [John Fund</w:t>
      </w:r>
      <w:r w:rsidR="0048570C" w:rsidRPr="00DD2D90">
        <w:t>, National Review’s national-affairs reporter,</w:t>
      </w:r>
      <w:r w:rsidRPr="00DD2D90">
        <w:t xml:space="preserve"> and David M. Simon, graduate of Johns Hopkins University, 1-29-2023, "Medicare for All Would Worsen Our Existing Health-Care Problems", National Review, https://www.nationalreview.com/2023/01/medicare-for-all-would-worsen-our-existing-health-care-problems/]/Kankee</w:t>
      </w:r>
    </w:p>
    <w:p w14:paraId="1AC00732" w14:textId="77777777" w:rsidR="00893021" w:rsidRPr="009C4A5A" w:rsidRDefault="00893021" w:rsidP="00893021">
      <w:pPr>
        <w:rPr>
          <w:sz w:val="16"/>
        </w:rPr>
      </w:pPr>
      <w:r w:rsidRPr="009C4A5A">
        <w:rPr>
          <w:sz w:val="16"/>
        </w:rPr>
        <w:t xml:space="preserve">B ernie Sanders, the Vermont socialist who is the new chairman of the Senate Health, Education, and Labor Committee, has one great goal left at age 81. He will be spending most of his time trying to convince Congress to enact a single-payer system and eliminate private health insurance. But </w:t>
      </w:r>
      <w:r w:rsidRPr="00DD2D90">
        <w:rPr>
          <w:rStyle w:val="StyleUnderline"/>
        </w:rPr>
        <w:t>Medicare for All would harm and perhaps kill many Americans</w:t>
      </w:r>
      <w:r w:rsidRPr="009C4A5A">
        <w:rPr>
          <w:sz w:val="16"/>
        </w:rPr>
        <w:t xml:space="preserve">. Just look at the pain and suffering that England’s version of single-payer, the National Health Service, is inflicting on patients. </w:t>
      </w:r>
      <w:r w:rsidRPr="00DD2D90">
        <w:rPr>
          <w:rStyle w:val="StyleUnderline"/>
          <w:highlight w:val="green"/>
        </w:rPr>
        <w:t>The NHS reports</w:t>
      </w:r>
      <w:r w:rsidRPr="009C4A5A">
        <w:rPr>
          <w:sz w:val="16"/>
        </w:rPr>
        <w:t xml:space="preserve"> that as of November 2022, </w:t>
      </w:r>
      <w:r w:rsidRPr="00DD2D90">
        <w:rPr>
          <w:rStyle w:val="StyleUnderline"/>
          <w:highlight w:val="green"/>
        </w:rPr>
        <w:t>2.9 million</w:t>
      </w:r>
      <w:r w:rsidRPr="00DD2D90">
        <w:rPr>
          <w:rStyle w:val="StyleUnderline"/>
        </w:rPr>
        <w:t xml:space="preserve"> of the 7.2 million </w:t>
      </w:r>
      <w:r w:rsidRPr="00DD2D90">
        <w:rPr>
          <w:rStyle w:val="StyleUnderline"/>
          <w:highlight w:val="green"/>
        </w:rPr>
        <w:t>patients</w:t>
      </w:r>
      <w:r w:rsidRPr="00DD2D90">
        <w:rPr>
          <w:rStyle w:val="StyleUnderline"/>
        </w:rPr>
        <w:t xml:space="preserve"> referred for treatment </w:t>
      </w:r>
      <w:r w:rsidRPr="00DD2D90">
        <w:rPr>
          <w:rStyle w:val="StyleUnderline"/>
          <w:highlight w:val="green"/>
        </w:rPr>
        <w:t>waited</w:t>
      </w:r>
      <w:r w:rsidRPr="00DD2D90">
        <w:rPr>
          <w:rStyle w:val="StyleUnderline"/>
        </w:rPr>
        <w:t xml:space="preserve"> more than </w:t>
      </w:r>
      <w:r w:rsidRPr="00DD2D90">
        <w:rPr>
          <w:rStyle w:val="Emphasis"/>
          <w:highlight w:val="green"/>
        </w:rPr>
        <w:t>18 weeks</w:t>
      </w:r>
      <w:r w:rsidRPr="00DD2D90">
        <w:rPr>
          <w:rStyle w:val="StyleUnderline"/>
          <w:highlight w:val="green"/>
        </w:rPr>
        <w:t xml:space="preserve"> to start</w:t>
      </w:r>
      <w:r w:rsidRPr="009C4A5A">
        <w:rPr>
          <w:sz w:val="16"/>
          <w:highlight w:val="green"/>
        </w:rPr>
        <w:t xml:space="preserve"> </w:t>
      </w:r>
      <w:r w:rsidRPr="00DD2D90">
        <w:rPr>
          <w:rStyle w:val="StyleUnderline"/>
          <w:highlight w:val="green"/>
        </w:rPr>
        <w:t>treatment</w:t>
      </w:r>
      <w:r w:rsidRPr="009C4A5A">
        <w:rPr>
          <w:sz w:val="16"/>
        </w:rPr>
        <w:t xml:space="preserve">. </w:t>
      </w:r>
      <w:r w:rsidRPr="00DD2D90">
        <w:rPr>
          <w:rStyle w:val="StyleUnderline"/>
        </w:rPr>
        <w:t xml:space="preserve">Over </w:t>
      </w:r>
      <w:r w:rsidRPr="00DD2D90">
        <w:rPr>
          <w:rStyle w:val="StyleUnderline"/>
          <w:highlight w:val="green"/>
        </w:rPr>
        <w:t xml:space="preserve">450,000 patients waited </w:t>
      </w:r>
      <w:r w:rsidRPr="00DD2D90">
        <w:rPr>
          <w:rStyle w:val="StyleUnderline"/>
        </w:rPr>
        <w:t xml:space="preserve">more than </w:t>
      </w:r>
      <w:r w:rsidRPr="00DD2D90">
        <w:rPr>
          <w:rStyle w:val="StyleUnderline"/>
          <w:highlight w:val="green"/>
        </w:rPr>
        <w:t>a year</w:t>
      </w:r>
      <w:r w:rsidRPr="00DD2D90">
        <w:rPr>
          <w:rStyle w:val="StyleUnderline"/>
        </w:rPr>
        <w:t>.</w:t>
      </w:r>
      <w:r w:rsidRPr="009C4A5A">
        <w:rPr>
          <w:sz w:val="16"/>
        </w:rPr>
        <w:t xml:space="preserve"> The NHS acknowledges that these results do not meet its standards, but it admits that its goal is to ensure that 92 percent of patients wait “no more than 18 weeks.” NHS </w:t>
      </w:r>
      <w:r w:rsidRPr="00DD2D90">
        <w:rPr>
          <w:rStyle w:val="StyleUnderline"/>
        </w:rPr>
        <w:t>emergency rooms</w:t>
      </w:r>
      <w:r w:rsidRPr="009C4A5A">
        <w:rPr>
          <w:sz w:val="16"/>
        </w:rPr>
        <w:t xml:space="preserve"> also </w:t>
      </w:r>
      <w:r w:rsidRPr="00DD2D90">
        <w:rPr>
          <w:rStyle w:val="StyleUnderline"/>
        </w:rPr>
        <w:t xml:space="preserve">are a </w:t>
      </w:r>
      <w:r w:rsidRPr="00DD2D90">
        <w:rPr>
          <w:rStyle w:val="Emphasis"/>
        </w:rPr>
        <w:t>disaster</w:t>
      </w:r>
      <w:r w:rsidRPr="009C4A5A">
        <w:rPr>
          <w:sz w:val="16"/>
        </w:rPr>
        <w:t xml:space="preserve">. Another NHS report shows that in December 2022, </w:t>
      </w:r>
      <w:r w:rsidRPr="00DD2D90">
        <w:rPr>
          <w:rStyle w:val="Emphasis"/>
          <w:highlight w:val="green"/>
        </w:rPr>
        <w:t>35 percent</w:t>
      </w:r>
      <w:r w:rsidRPr="00DD2D90">
        <w:rPr>
          <w:rStyle w:val="StyleUnderline"/>
          <w:highlight w:val="green"/>
        </w:rPr>
        <w:t xml:space="preserve"> of patients were not seen</w:t>
      </w:r>
      <w:r w:rsidRPr="009C4A5A">
        <w:rPr>
          <w:sz w:val="16"/>
          <w:highlight w:val="green"/>
        </w:rPr>
        <w:t>,</w:t>
      </w:r>
      <w:r w:rsidRPr="009C4A5A">
        <w:rPr>
          <w:sz w:val="16"/>
        </w:rPr>
        <w:t xml:space="preserve"> i.e., had not begun to receive care, </w:t>
      </w:r>
      <w:r w:rsidRPr="00DD2D90">
        <w:rPr>
          <w:rStyle w:val="StyleUnderline"/>
          <w:highlight w:val="green"/>
        </w:rPr>
        <w:t>within four hours</w:t>
      </w:r>
      <w:r w:rsidRPr="009C4A5A">
        <w:rPr>
          <w:sz w:val="16"/>
        </w:rPr>
        <w:t>. The Times of London summed up the grim consequences: “</w:t>
      </w:r>
      <w:r w:rsidRPr="00DD2D90">
        <w:rPr>
          <w:rStyle w:val="StyleUnderline"/>
        </w:rPr>
        <w:t xml:space="preserve">There were </w:t>
      </w:r>
      <w:r w:rsidRPr="00DD2D90">
        <w:rPr>
          <w:rStyle w:val="Emphasis"/>
        </w:rPr>
        <w:t xml:space="preserve">1,600 </w:t>
      </w:r>
      <w:r w:rsidRPr="00DD2D90">
        <w:rPr>
          <w:rStyle w:val="StyleUnderline"/>
        </w:rPr>
        <w:t>more deaths than usual during Christmas week</w:t>
      </w:r>
      <w:r w:rsidRPr="009C4A5A">
        <w:rPr>
          <w:sz w:val="16"/>
        </w:rPr>
        <w:t xml:space="preserve">. . . . Covid accounts only for a minority of recent extra deaths, focusing attention on ‘compelling’ evidence that </w:t>
      </w:r>
      <w:r w:rsidRPr="00DD2D90">
        <w:rPr>
          <w:rStyle w:val="StyleUnderline"/>
          <w:highlight w:val="green"/>
        </w:rPr>
        <w:t xml:space="preserve">the crisis </w:t>
      </w:r>
      <w:r w:rsidRPr="00DD2D90">
        <w:rPr>
          <w:rStyle w:val="StyleUnderline"/>
        </w:rPr>
        <w:t xml:space="preserve">in the NHS </w:t>
      </w:r>
      <w:r w:rsidRPr="00DD2D90">
        <w:rPr>
          <w:rStyle w:val="StyleUnderline"/>
          <w:highlight w:val="green"/>
        </w:rPr>
        <w:t xml:space="preserve">is killing </w:t>
      </w:r>
      <w:r w:rsidRPr="00DD2D90">
        <w:rPr>
          <w:rStyle w:val="Emphasis"/>
          <w:highlight w:val="green"/>
        </w:rPr>
        <w:t>hundreds</w:t>
      </w:r>
      <w:r w:rsidRPr="00DD2D90">
        <w:rPr>
          <w:rStyle w:val="StyleUnderline"/>
          <w:highlight w:val="green"/>
        </w:rPr>
        <w:t xml:space="preserve"> of people a week</w:t>
      </w:r>
      <w:r w:rsidRPr="009C4A5A">
        <w:rPr>
          <w:sz w:val="16"/>
        </w:rPr>
        <w:t xml:space="preserve">. . . . Figures from the Office for National </w:t>
      </w:r>
      <w:r w:rsidRPr="00DD2D90">
        <w:rPr>
          <w:rStyle w:val="StyleUnderline"/>
        </w:rPr>
        <w:t>Statistics</w:t>
      </w:r>
      <w:r w:rsidRPr="009C4A5A">
        <w:rPr>
          <w:sz w:val="16"/>
        </w:rPr>
        <w:t xml:space="preserve"> yesterday </w:t>
      </w:r>
      <w:r w:rsidRPr="00DD2D90">
        <w:rPr>
          <w:rStyle w:val="StyleUnderline"/>
        </w:rPr>
        <w:t>showed the third consecutive week of more than 1,000 excess deaths</w:t>
      </w:r>
      <w:r w:rsidRPr="009C4A5A">
        <w:rPr>
          <w:sz w:val="16"/>
        </w:rPr>
        <w:t xml:space="preserve">.” That means the number of deaths is above the normal average level. </w:t>
      </w:r>
      <w:r w:rsidRPr="00DD2D90">
        <w:rPr>
          <w:rStyle w:val="StyleUnderline"/>
        </w:rPr>
        <w:t>All over the world, single-payer</w:t>
      </w:r>
      <w:r w:rsidRPr="009C4A5A">
        <w:rPr>
          <w:sz w:val="16"/>
        </w:rPr>
        <w:t xml:space="preserve"> health-care </w:t>
      </w:r>
      <w:r w:rsidRPr="00DD2D90">
        <w:rPr>
          <w:rStyle w:val="StyleUnderline"/>
        </w:rPr>
        <w:t>systems are experiencing similar problems</w:t>
      </w:r>
      <w:r w:rsidRPr="009C4A5A">
        <w:rPr>
          <w:sz w:val="16"/>
        </w:rPr>
        <w:t xml:space="preserve">. But instead of moving further in the direction that Bernie Sanders wants to go, they are incorporating more private sector solutions. Take Canada, our next-door neighbor. According to the Fraser Institute, </w:t>
      </w:r>
      <w:r w:rsidRPr="00DD2D90">
        <w:rPr>
          <w:rStyle w:val="StyleUnderline"/>
          <w:highlight w:val="green"/>
        </w:rPr>
        <w:t>the median wait time in Canada</w:t>
      </w:r>
      <w:r w:rsidRPr="00DD2D90">
        <w:rPr>
          <w:rStyle w:val="StyleUnderline"/>
        </w:rPr>
        <w:t xml:space="preserve"> last year between referral and treatment </w:t>
      </w:r>
      <w:r w:rsidRPr="00DD2D90">
        <w:rPr>
          <w:rStyle w:val="StyleUnderline"/>
          <w:highlight w:val="green"/>
        </w:rPr>
        <w:t>was 27.4 weeks</w:t>
      </w:r>
      <w:r w:rsidRPr="00DD2D90">
        <w:rPr>
          <w:rStyle w:val="StyleUnderline"/>
        </w:rPr>
        <w:t>, the longest on record</w:t>
      </w:r>
      <w:r w:rsidRPr="009C4A5A">
        <w:rPr>
          <w:sz w:val="16"/>
        </w:rPr>
        <w:t xml:space="preserve">, compared with just 9.3 weeks in 1993. The province of Ontario (which has 40 percent of Canada’s population) has a backlog of 206,000 surgeries. Ontario’s Conservative premier, Doug Ford, has announced he will allow more patients to visit private clinics for cataract and joint-replacement surgeries as well as MRIs and CT scans. But even former officials from Canada’s Liberal Party are urging fresh thinking. Bill Morneau, former finance minister under Canada’s left-wing prime minister, Justin Trudeau, says Canada must change a system that costs some 13 percent of the nation’s gross domestic product and yet delivers shoddy results. In the U.S., the largest government-run health-care program is at </w:t>
      </w:r>
      <w:r w:rsidRPr="00DD2D90">
        <w:rPr>
          <w:rStyle w:val="StyleUnderline"/>
          <w:highlight w:val="green"/>
        </w:rPr>
        <w:t>the</w:t>
      </w:r>
      <w:r w:rsidRPr="00DD2D90">
        <w:rPr>
          <w:rStyle w:val="StyleUnderline"/>
        </w:rPr>
        <w:t xml:space="preserve"> Department of </w:t>
      </w:r>
      <w:r w:rsidRPr="00DD2D90">
        <w:rPr>
          <w:rStyle w:val="StyleUnderline"/>
          <w:highlight w:val="green"/>
        </w:rPr>
        <w:t>V</w:t>
      </w:r>
      <w:r w:rsidRPr="00DD2D90">
        <w:rPr>
          <w:rStyle w:val="StyleUnderline"/>
        </w:rPr>
        <w:t xml:space="preserve">eterans </w:t>
      </w:r>
      <w:r w:rsidRPr="00DD2D90">
        <w:rPr>
          <w:rStyle w:val="StyleUnderline"/>
          <w:highlight w:val="green"/>
        </w:rPr>
        <w:t>A</w:t>
      </w:r>
      <w:r w:rsidRPr="00DD2D90">
        <w:rPr>
          <w:rStyle w:val="StyleUnderline"/>
        </w:rPr>
        <w:t>ffairs</w:t>
      </w:r>
      <w:r w:rsidRPr="009C4A5A">
        <w:rPr>
          <w:sz w:val="16"/>
        </w:rPr>
        <w:t xml:space="preserve">. It handles more than 7 million patients a year. It, too, </w:t>
      </w:r>
      <w:r w:rsidRPr="00DD2D90">
        <w:rPr>
          <w:rStyle w:val="StyleUnderline"/>
          <w:highlight w:val="green"/>
        </w:rPr>
        <w:t>has been forced to move away from</w:t>
      </w:r>
      <w:r w:rsidRPr="00DD2D90">
        <w:rPr>
          <w:rStyle w:val="StyleUnderline"/>
        </w:rPr>
        <w:t xml:space="preserve"> its own </w:t>
      </w:r>
      <w:r w:rsidRPr="00DD2D90">
        <w:rPr>
          <w:rStyle w:val="StyleUnderline"/>
          <w:highlight w:val="green"/>
        </w:rPr>
        <w:t>single-payer</w:t>
      </w:r>
      <w:r w:rsidRPr="00DD2D90">
        <w:rPr>
          <w:rStyle w:val="StyleUnderline"/>
        </w:rPr>
        <w:t xml:space="preserve"> model</w:t>
      </w:r>
      <w:r w:rsidRPr="009C4A5A">
        <w:rPr>
          <w:sz w:val="16"/>
        </w:rPr>
        <w:t xml:space="preserve">. In 2018, Congress passed, and President Trump signed into law, a bill allowing veterans much more access to private-sector care when in-house treatment was unavailable in a timely manner. Naturally, Bernie Sanders was one of only five senators to vote against the bill. In 2021, the Biden administration appointed Denis McDonough, who served as chief of staff in President Barack Obama’s White House, as its secretary of Veterans Affairs. He had the authority to change the rules and scale back the private-sector reforms. Instead, the outsourcing of VA patients to private providers has grown and now consumes more than a third of veteran health care. McDonough reported to Congress last year that the VA and its outside contractors are engaged in a “healthy competition to be the best, most accessible highest quality option” for patients. He “is proposing no immediate changes” to the new system. </w:t>
      </w:r>
      <w:r w:rsidRPr="00DD2D90">
        <w:rPr>
          <w:rStyle w:val="StyleUnderline"/>
        </w:rPr>
        <w:t>The problem of runaway costs in government-financed medical care is, of course, facing a day of reckoning. Actuaries report that the Medicare hospital fund will be broke only five years from now</w:t>
      </w:r>
      <w:r w:rsidRPr="009C4A5A">
        <w:rPr>
          <w:sz w:val="16"/>
        </w:rPr>
        <w:t xml:space="preserve">, in 2028. But the solution is certainly not </w:t>
      </w:r>
      <w:r w:rsidRPr="00DD2D90">
        <w:rPr>
          <w:rStyle w:val="StyleUnderline"/>
        </w:rPr>
        <w:t>to expand Medicare’s mission</w:t>
      </w:r>
      <w:r w:rsidRPr="009C4A5A">
        <w:rPr>
          <w:sz w:val="16"/>
        </w:rPr>
        <w:t xml:space="preserve">, as Bernie Sanders will be pushing for. That </w:t>
      </w:r>
      <w:r w:rsidRPr="00DD2D90">
        <w:rPr>
          <w:rStyle w:val="StyleUnderline"/>
        </w:rPr>
        <w:t>would</w:t>
      </w:r>
      <w:r w:rsidRPr="009C4A5A">
        <w:rPr>
          <w:sz w:val="16"/>
        </w:rPr>
        <w:t xml:space="preserve"> not only </w:t>
      </w:r>
      <w:r w:rsidRPr="00DD2D90">
        <w:rPr>
          <w:rStyle w:val="StyleUnderline"/>
        </w:rPr>
        <w:t>bankrupt the system more quickly</w:t>
      </w:r>
      <w:r w:rsidRPr="009C4A5A">
        <w:rPr>
          <w:sz w:val="16"/>
        </w:rPr>
        <w:t xml:space="preserve">; it would lead to worse outcomes. </w:t>
      </w:r>
      <w:r w:rsidRPr="00DD2D90">
        <w:rPr>
          <w:rStyle w:val="StyleUnderline"/>
        </w:rPr>
        <w:t xml:space="preserve">The Senate should </w:t>
      </w:r>
      <w:r w:rsidRPr="00DD2D90">
        <w:rPr>
          <w:rStyle w:val="StyleUnderline"/>
          <w:highlight w:val="green"/>
        </w:rPr>
        <w:t>kill Medicare for All before it kills us</w:t>
      </w:r>
      <w:r w:rsidRPr="009C4A5A">
        <w:rPr>
          <w:sz w:val="16"/>
          <w:highlight w:val="green"/>
        </w:rPr>
        <w:t>.</w:t>
      </w:r>
    </w:p>
    <w:p w14:paraId="25C486B8" w14:textId="77777777" w:rsidR="00B0589A" w:rsidRPr="009C4A5A" w:rsidRDefault="00B0589A">
      <w:pPr>
        <w:rPr>
          <w:rFonts w:eastAsiaTheme="majorEastAsia" w:cstheme="majorBidi"/>
          <w:b/>
          <w:iCs/>
          <w:sz w:val="16"/>
        </w:rPr>
      </w:pPr>
      <w:r w:rsidRPr="009C4A5A">
        <w:rPr>
          <w:sz w:val="16"/>
        </w:rPr>
        <w:br w:type="page"/>
      </w:r>
    </w:p>
    <w:p w14:paraId="394488D3" w14:textId="77777777" w:rsidR="0048570C" w:rsidRPr="009C4A5A" w:rsidRDefault="0048570C" w:rsidP="0048570C">
      <w:pPr>
        <w:pStyle w:val="Heading4"/>
        <w:rPr>
          <w:szCs w:val="26"/>
        </w:rPr>
      </w:pPr>
      <w:r w:rsidRPr="009C4A5A">
        <w:rPr>
          <w:szCs w:val="26"/>
          <w:lang w:val="vi-VN"/>
        </w:rPr>
        <w:t xml:space="preserve">Canada </w:t>
      </w:r>
      <w:r w:rsidRPr="009C4A5A">
        <w:rPr>
          <w:szCs w:val="26"/>
        </w:rPr>
        <w:t>proves</w:t>
      </w:r>
      <w:r w:rsidRPr="009C4A5A">
        <w:rPr>
          <w:szCs w:val="26"/>
          <w:lang w:val="vi-VN"/>
        </w:rPr>
        <w:t xml:space="preserve"> wait times </w:t>
      </w:r>
      <w:r w:rsidRPr="009C4A5A">
        <w:rPr>
          <w:szCs w:val="26"/>
        </w:rPr>
        <w:t>arguments</w:t>
      </w:r>
    </w:p>
    <w:p w14:paraId="1541CE70" w14:textId="77777777" w:rsidR="0048570C" w:rsidRPr="00DD2D90" w:rsidRDefault="0048570C" w:rsidP="0048570C">
      <w:pPr>
        <w:rPr>
          <w:lang w:val="vi-VN"/>
        </w:rPr>
      </w:pPr>
      <w:r w:rsidRPr="009C4A5A">
        <w:rPr>
          <w:b/>
          <w:bCs/>
          <w:sz w:val="26"/>
          <w:szCs w:val="26"/>
          <w:lang w:val="vi-VN"/>
        </w:rPr>
        <w:t>Lee et al. 21</w:t>
      </w:r>
      <w:r w:rsidRPr="00DD2D90">
        <w:rPr>
          <w:lang w:val="vi-VN"/>
        </w:rPr>
        <w:t xml:space="preserve"> [Shoo K. Lee, Professor of Paediatrics, Obstetrics &amp; Gynecology, and Public Health University of Toronto, 02</w:t>
      </w:r>
      <w:r w:rsidRPr="00DD2D90">
        <w:t>-</w:t>
      </w:r>
      <w:r w:rsidRPr="00DD2D90">
        <w:rPr>
          <w:lang w:val="vi-VN"/>
        </w:rPr>
        <w:t xml:space="preserve">2021, “Increased Private Healthcare for Canada: Is That the Right Solution?”, National Library of Medicine National Center for Biotechnology Information, </w:t>
      </w:r>
      <w:r w:rsidRPr="00DD2D90">
        <w:t>https://pmc.ncbi.nlm.nih.gov/articles/PMC7957357/#:~:text=However%2C%20critics%20contend%20that%20this,an%20exclusively%20privately%20funded%20system</w:t>
      </w:r>
      <w:r w:rsidRPr="00DD2D90">
        <w:rPr>
          <w:lang w:val="vi-VN"/>
        </w:rPr>
        <w:t>]</w:t>
      </w:r>
      <w:r w:rsidRPr="00DD2D90">
        <w:t>/</w:t>
      </w:r>
      <w:r w:rsidRPr="00DD2D90">
        <w:rPr>
          <w:lang w:val="vi-VN"/>
        </w:rPr>
        <w:t>Kankee</w:t>
      </w:r>
    </w:p>
    <w:p w14:paraId="1899529E" w14:textId="77777777" w:rsidR="0048570C" w:rsidRPr="009C4A5A" w:rsidRDefault="0048570C" w:rsidP="0048570C">
      <w:pPr>
        <w:rPr>
          <w:sz w:val="16"/>
        </w:rPr>
      </w:pPr>
      <w:r w:rsidRPr="009C4A5A">
        <w:rPr>
          <w:sz w:val="16"/>
          <w:lang w:val="vi-VN"/>
        </w:rPr>
        <w:t xml:space="preserve">Medicare's Challenges and the Call for Private Financing Medicare – the publicly funded, single-payer network of healthcare systems – is a popular Canadian public program, which is a source of national identity and great pride (CIHI 2017; Martin et al. 2018; Simpson 2012). Since medicare's initial introduction covering in-hospital and diagnostic services in 1957, through to the enactment of the Canada Health Act (CHA) (Government of Canada 1985) in 1985, the principles have included universality, portability, comprehensiveness and public administration. The enactment of the CHA also added accessibility as the fifth principle of medicare. Operationally, this includes no direct cost to patients for medically necessary hospital and physician services. Despite these achievements, </w:t>
      </w:r>
      <w:r w:rsidRPr="00DD2D90">
        <w:rPr>
          <w:rStyle w:val="StyleUnderline"/>
          <w:highlight w:val="green"/>
        </w:rPr>
        <w:t xml:space="preserve">Canadians are </w:t>
      </w:r>
      <w:r w:rsidRPr="00DD2D90">
        <w:rPr>
          <w:rStyle w:val="Emphasis"/>
          <w:highlight w:val="green"/>
        </w:rPr>
        <w:t>increasingly concerned</w:t>
      </w:r>
      <w:r w:rsidRPr="00DD2D90">
        <w:rPr>
          <w:rStyle w:val="StyleUnderline"/>
          <w:highlight w:val="green"/>
        </w:rPr>
        <w:t xml:space="preserve"> about</w:t>
      </w:r>
      <w:r w:rsidRPr="009C4A5A">
        <w:rPr>
          <w:sz w:val="16"/>
          <w:lang w:val="vi-VN"/>
        </w:rPr>
        <w:t xml:space="preserve"> the system's </w:t>
      </w:r>
      <w:r w:rsidRPr="00DD2D90">
        <w:rPr>
          <w:rStyle w:val="StyleUnderline"/>
        </w:rPr>
        <w:t>performance</w:t>
      </w:r>
      <w:r w:rsidRPr="009C4A5A">
        <w:rPr>
          <w:sz w:val="16"/>
          <w:lang w:val="vi-VN"/>
        </w:rPr>
        <w:t xml:space="preserve"> (Martin et al. 2018; Simpson 2012). For example, </w:t>
      </w:r>
      <w:r w:rsidRPr="00DD2D90">
        <w:rPr>
          <w:rStyle w:val="StyleUnderline"/>
        </w:rPr>
        <w:t xml:space="preserve">long wait times for </w:t>
      </w:r>
      <w:r w:rsidRPr="009C4A5A">
        <w:rPr>
          <w:sz w:val="16"/>
          <w:lang w:val="vi-VN"/>
        </w:rPr>
        <w:t xml:space="preserve">elective surgical procedures such as </w:t>
      </w:r>
      <w:r w:rsidRPr="00DD2D90">
        <w:rPr>
          <w:rStyle w:val="StyleUnderline"/>
        </w:rPr>
        <w:t xml:space="preserve">joint replacements, cataract surgeries and cardiac procedures; </w:t>
      </w:r>
      <w:r w:rsidRPr="00DD2D90">
        <w:rPr>
          <w:rStyle w:val="Emphasis"/>
          <w:highlight w:val="green"/>
        </w:rPr>
        <w:t>overcrowded</w:t>
      </w:r>
      <w:r w:rsidRPr="00DD2D90">
        <w:rPr>
          <w:rStyle w:val="StyleUnderline"/>
          <w:highlight w:val="green"/>
        </w:rPr>
        <w:t xml:space="preserve"> emergency departments</w:t>
      </w:r>
      <w:r w:rsidRPr="00DD2D90">
        <w:rPr>
          <w:rStyle w:val="StyleUnderline"/>
        </w:rPr>
        <w:t xml:space="preserve">; </w:t>
      </w:r>
      <w:r w:rsidRPr="00DD2D90">
        <w:rPr>
          <w:rStyle w:val="StyleUnderline"/>
          <w:highlight w:val="green"/>
        </w:rPr>
        <w:t>and lack of access to primary</w:t>
      </w:r>
      <w:r w:rsidRPr="00DD2D90">
        <w:rPr>
          <w:rStyle w:val="StyleUnderline"/>
        </w:rPr>
        <w:t xml:space="preserve"> </w:t>
      </w:r>
      <w:r w:rsidRPr="00DD2D90">
        <w:rPr>
          <w:rStyle w:val="StyleUnderline"/>
          <w:highlight w:val="green"/>
        </w:rPr>
        <w:t>care</w:t>
      </w:r>
      <w:r w:rsidRPr="00DD2D90">
        <w:rPr>
          <w:rStyle w:val="StyleUnderline"/>
        </w:rPr>
        <w:t xml:space="preserve"> providers have</w:t>
      </w:r>
      <w:r w:rsidRPr="009C4A5A">
        <w:rPr>
          <w:sz w:val="16"/>
          <w:lang w:val="vi-VN"/>
        </w:rPr>
        <w:t xml:space="preserve"> all </w:t>
      </w:r>
      <w:r w:rsidRPr="00DD2D90">
        <w:rPr>
          <w:rStyle w:val="StyleUnderline"/>
        </w:rPr>
        <w:t>become</w:t>
      </w:r>
      <w:r w:rsidRPr="009C4A5A">
        <w:rPr>
          <w:sz w:val="16"/>
          <w:lang w:val="vi-VN"/>
        </w:rPr>
        <w:t xml:space="preserve"> fodder for news </w:t>
      </w:r>
      <w:r w:rsidRPr="00DD2D90">
        <w:rPr>
          <w:rStyle w:val="StyleUnderline"/>
        </w:rPr>
        <w:t>highlights</w:t>
      </w:r>
      <w:r w:rsidRPr="009C4A5A">
        <w:rPr>
          <w:sz w:val="16"/>
          <w:lang w:val="vi-VN"/>
        </w:rPr>
        <w:t xml:space="preserve"> and calls for change (Maclean's 2013). Moreover, among the Organisation for Economic Co-operation and Development (OECD) countries, Canada ranks average on healthcare performance despite spending more per capita than most other countries (CIHI 2017). The OECD rankings from 1960 to 2010 compare 17 high-income countries on five dimensions of health: health status, non-medical determinants of health, quality of care, patient safety and access to care. </w:t>
      </w:r>
      <w:r w:rsidRPr="00DD2D90">
        <w:rPr>
          <w:rStyle w:val="StyleUnderline"/>
        </w:rPr>
        <w:t xml:space="preserve">One commentator has described Canada's healthcare as "a </w:t>
      </w:r>
      <w:r w:rsidRPr="00DD2D90">
        <w:rPr>
          <w:rStyle w:val="Emphasis"/>
        </w:rPr>
        <w:t>Chevrolet system at Cadillac prices</w:t>
      </w:r>
      <w:r w:rsidRPr="009C4A5A">
        <w:rPr>
          <w:sz w:val="16"/>
          <w:lang w:val="vi-VN"/>
        </w:rPr>
        <w:t xml:space="preserve">" (Simpson 2012). Even more worrisome is that </w:t>
      </w:r>
      <w:r w:rsidRPr="00DD2D90">
        <w:rPr>
          <w:rStyle w:val="StyleUnderline"/>
        </w:rPr>
        <w:t xml:space="preserve">Canada's </w:t>
      </w:r>
      <w:r w:rsidRPr="00DD2D90">
        <w:rPr>
          <w:rStyle w:val="StyleUnderline"/>
          <w:highlight w:val="green"/>
        </w:rPr>
        <w:t>healthcare performance</w:t>
      </w:r>
      <w:r w:rsidRPr="00DD2D90">
        <w:rPr>
          <w:rStyle w:val="StyleUnderline"/>
        </w:rPr>
        <w:t xml:space="preserve"> ranking </w:t>
      </w:r>
      <w:r w:rsidRPr="00DD2D90">
        <w:rPr>
          <w:rStyle w:val="StyleUnderline"/>
          <w:highlight w:val="green"/>
        </w:rPr>
        <w:t>continues to slip</w:t>
      </w:r>
      <w:r w:rsidRPr="009C4A5A">
        <w:rPr>
          <w:sz w:val="16"/>
          <w:lang w:val="vi-VN"/>
        </w:rPr>
        <w:t xml:space="preserve"> in the Commonwealth Fund comparison of 11 high-income countries, starting at fourth place in 2004, slipping to fifth in 2006, sixth in 2010 and ninth in 2017. Closer examination reveals that </w:t>
      </w:r>
      <w:r w:rsidRPr="00DD2D90">
        <w:rPr>
          <w:rStyle w:val="StyleUnderline"/>
          <w:highlight w:val="green"/>
        </w:rPr>
        <w:t xml:space="preserve">Canada's </w:t>
      </w:r>
      <w:r w:rsidRPr="00DD2D90">
        <w:rPr>
          <w:rStyle w:val="Emphasis"/>
          <w:highlight w:val="green"/>
        </w:rPr>
        <w:t>mediocre</w:t>
      </w:r>
      <w:r w:rsidRPr="00DD2D90">
        <w:rPr>
          <w:rStyle w:val="StyleUnderline"/>
          <w:highlight w:val="green"/>
        </w:rPr>
        <w:t xml:space="preserve"> rankings</w:t>
      </w:r>
      <w:r w:rsidRPr="00DD2D90">
        <w:rPr>
          <w:rStyle w:val="StyleUnderline"/>
        </w:rPr>
        <w:t xml:space="preserve"> in the majority of international healthcare indices </w:t>
      </w:r>
      <w:r w:rsidRPr="00DD2D90">
        <w:rPr>
          <w:rStyle w:val="StyleUnderline"/>
          <w:highlight w:val="green"/>
        </w:rPr>
        <w:t>are</w:t>
      </w:r>
      <w:r w:rsidRPr="00DD2D90">
        <w:rPr>
          <w:rStyle w:val="StyleUnderline"/>
        </w:rPr>
        <w:t xml:space="preserve"> predominantly </w:t>
      </w:r>
      <w:r w:rsidRPr="00DD2D90">
        <w:rPr>
          <w:rStyle w:val="StyleUnderline"/>
          <w:highlight w:val="green"/>
        </w:rPr>
        <w:t>a result of long wait times</w:t>
      </w:r>
      <w:r w:rsidRPr="00DD2D90">
        <w:rPr>
          <w:rStyle w:val="StyleUnderline"/>
        </w:rPr>
        <w:t xml:space="preserve"> for elective care </w:t>
      </w:r>
      <w:r w:rsidRPr="009C4A5A">
        <w:rPr>
          <w:sz w:val="16"/>
          <w:lang w:val="vi-VN"/>
        </w:rPr>
        <w:t xml:space="preserve">and inequitable access to services outside the core medicare coverage of hospital, physician and diagnostic services (Martin et al. 2018). </w:t>
      </w:r>
      <w:r w:rsidRPr="00DD2D90">
        <w:rPr>
          <w:rStyle w:val="StyleUnderline"/>
        </w:rPr>
        <w:t xml:space="preserve">Wait times </w:t>
      </w:r>
      <w:r w:rsidRPr="00DD2D90">
        <w:rPr>
          <w:rStyle w:val="Emphasis"/>
        </w:rPr>
        <w:t>plague</w:t>
      </w:r>
      <w:r w:rsidRPr="00DD2D90">
        <w:rPr>
          <w:rStyle w:val="StyleUnderline"/>
        </w:rPr>
        <w:t xml:space="preserve"> the system, with </w:t>
      </w:r>
      <w:r w:rsidRPr="00DD2D90">
        <w:rPr>
          <w:rStyle w:val="Emphasis"/>
          <w:highlight w:val="green"/>
        </w:rPr>
        <w:t>18%</w:t>
      </w:r>
      <w:r w:rsidRPr="00DD2D90">
        <w:rPr>
          <w:rStyle w:val="StyleUnderline"/>
          <w:highlight w:val="green"/>
        </w:rPr>
        <w:t xml:space="preserve"> of Canadians</w:t>
      </w:r>
      <w:r w:rsidRPr="00DD2D90">
        <w:rPr>
          <w:rStyle w:val="StyleUnderline"/>
        </w:rPr>
        <w:t xml:space="preserve"> </w:t>
      </w:r>
      <w:r w:rsidRPr="00DD2D90">
        <w:rPr>
          <w:rStyle w:val="StyleUnderline"/>
          <w:highlight w:val="green"/>
        </w:rPr>
        <w:t>wait</w:t>
      </w:r>
      <w:r w:rsidRPr="00DD2D90">
        <w:rPr>
          <w:rStyle w:val="StyleUnderline"/>
        </w:rPr>
        <w:t xml:space="preserve">ing more than </w:t>
      </w:r>
      <w:r w:rsidRPr="00DD2D90">
        <w:rPr>
          <w:rStyle w:val="StyleUnderline"/>
          <w:highlight w:val="green"/>
        </w:rPr>
        <w:t xml:space="preserve">four months for elective non-urgent surgery and </w:t>
      </w:r>
      <w:r w:rsidRPr="00DD2D90">
        <w:rPr>
          <w:rStyle w:val="Emphasis"/>
          <w:highlight w:val="green"/>
        </w:rPr>
        <w:t>30%</w:t>
      </w:r>
      <w:r w:rsidRPr="00DD2D90">
        <w:rPr>
          <w:rStyle w:val="StyleUnderline"/>
        </w:rPr>
        <w:t xml:space="preserve"> </w:t>
      </w:r>
      <w:r w:rsidRPr="00DD2D90">
        <w:rPr>
          <w:rStyle w:val="StyleUnderline"/>
          <w:highlight w:val="green"/>
        </w:rPr>
        <w:t>wait</w:t>
      </w:r>
      <w:r w:rsidRPr="00DD2D90">
        <w:rPr>
          <w:rStyle w:val="StyleUnderline"/>
        </w:rPr>
        <w:t xml:space="preserve">ing more than </w:t>
      </w:r>
      <w:r w:rsidRPr="00DD2D90">
        <w:rPr>
          <w:rStyle w:val="StyleUnderline"/>
          <w:highlight w:val="green"/>
        </w:rPr>
        <w:t>two months for specialist referrals</w:t>
      </w:r>
      <w:r w:rsidRPr="009C4A5A">
        <w:rPr>
          <w:sz w:val="16"/>
          <w:lang w:val="vi-VN"/>
        </w:rPr>
        <w:t xml:space="preserve"> (Martin et al. 2018).</w:t>
      </w:r>
      <w:r w:rsidRPr="009C4A5A">
        <w:rPr>
          <w:sz w:val="16"/>
        </w:rPr>
        <w:t xml:space="preserve"> </w:t>
      </w:r>
      <w:r w:rsidRPr="009C4A5A">
        <w:rPr>
          <w:sz w:val="16"/>
          <w:lang w:val="vi-VN"/>
        </w:rPr>
        <w:t xml:space="preserve">There is no shortage </w:t>
      </w:r>
      <w:r w:rsidRPr="009C4A5A">
        <w:rPr>
          <w:sz w:val="16"/>
        </w:rPr>
        <w:t xml:space="preserve">of proposed solutions, from increasing funding to expanding scope of care for nonphysician healthcare providers. Some have called for increased private financing of Canada's healthcare system through either out-of-pocket payments or private health insurance. Still others have proposed diverting more services to for-profit clinics that, they argue, will lower overall surgical wait times by reducing the workload on publicly funded facilities. However, critics contend that this will only reduce wait times for those able to afford the private services – for everyone else, wait times may actually increase as healthcare providers may divide their time between publicly and privately financed services but spend less time in the publicly financed side. A major constitutional challenge in British Columbia (BC) alleges that the restrictive CHA and provincial legislation infringe on patients' rights to life, liberty and security of the person under the Canadian Charter of Rights and Freedoms (Flood and Thomas 2018). The arguments before the BC Supreme Court asserted that patients should have the right to obtain medical services more quickly by paying privately, and physicians should be allowed to "extra bill" patients for these services in the public system while also being permitted to "dual practice," working both in the public and an exclusively privately funded system. Extra billing is defined as charging an additional amount for an insured service to an insured person above and beyond the rate paid by the insurance plan of the province. Advocates of private financing range from governments to citizens, based on differing motivations. Governments may welcome more private financing to reduce taxes or to allocate funds elsewhere, whereas some citizens may advocate for private financing in order to reduce their tax burdens and improve their own access to healthcare services, and some physicians may be motivated by personal financial gain. Others claim that increased private financing will free public funds to improve access for patients in the public system, but critics argue that it will instead reduce access by undermining support for public financing. Although the BC Supreme Court recently ruled to uphold the BC Medicare Protection Act (Government of British Columbia 1996), it is possible that the plaintiffs may move to have the case heard by the Supreme Court of Canada, and the outcome may have the potential to impact healthcare delivery in Canada. </w:t>
      </w:r>
    </w:p>
    <w:p w14:paraId="4D032627" w14:textId="77777777" w:rsidR="0048570C" w:rsidRPr="009C4A5A" w:rsidRDefault="0048570C" w:rsidP="0048570C">
      <w:pPr>
        <w:rPr>
          <w:sz w:val="16"/>
        </w:rPr>
      </w:pPr>
    </w:p>
    <w:p w14:paraId="67783DDA" w14:textId="3760D496" w:rsidR="00F63522" w:rsidRPr="009C4A5A" w:rsidRDefault="001C3B3D" w:rsidP="00C35535">
      <w:pPr>
        <w:pStyle w:val="Heading4"/>
        <w:rPr>
          <w:szCs w:val="26"/>
        </w:rPr>
      </w:pPr>
      <w:r w:rsidRPr="009C4A5A">
        <w:rPr>
          <w:szCs w:val="26"/>
        </w:rPr>
        <w:t>Soviet healthcare proves</w:t>
      </w:r>
      <w:r w:rsidR="008C7D29" w:rsidRPr="009C4A5A">
        <w:rPr>
          <w:szCs w:val="26"/>
        </w:rPr>
        <w:t xml:space="preserve"> treating</w:t>
      </w:r>
      <w:r w:rsidRPr="009C4A5A">
        <w:rPr>
          <w:szCs w:val="26"/>
        </w:rPr>
        <w:t xml:space="preserve"> healthcare as a </w:t>
      </w:r>
      <w:proofErr w:type="gramStart"/>
      <w:r w:rsidRPr="009C4A5A">
        <w:rPr>
          <w:szCs w:val="26"/>
        </w:rPr>
        <w:t>right fails</w:t>
      </w:r>
      <w:proofErr w:type="gramEnd"/>
    </w:p>
    <w:p w14:paraId="60001E0E" w14:textId="271AAC09" w:rsidR="00C35535" w:rsidRPr="00DD2D90" w:rsidRDefault="00AE2A91" w:rsidP="00C35535">
      <w:r w:rsidRPr="009C4A5A">
        <w:rPr>
          <w:b/>
          <w:bCs/>
          <w:sz w:val="26"/>
          <w:szCs w:val="26"/>
        </w:rPr>
        <w:t>Toropin 20</w:t>
      </w:r>
      <w:r w:rsidRPr="00DD2D90">
        <w:t xml:space="preserve"> [</w:t>
      </w:r>
      <w:r w:rsidR="00CE2536" w:rsidRPr="00DD2D90">
        <w:t>Lera Toropin</w:t>
      </w:r>
      <w:r w:rsidR="00C35535" w:rsidRPr="00DD2D90">
        <w:t>,</w:t>
      </w:r>
      <w:r w:rsidR="00CE2536" w:rsidRPr="00DD2D90">
        <w:t xml:space="preserve"> former Program Coordinator at the Kennan Institute with a Master of Global Policy Studies from the LBJ School of Public Affairs,</w:t>
      </w:r>
      <w:r w:rsidR="00C35535" w:rsidRPr="00DD2D90">
        <w:t xml:space="preserve"> 03-09-2020, "Free Healthcare with a Price", Not Even Past, https://notevenpast.org/freehealthcarewithaprice/</w:t>
      </w:r>
      <w:r w:rsidR="00594E01" w:rsidRPr="00DD2D90">
        <w:t>]/Kankee</w:t>
      </w:r>
    </w:p>
    <w:p w14:paraId="2D1FEB07" w14:textId="76F0149E" w:rsidR="00B0589A" w:rsidRPr="009C4A5A" w:rsidRDefault="00C35535">
      <w:pPr>
        <w:rPr>
          <w:rFonts w:eastAsiaTheme="majorEastAsia" w:cstheme="majorBidi"/>
          <w:b/>
          <w:iCs/>
          <w:sz w:val="16"/>
        </w:rPr>
      </w:pPr>
      <w:r w:rsidRPr="009C4A5A">
        <w:rPr>
          <w:sz w:val="16"/>
        </w:rPr>
        <w:t>If that wasn’t enough, the magazine was always ready to fall back on statistics to really underline that life wasn’t just good, it was improving. An engineer who designed a magnet to extract foreign objects from the body has trained 100 apprentices, many of whom are now experts; a pharmaceutical company in Kazakhstan is producing 33-35 million rubles’ worth of medicine annually – 30 different types, shipped to 26 different countries. In 1966, a reader from California writes in to ask, “Is it true that there is a shortage of medical doctors in the USSR?” “No,” the magazine responds, “not by our standards. We have 555,000 doctors. 23.9 for every 10,000 of the population.”</w:t>
      </w:r>
      <w:r w:rsidR="001C3B3D" w:rsidRPr="009C4A5A">
        <w:rPr>
          <w:sz w:val="16"/>
        </w:rPr>
        <w:t xml:space="preserve"> </w:t>
      </w:r>
      <w:r w:rsidRPr="009C4A5A">
        <w:rPr>
          <w:sz w:val="16"/>
        </w:rPr>
        <w:t>To Soviet Life, the numbers speak for themselves.</w:t>
      </w:r>
      <w:r w:rsidR="001C3B3D" w:rsidRPr="009C4A5A">
        <w:rPr>
          <w:sz w:val="16"/>
        </w:rPr>
        <w:t xml:space="preserve"> </w:t>
      </w:r>
      <w:r w:rsidRPr="009C4A5A">
        <w:rPr>
          <w:sz w:val="16"/>
        </w:rPr>
        <w:t xml:space="preserve">So how did the magazine adapt when the reality turned sour? </w:t>
      </w:r>
      <w:r w:rsidRPr="00DD2D90">
        <w:rPr>
          <w:rStyle w:val="StyleUnderline"/>
        </w:rPr>
        <w:t xml:space="preserve">By the late 1970s </w:t>
      </w:r>
      <w:r w:rsidRPr="009C4A5A">
        <w:rPr>
          <w:sz w:val="16"/>
        </w:rPr>
        <w:t>and 80s,</w:t>
      </w:r>
      <w:r w:rsidRPr="00DD2D90">
        <w:rPr>
          <w:rStyle w:val="StyleUnderline"/>
        </w:rPr>
        <w:t xml:space="preserve"> </w:t>
      </w:r>
      <w:r w:rsidRPr="00DD2D90">
        <w:rPr>
          <w:rStyle w:val="StyleUnderline"/>
          <w:highlight w:val="green"/>
        </w:rPr>
        <w:t>the</w:t>
      </w:r>
      <w:r w:rsidRPr="00DD2D90">
        <w:rPr>
          <w:rStyle w:val="StyleUnderline"/>
        </w:rPr>
        <w:t xml:space="preserve"> </w:t>
      </w:r>
      <w:r w:rsidRPr="00DD2D90">
        <w:rPr>
          <w:rStyle w:val="StyleUnderline"/>
          <w:highlight w:val="green"/>
        </w:rPr>
        <w:t xml:space="preserve">Semashko model was drastically deteriorating </w:t>
      </w:r>
      <w:r w:rsidRPr="00DD2D90">
        <w:rPr>
          <w:rStyle w:val="StyleUnderline"/>
        </w:rPr>
        <w:t>and suffering from diminishing returns on its innovative investments</w:t>
      </w:r>
      <w:r w:rsidRPr="009C4A5A">
        <w:rPr>
          <w:sz w:val="16"/>
        </w:rPr>
        <w:t xml:space="preserve">. Years of focus on preventive care and “keeping healthy people healthy” caused rates of other illnesses to rise. </w:t>
      </w:r>
      <w:r w:rsidRPr="00DD2D90">
        <w:rPr>
          <w:rStyle w:val="StyleUnderline"/>
          <w:highlight w:val="green"/>
        </w:rPr>
        <w:t>Alcoholism did not decline, cardiovascular and heart diseases increased significantly, as did</w:t>
      </w:r>
      <w:r w:rsidRPr="00DD2D90">
        <w:rPr>
          <w:rStyle w:val="StyleUnderline"/>
        </w:rPr>
        <w:t xml:space="preserve"> the </w:t>
      </w:r>
      <w:r w:rsidRPr="00DD2D90">
        <w:rPr>
          <w:rStyle w:val="StyleUnderline"/>
          <w:highlight w:val="green"/>
        </w:rPr>
        <w:t>mortality</w:t>
      </w:r>
      <w:r w:rsidRPr="00DD2D90">
        <w:rPr>
          <w:rStyle w:val="StyleUnderline"/>
        </w:rPr>
        <w:t xml:space="preserve"> rate in adults</w:t>
      </w:r>
      <w:r w:rsidRPr="009C4A5A">
        <w:rPr>
          <w:sz w:val="16"/>
        </w:rPr>
        <w:t xml:space="preserve">. </w:t>
      </w:r>
      <w:r w:rsidRPr="00DD2D90">
        <w:rPr>
          <w:rStyle w:val="StyleUnderline"/>
          <w:highlight w:val="green"/>
        </w:rPr>
        <w:t>The number of doctors doubled</w:t>
      </w:r>
      <w:r w:rsidRPr="00DD2D90">
        <w:rPr>
          <w:rStyle w:val="StyleUnderline"/>
        </w:rPr>
        <w:t xml:space="preserve"> to nearly 1.1 million, </w:t>
      </w:r>
      <w:r w:rsidRPr="00DD2D90">
        <w:rPr>
          <w:rStyle w:val="StyleUnderline"/>
          <w:highlight w:val="green"/>
        </w:rPr>
        <w:t>but</w:t>
      </w:r>
      <w:r w:rsidRPr="00DD2D90">
        <w:rPr>
          <w:rStyle w:val="StyleUnderline"/>
        </w:rPr>
        <w:t xml:space="preserve"> with </w:t>
      </w:r>
      <w:r w:rsidRPr="00DD2D90">
        <w:rPr>
          <w:rStyle w:val="StyleUnderline"/>
          <w:highlight w:val="green"/>
        </w:rPr>
        <w:t>average salaries</w:t>
      </w:r>
      <w:r w:rsidRPr="00DD2D90">
        <w:rPr>
          <w:rStyle w:val="StyleUnderline"/>
        </w:rPr>
        <w:t xml:space="preserve"> of approximately $210 a month and non-existent incentives, </w:t>
      </w:r>
      <w:r w:rsidRPr="00DD2D90">
        <w:rPr>
          <w:rStyle w:val="StyleUnderline"/>
          <w:highlight w:val="green"/>
        </w:rPr>
        <w:t xml:space="preserve">quality of care and training deteriorated due to </w:t>
      </w:r>
      <w:r w:rsidRPr="00DD2D90">
        <w:rPr>
          <w:rStyle w:val="Emphasis"/>
          <w:highlight w:val="green"/>
        </w:rPr>
        <w:t>apathy</w:t>
      </w:r>
      <w:r w:rsidRPr="00DD2D90">
        <w:rPr>
          <w:rStyle w:val="StyleUnderline"/>
          <w:highlight w:val="green"/>
        </w:rPr>
        <w:t xml:space="preserve"> and low job satisfaction</w:t>
      </w:r>
      <w:r w:rsidRPr="00DD2D90">
        <w:rPr>
          <w:rStyle w:val="StyleUnderline"/>
        </w:rPr>
        <w:t xml:space="preserve"> in the field</w:t>
      </w:r>
      <w:r w:rsidRPr="009C4A5A">
        <w:rPr>
          <w:sz w:val="16"/>
        </w:rPr>
        <w:t>.</w:t>
      </w:r>
      <w:r w:rsidR="001C3B3D" w:rsidRPr="009C4A5A">
        <w:rPr>
          <w:sz w:val="16"/>
        </w:rPr>
        <w:t xml:space="preserve"> </w:t>
      </w:r>
      <w:r w:rsidRPr="009C4A5A">
        <w:rPr>
          <w:sz w:val="16"/>
        </w:rPr>
        <w:t xml:space="preserve">Money also dried up. </w:t>
      </w:r>
      <w:r w:rsidRPr="00DD2D90">
        <w:rPr>
          <w:rStyle w:val="StyleUnderline"/>
          <w:highlight w:val="green"/>
        </w:rPr>
        <w:t>The system became so underfunded that citizens had to bring food to their sick relatives in the hospital</w:t>
      </w:r>
      <w:r w:rsidRPr="00DD2D90">
        <w:rPr>
          <w:rStyle w:val="StyleUnderline"/>
        </w:rPr>
        <w:t xml:space="preserve"> because most state-fun </w:t>
      </w:r>
      <w:r w:rsidRPr="00DD2D90">
        <w:rPr>
          <w:rStyle w:val="StyleUnderline"/>
          <w:highlight w:val="green"/>
        </w:rPr>
        <w:t>facilities</w:t>
      </w:r>
      <w:r w:rsidRPr="00DD2D90">
        <w:rPr>
          <w:rStyle w:val="StyleUnderline"/>
        </w:rPr>
        <w:t xml:space="preserve"> </w:t>
      </w:r>
      <w:r w:rsidRPr="00DD2D90">
        <w:rPr>
          <w:rStyle w:val="StyleUnderline"/>
          <w:highlight w:val="green"/>
        </w:rPr>
        <w:t>could no longer afford to feed their patients</w:t>
      </w:r>
      <w:r w:rsidRPr="009C4A5A">
        <w:rPr>
          <w:sz w:val="16"/>
        </w:rPr>
        <w:t xml:space="preserve">. </w:t>
      </w:r>
      <w:r w:rsidRPr="00DD2D90">
        <w:rPr>
          <w:rStyle w:val="StyleUnderline"/>
          <w:highlight w:val="green"/>
        </w:rPr>
        <w:t>Drugs were more difficult to come by</w:t>
      </w:r>
      <w:r w:rsidRPr="00DD2D90">
        <w:rPr>
          <w:rStyle w:val="StyleUnderline"/>
        </w:rPr>
        <w:t>, the system was not modernized, and</w:t>
      </w:r>
      <w:r w:rsidRPr="009C4A5A">
        <w:rPr>
          <w:sz w:val="16"/>
        </w:rPr>
        <w:t xml:space="preserve"> suddenly, the </w:t>
      </w:r>
      <w:r w:rsidRPr="00DD2D90">
        <w:rPr>
          <w:rStyle w:val="StyleUnderline"/>
        </w:rPr>
        <w:t>care</w:t>
      </w:r>
      <w:r w:rsidRPr="009C4A5A">
        <w:rPr>
          <w:sz w:val="16"/>
        </w:rPr>
        <w:t xml:space="preserve"> that </w:t>
      </w:r>
      <w:r w:rsidRPr="00DD2D90">
        <w:rPr>
          <w:rStyle w:val="StyleUnderline"/>
        </w:rPr>
        <w:t>one could get for free was being treated with skepticism and distrust.</w:t>
      </w:r>
      <w:r w:rsidR="001C3B3D" w:rsidRPr="00DD2D90">
        <w:rPr>
          <w:rStyle w:val="StyleUnderline"/>
        </w:rPr>
        <w:t xml:space="preserve"> </w:t>
      </w:r>
      <w:r w:rsidRPr="009C4A5A">
        <w:rPr>
          <w:sz w:val="16"/>
        </w:rPr>
        <w:t>In response to the growing healthcare crisis and lack of medical achievements to report on, Soviet Life simply carries on, omitting grim facts and doubling down on feel-good articles. Gone are the full-page spreads on the latest and greatest findings in Soviet medicine. Most articles in the 1980s now focus on descriptive writing and fluff pieces that seek to amplify the ethos of the 60s: a day in the life in a resuscitation ward, a travel guide-esque description of a health spa in the Baltic region. There’s a tone of desperation to it: “look here, don’t look over there.”</w:t>
      </w:r>
      <w:r w:rsidR="001C3B3D" w:rsidRPr="009C4A5A">
        <w:rPr>
          <w:sz w:val="16"/>
        </w:rPr>
        <w:t xml:space="preserve"> </w:t>
      </w:r>
      <w:r w:rsidRPr="009C4A5A">
        <w:rPr>
          <w:sz w:val="16"/>
        </w:rPr>
        <w:t>One piece from 1984 stands out in particular. The word “free,” bold and in the center of the page, is repeated ten times. X-rays? Free. Lab Services? Free. The rest is an interview with the Minister of Health, Sergei Burenkov, and Soviet Life, once again, leans heavily on statistics and idea of low costs to emphasize the triumph of healthcare.</w:t>
      </w:r>
      <w:r w:rsidR="001C3B3D" w:rsidRPr="009C4A5A">
        <w:rPr>
          <w:sz w:val="16"/>
        </w:rPr>
        <w:t xml:space="preserve"> </w:t>
      </w:r>
      <w:r w:rsidRPr="009C4A5A">
        <w:rPr>
          <w:sz w:val="16"/>
        </w:rPr>
        <w:t xml:space="preserve">Burenkov piles numbers upon numbers like a shopping list until it’s difficult to grasp the weight of them. To a general reader, there’s no point of comparison. </w:t>
      </w:r>
      <w:r w:rsidRPr="00DD2D90">
        <w:rPr>
          <w:rStyle w:val="StyleUnderline"/>
        </w:rPr>
        <w:t xml:space="preserve">One is simply expected to bask in the fact that because there are 3.5 million beds in the USSR, the healthcare system is as successful as ever. One cannot immediately make the connection that </w:t>
      </w:r>
      <w:r w:rsidRPr="00DD2D90">
        <w:rPr>
          <w:rStyle w:val="StyleUnderline"/>
          <w:highlight w:val="green"/>
        </w:rPr>
        <w:t>the large number of beds did not prevent hospitals from overcrowding</w:t>
      </w:r>
      <w:r w:rsidRPr="009C4A5A">
        <w:rPr>
          <w:sz w:val="16"/>
        </w:rPr>
        <w:t xml:space="preserve">. Or that </w:t>
      </w:r>
      <w:r w:rsidRPr="00DD2D90">
        <w:rPr>
          <w:rStyle w:val="StyleUnderline"/>
          <w:highlight w:val="green"/>
        </w:rPr>
        <w:t>even with hospitals consuming two-thirds of</w:t>
      </w:r>
      <w:r w:rsidRPr="00DD2D90">
        <w:rPr>
          <w:rStyle w:val="StyleUnderline"/>
        </w:rPr>
        <w:t xml:space="preserve"> the total share of </w:t>
      </w:r>
      <w:r w:rsidRPr="00DD2D90">
        <w:rPr>
          <w:rStyle w:val="StyleUnderline"/>
          <w:highlight w:val="green"/>
        </w:rPr>
        <w:t>state health allocations</w:t>
      </w:r>
      <w:r w:rsidRPr="00DD2D90">
        <w:rPr>
          <w:rStyle w:val="StyleUnderline"/>
        </w:rPr>
        <w:t xml:space="preserve">, </w:t>
      </w:r>
      <w:r w:rsidRPr="00DD2D90">
        <w:rPr>
          <w:rStyle w:val="StyleUnderline"/>
          <w:highlight w:val="green"/>
        </w:rPr>
        <w:t xml:space="preserve">they were still </w:t>
      </w:r>
      <w:r w:rsidRPr="00DD2D90">
        <w:rPr>
          <w:rStyle w:val="Emphasis"/>
          <w:highlight w:val="green"/>
        </w:rPr>
        <w:t>woefully underfunded</w:t>
      </w:r>
      <w:r w:rsidRPr="009C4A5A">
        <w:rPr>
          <w:sz w:val="16"/>
        </w:rPr>
        <w:t>. Reading the pages now, though, it is easy to look between the lines; amid everything Burenkov is detailing, there is plenty that he is choosing not to say as well.</w:t>
      </w:r>
      <w:r w:rsidR="001C3B3D" w:rsidRPr="009C4A5A">
        <w:rPr>
          <w:sz w:val="16"/>
        </w:rPr>
        <w:t xml:space="preserve"> </w:t>
      </w:r>
      <w:r w:rsidRPr="009C4A5A">
        <w:rPr>
          <w:sz w:val="16"/>
        </w:rPr>
        <w:t>The original Semashko model eventually collapsed with the USSR in 1991. But the echoes of its successes and failures remain, printed on the glossy pages of a propaganda-driven magazine.</w:t>
      </w:r>
      <w:r w:rsidR="001C3B3D" w:rsidRPr="009C4A5A">
        <w:rPr>
          <w:sz w:val="16"/>
        </w:rPr>
        <w:t xml:space="preserve"> </w:t>
      </w:r>
    </w:p>
    <w:p w14:paraId="4D6257F7" w14:textId="77777777" w:rsidR="00F81E93" w:rsidRPr="009C4A5A" w:rsidRDefault="00F81E93">
      <w:pPr>
        <w:rPr>
          <w:rFonts w:eastAsiaTheme="majorEastAsia" w:cstheme="majorBidi"/>
          <w:b/>
          <w:iCs/>
          <w:sz w:val="16"/>
        </w:rPr>
      </w:pPr>
      <w:r w:rsidRPr="009C4A5A">
        <w:rPr>
          <w:sz w:val="16"/>
        </w:rPr>
        <w:br w:type="page"/>
      </w:r>
    </w:p>
    <w:p w14:paraId="003648F1" w14:textId="37CCF867" w:rsidR="00AF4996" w:rsidRPr="009C4A5A" w:rsidRDefault="00AF4996" w:rsidP="00AF4996">
      <w:pPr>
        <w:pStyle w:val="Heading4"/>
        <w:rPr>
          <w:szCs w:val="26"/>
        </w:rPr>
      </w:pPr>
      <w:r w:rsidRPr="009C4A5A">
        <w:rPr>
          <w:szCs w:val="26"/>
        </w:rPr>
        <w:t>Russia</w:t>
      </w:r>
      <w:r w:rsidR="00271754" w:rsidRPr="009C4A5A">
        <w:rPr>
          <w:szCs w:val="26"/>
        </w:rPr>
        <w:t>n healthcare caused underinvestment in infrastructure, corruption, ageism, hospital infections, and worse health outcomes</w:t>
      </w:r>
    </w:p>
    <w:p w14:paraId="7F9D7ADB" w14:textId="0C651DED" w:rsidR="00AF4996" w:rsidRPr="00DD2D90" w:rsidRDefault="00895770" w:rsidP="00AF4996">
      <w:r w:rsidRPr="009C4A5A">
        <w:rPr>
          <w:b/>
          <w:bCs/>
          <w:sz w:val="26"/>
          <w:szCs w:val="26"/>
        </w:rPr>
        <w:t>Maltsev 9</w:t>
      </w:r>
      <w:r w:rsidRPr="00DD2D90">
        <w:t xml:space="preserve"> [</w:t>
      </w:r>
      <w:r w:rsidR="00AF4996" w:rsidRPr="00DD2D90">
        <w:t>Yuri N. Maltsev,</w:t>
      </w:r>
      <w:r w:rsidR="004D00AE" w:rsidRPr="00DD2D90">
        <w:t xml:space="preserve"> Professor of Economics at Carthage College in Wisconsin and Senior Fellow at the United States Institute of Peace,</w:t>
      </w:r>
      <w:r w:rsidR="00AF4996" w:rsidRPr="00DD2D90">
        <w:t xml:space="preserve"> 8-21-2009, "What Soviet Medicine Teaches Us", Mises Institute, https://mises.org/mises-daily/what-soviet-medicine-teaches-us</w:t>
      </w:r>
      <w:r w:rsidR="006A065E" w:rsidRPr="00DD2D90">
        <w:t>]/Kankee</w:t>
      </w:r>
    </w:p>
    <w:p w14:paraId="52F1913D" w14:textId="74C848A5" w:rsidR="00B0589A" w:rsidRPr="009C4A5A" w:rsidRDefault="00AF4996">
      <w:pPr>
        <w:rPr>
          <w:rFonts w:eastAsiaTheme="majorEastAsia" w:cstheme="majorBidi"/>
          <w:b/>
          <w:iCs/>
          <w:sz w:val="16"/>
        </w:rPr>
      </w:pPr>
      <w:r w:rsidRPr="009C4A5A">
        <w:rPr>
          <w:sz w:val="16"/>
        </w:rPr>
        <w:t xml:space="preserve">In 1918, </w:t>
      </w:r>
      <w:r w:rsidRPr="00DD2D90">
        <w:rPr>
          <w:rStyle w:val="StyleUnderline"/>
        </w:rPr>
        <w:t>the Soviet Union became the first country to promise universal “cradle-to-grave” healthcare coverage</w:t>
      </w:r>
      <w:r w:rsidRPr="009C4A5A">
        <w:rPr>
          <w:sz w:val="16"/>
        </w:rPr>
        <w:t xml:space="preserve">, to be accomplished </w:t>
      </w:r>
      <w:r w:rsidRPr="00DD2D90">
        <w:rPr>
          <w:rStyle w:val="StyleUnderline"/>
        </w:rPr>
        <w:t>through</w:t>
      </w:r>
      <w:r w:rsidRPr="009C4A5A">
        <w:rPr>
          <w:sz w:val="16"/>
        </w:rPr>
        <w:t xml:space="preserve"> </w:t>
      </w:r>
      <w:r w:rsidRPr="00DD2D90">
        <w:rPr>
          <w:rStyle w:val="StyleUnderline"/>
        </w:rPr>
        <w:t>the</w:t>
      </w:r>
      <w:r w:rsidRPr="009C4A5A">
        <w:rPr>
          <w:sz w:val="16"/>
        </w:rPr>
        <w:t xml:space="preserve"> complete </w:t>
      </w:r>
      <w:r w:rsidRPr="00DD2D90">
        <w:rPr>
          <w:rStyle w:val="StyleUnderline"/>
        </w:rPr>
        <w:t>socialization of</w:t>
      </w:r>
      <w:r w:rsidRPr="009C4A5A">
        <w:rPr>
          <w:sz w:val="16"/>
        </w:rPr>
        <w:t xml:space="preserve"> </w:t>
      </w:r>
      <w:r w:rsidRPr="00DD2D90">
        <w:rPr>
          <w:rStyle w:val="StyleUnderline"/>
        </w:rPr>
        <w:t>medicine</w:t>
      </w:r>
      <w:r w:rsidRPr="009C4A5A">
        <w:rPr>
          <w:sz w:val="16"/>
        </w:rPr>
        <w:t>. The “right to health” became a “constitutional right” of Soviet citizens.</w:t>
      </w:r>
      <w:r w:rsidR="00271754" w:rsidRPr="009C4A5A">
        <w:rPr>
          <w:sz w:val="16"/>
        </w:rPr>
        <w:t xml:space="preserve"> </w:t>
      </w:r>
      <w:r w:rsidRPr="009C4A5A">
        <w:rPr>
          <w:sz w:val="16"/>
        </w:rPr>
        <w:t>The proclaimed advantages of this system were that it would “reduce costs” and eliminate the “waste” that stemmed from “unnecessary duplication and parallelism” — i.e., competition.</w:t>
      </w:r>
      <w:r w:rsidR="00271754" w:rsidRPr="009C4A5A">
        <w:rPr>
          <w:sz w:val="16"/>
        </w:rPr>
        <w:t xml:space="preserve"> </w:t>
      </w:r>
      <w:r w:rsidRPr="009C4A5A">
        <w:rPr>
          <w:sz w:val="16"/>
        </w:rPr>
        <w:t>These goals were similar to the ones declared by Mr. Obama and Ms. Pelosi — attractive and humane goals of universal coverage and low costs. What’s not to like?</w:t>
      </w:r>
      <w:r w:rsidR="00271754" w:rsidRPr="009C4A5A">
        <w:rPr>
          <w:sz w:val="16"/>
        </w:rPr>
        <w:t xml:space="preserve"> </w:t>
      </w:r>
      <w:r w:rsidRPr="009C4A5A">
        <w:rPr>
          <w:sz w:val="16"/>
        </w:rPr>
        <w:t xml:space="preserve">The system had many decades to work, </w:t>
      </w:r>
      <w:r w:rsidRPr="009C4A5A">
        <w:rPr>
          <w:rStyle w:val="StyleUnderline"/>
        </w:rPr>
        <w:t>but</w:t>
      </w:r>
      <w:r w:rsidRPr="009C4A5A">
        <w:rPr>
          <w:sz w:val="16"/>
        </w:rPr>
        <w:t xml:space="preserve"> </w:t>
      </w:r>
      <w:r w:rsidRPr="00DD2D90">
        <w:rPr>
          <w:rStyle w:val="StyleUnderline"/>
        </w:rPr>
        <w:t xml:space="preserve">widespread </w:t>
      </w:r>
      <w:r w:rsidRPr="00DD2D90">
        <w:rPr>
          <w:rStyle w:val="StyleUnderline"/>
          <w:highlight w:val="green"/>
        </w:rPr>
        <w:t>apathy and low quality of work paralyzed</w:t>
      </w:r>
      <w:r w:rsidRPr="00DD2D90">
        <w:rPr>
          <w:rStyle w:val="StyleUnderline"/>
        </w:rPr>
        <w:t xml:space="preserve"> the </w:t>
      </w:r>
      <w:r w:rsidRPr="00DD2D90">
        <w:rPr>
          <w:rStyle w:val="StyleUnderline"/>
          <w:highlight w:val="green"/>
        </w:rPr>
        <w:t>healthcare</w:t>
      </w:r>
      <w:r w:rsidRPr="00DD2D90">
        <w:rPr>
          <w:rStyle w:val="StyleUnderline"/>
        </w:rPr>
        <w:t xml:space="preserve"> system</w:t>
      </w:r>
      <w:r w:rsidRPr="009C4A5A">
        <w:rPr>
          <w:sz w:val="16"/>
        </w:rPr>
        <w:t xml:space="preserve">. In the depths of the socialist experiment, </w:t>
      </w:r>
      <w:r w:rsidRPr="00DD2D90">
        <w:rPr>
          <w:rStyle w:val="StyleUnderline"/>
        </w:rPr>
        <w:t xml:space="preserve">healthcare </w:t>
      </w:r>
      <w:r w:rsidRPr="00DD2D90">
        <w:rPr>
          <w:rStyle w:val="StyleUnderline"/>
          <w:highlight w:val="green"/>
        </w:rPr>
        <w:t>institutions</w:t>
      </w:r>
      <w:r w:rsidRPr="00DD2D90">
        <w:rPr>
          <w:rStyle w:val="StyleUnderline"/>
        </w:rPr>
        <w:t xml:space="preserve"> in Russia </w:t>
      </w:r>
      <w:r w:rsidRPr="00DD2D90">
        <w:rPr>
          <w:rStyle w:val="StyleUnderline"/>
          <w:highlight w:val="green"/>
        </w:rPr>
        <w:t>were</w:t>
      </w:r>
      <w:r w:rsidRPr="00DD2D90">
        <w:rPr>
          <w:rStyle w:val="StyleUnderline"/>
        </w:rPr>
        <w:t xml:space="preserve"> at least </w:t>
      </w:r>
      <w:r w:rsidRPr="00DD2D90">
        <w:rPr>
          <w:rStyle w:val="StyleUnderline"/>
          <w:highlight w:val="green"/>
        </w:rPr>
        <w:t>a hundred years behind the</w:t>
      </w:r>
      <w:r w:rsidRPr="00DD2D90">
        <w:rPr>
          <w:rStyle w:val="StyleUnderline"/>
        </w:rPr>
        <w:t xml:space="preserve"> average </w:t>
      </w:r>
      <w:r w:rsidRPr="00DD2D90">
        <w:rPr>
          <w:rStyle w:val="StyleUnderline"/>
          <w:highlight w:val="green"/>
        </w:rPr>
        <w:t>US</w:t>
      </w:r>
      <w:r w:rsidRPr="00DD2D90">
        <w:rPr>
          <w:rStyle w:val="StyleUnderline"/>
        </w:rPr>
        <w:t xml:space="preserve"> level</w:t>
      </w:r>
      <w:r w:rsidRPr="009C4A5A">
        <w:rPr>
          <w:sz w:val="16"/>
        </w:rPr>
        <w:t xml:space="preserve">. Moreover, </w:t>
      </w:r>
      <w:r w:rsidRPr="00DD2D90">
        <w:rPr>
          <w:rStyle w:val="StyleUnderline"/>
        </w:rPr>
        <w:t xml:space="preserve">the filth, odors, cats roaming the halls, drunken medical personnel, and absence of soap and cleaning supplies added to an overall impression of </w:t>
      </w:r>
      <w:r w:rsidRPr="00DD2D90">
        <w:rPr>
          <w:rStyle w:val="Emphasis"/>
        </w:rPr>
        <w:t>hopelessness</w:t>
      </w:r>
      <w:r w:rsidRPr="00DD2D90">
        <w:rPr>
          <w:rStyle w:val="StyleUnderline"/>
        </w:rPr>
        <w:t xml:space="preserve"> and </w:t>
      </w:r>
      <w:r w:rsidRPr="00DD2D90">
        <w:rPr>
          <w:rStyle w:val="Emphasis"/>
        </w:rPr>
        <w:t>frustration</w:t>
      </w:r>
      <w:r w:rsidRPr="00DD2D90">
        <w:rPr>
          <w:rStyle w:val="StyleUnderline"/>
        </w:rPr>
        <w:t xml:space="preserve"> that </w:t>
      </w:r>
      <w:r w:rsidRPr="00DD2D90">
        <w:rPr>
          <w:rStyle w:val="Emphasis"/>
        </w:rPr>
        <w:t>paralyzed</w:t>
      </w:r>
      <w:r w:rsidRPr="00DD2D90">
        <w:rPr>
          <w:rStyle w:val="StyleUnderline"/>
        </w:rPr>
        <w:t xml:space="preserve"> the system</w:t>
      </w:r>
      <w:r w:rsidRPr="009C4A5A">
        <w:rPr>
          <w:sz w:val="16"/>
        </w:rPr>
        <w:t xml:space="preserve">. According to official Russian estimates, </w:t>
      </w:r>
      <w:r w:rsidRPr="00DD2D90">
        <w:rPr>
          <w:rStyle w:val="Emphasis"/>
          <w:highlight w:val="green"/>
        </w:rPr>
        <w:t>78 percent</w:t>
      </w:r>
      <w:r w:rsidRPr="00DD2D90">
        <w:rPr>
          <w:rStyle w:val="StyleUnderline"/>
        </w:rPr>
        <w:t xml:space="preserve"> </w:t>
      </w:r>
      <w:r w:rsidRPr="00DD2D90">
        <w:rPr>
          <w:rStyle w:val="StyleUnderline"/>
          <w:highlight w:val="green"/>
        </w:rPr>
        <w:t>of</w:t>
      </w:r>
      <w:r w:rsidRPr="00DD2D90">
        <w:rPr>
          <w:rStyle w:val="StyleUnderline"/>
        </w:rPr>
        <w:t xml:space="preserve"> all </w:t>
      </w:r>
      <w:r w:rsidRPr="00DD2D90">
        <w:rPr>
          <w:rStyle w:val="StyleUnderline"/>
          <w:highlight w:val="green"/>
        </w:rPr>
        <w:t>AIDS victims</w:t>
      </w:r>
      <w:r w:rsidRPr="00DD2D90">
        <w:rPr>
          <w:rStyle w:val="StyleUnderline"/>
        </w:rPr>
        <w:t xml:space="preserve"> in Russia </w:t>
      </w:r>
      <w:r w:rsidRPr="00DD2D90">
        <w:rPr>
          <w:rStyle w:val="StyleUnderline"/>
          <w:highlight w:val="green"/>
        </w:rPr>
        <w:t>contracted the virus through</w:t>
      </w:r>
      <w:r w:rsidRPr="00DD2D90">
        <w:rPr>
          <w:rStyle w:val="StyleUnderline"/>
        </w:rPr>
        <w:t xml:space="preserve"> dirty needles</w:t>
      </w:r>
      <w:r w:rsidRPr="009C4A5A">
        <w:rPr>
          <w:sz w:val="16"/>
        </w:rPr>
        <w:t xml:space="preserve"> or HIV-tainted blood </w:t>
      </w:r>
      <w:r w:rsidRPr="00DD2D90">
        <w:rPr>
          <w:rStyle w:val="StyleUnderline"/>
        </w:rPr>
        <w:t xml:space="preserve">in the </w:t>
      </w:r>
      <w:r w:rsidRPr="00DD2D90">
        <w:rPr>
          <w:rStyle w:val="StyleUnderline"/>
          <w:highlight w:val="green"/>
        </w:rPr>
        <w:t>state-run hospitals</w:t>
      </w:r>
      <w:r w:rsidRPr="00DD2D90">
        <w:rPr>
          <w:rStyle w:val="StyleUnderline"/>
        </w:rPr>
        <w:t>.</w:t>
      </w:r>
      <w:r w:rsidR="00271754" w:rsidRPr="00DD2D90">
        <w:rPr>
          <w:rStyle w:val="StyleUnderline"/>
        </w:rPr>
        <w:t xml:space="preserve"> </w:t>
      </w:r>
      <w:r w:rsidRPr="009C4A5A">
        <w:rPr>
          <w:sz w:val="16"/>
        </w:rPr>
        <w:t>Irresponsibility, expressed by the popular Russian saying “</w:t>
      </w:r>
      <w:r w:rsidRPr="00DD2D90">
        <w:rPr>
          <w:rStyle w:val="StyleUnderline"/>
        </w:rPr>
        <w:t>They pretend they are paying us and we pretend we are working,” resulted in appalling quality of service, widespread corruption, and extensive loss of life</w:t>
      </w:r>
      <w:r w:rsidRPr="009C4A5A">
        <w:rPr>
          <w:sz w:val="16"/>
        </w:rPr>
        <w:t xml:space="preserve">. My friend, </w:t>
      </w:r>
      <w:r w:rsidRPr="00DD2D90">
        <w:rPr>
          <w:rStyle w:val="StyleUnderline"/>
          <w:highlight w:val="green"/>
        </w:rPr>
        <w:t>a</w:t>
      </w:r>
      <w:r w:rsidRPr="009C4A5A">
        <w:rPr>
          <w:sz w:val="16"/>
        </w:rPr>
        <w:t xml:space="preserve"> famous </w:t>
      </w:r>
      <w:r w:rsidRPr="00DD2D90">
        <w:rPr>
          <w:rStyle w:val="StyleUnderline"/>
          <w:highlight w:val="green"/>
        </w:rPr>
        <w:t>neurosurgeon</w:t>
      </w:r>
      <w:r w:rsidRPr="009C4A5A">
        <w:rPr>
          <w:sz w:val="16"/>
        </w:rPr>
        <w:t xml:space="preserve"> in today’s Russia, </w:t>
      </w:r>
      <w:r w:rsidRPr="00DD2D90">
        <w:rPr>
          <w:rStyle w:val="StyleUnderline"/>
          <w:highlight w:val="green"/>
        </w:rPr>
        <w:t>received</w:t>
      </w:r>
      <w:r w:rsidRPr="009C4A5A">
        <w:rPr>
          <w:sz w:val="16"/>
        </w:rPr>
        <w:t xml:space="preserve"> a monthly salary of 150 rubles — </w:t>
      </w:r>
      <w:r w:rsidRPr="00DD2D90">
        <w:rPr>
          <w:rStyle w:val="StyleUnderline"/>
          <w:highlight w:val="green"/>
        </w:rPr>
        <w:t>one-third of the</w:t>
      </w:r>
      <w:r w:rsidRPr="00DD2D90">
        <w:rPr>
          <w:rStyle w:val="StyleUnderline"/>
        </w:rPr>
        <w:t xml:space="preserve"> average </w:t>
      </w:r>
      <w:r w:rsidRPr="00DD2D90">
        <w:rPr>
          <w:rStyle w:val="StyleUnderline"/>
          <w:highlight w:val="green"/>
        </w:rPr>
        <w:t>bus driver’s</w:t>
      </w:r>
      <w:r w:rsidRPr="00DD2D90">
        <w:rPr>
          <w:rStyle w:val="StyleUnderline"/>
        </w:rPr>
        <w:t xml:space="preserve"> </w:t>
      </w:r>
      <w:r w:rsidRPr="00DD2D90">
        <w:rPr>
          <w:rStyle w:val="StyleUnderline"/>
          <w:highlight w:val="green"/>
        </w:rPr>
        <w:t>salary</w:t>
      </w:r>
      <w:r w:rsidRPr="00DD2D90">
        <w:rPr>
          <w:rStyle w:val="StyleUnderline"/>
        </w:rPr>
        <w:t>.</w:t>
      </w:r>
      <w:r w:rsidR="00271754" w:rsidRPr="00DD2D90">
        <w:rPr>
          <w:rStyle w:val="StyleUnderline"/>
        </w:rPr>
        <w:t xml:space="preserve"> </w:t>
      </w:r>
      <w:r w:rsidRPr="009C4A5A">
        <w:rPr>
          <w:sz w:val="16"/>
        </w:rPr>
        <w:t xml:space="preserve">In order to receive minimal attention by doctors and nursing personnel, </w:t>
      </w:r>
      <w:r w:rsidRPr="00DD2D90">
        <w:rPr>
          <w:rStyle w:val="StyleUnderline"/>
          <w:highlight w:val="green"/>
        </w:rPr>
        <w:t>patients had to pay bribes</w:t>
      </w:r>
      <w:r w:rsidRPr="00DD2D90">
        <w:rPr>
          <w:rStyle w:val="StyleUnderline"/>
        </w:rPr>
        <w:t>. I even witnessed a case of a “nonpaying” patient who died trying to reach a lavatory at the end of the long corridor after brain surgery</w:t>
      </w:r>
      <w:r w:rsidRPr="009C4A5A">
        <w:rPr>
          <w:sz w:val="16"/>
        </w:rPr>
        <w:t xml:space="preserve">. </w:t>
      </w:r>
      <w:r w:rsidRPr="00DD2D90">
        <w:rPr>
          <w:rStyle w:val="StyleUnderline"/>
        </w:rPr>
        <w:t>Anesthesia was</w:t>
      </w:r>
      <w:r w:rsidRPr="009C4A5A">
        <w:rPr>
          <w:sz w:val="16"/>
        </w:rPr>
        <w:t xml:space="preserve"> usually “</w:t>
      </w:r>
      <w:r w:rsidRPr="00DD2D90">
        <w:rPr>
          <w:rStyle w:val="StyleUnderline"/>
        </w:rPr>
        <w:t>not available</w:t>
      </w:r>
      <w:r w:rsidRPr="009C4A5A">
        <w:rPr>
          <w:sz w:val="16"/>
        </w:rPr>
        <w:t xml:space="preserve">” </w:t>
      </w:r>
      <w:r w:rsidRPr="00DD2D90">
        <w:rPr>
          <w:rStyle w:val="StyleUnderline"/>
        </w:rPr>
        <w:t>for</w:t>
      </w:r>
      <w:r w:rsidRPr="009C4A5A">
        <w:rPr>
          <w:sz w:val="16"/>
        </w:rPr>
        <w:t xml:space="preserve"> abortions or minor ear, nose, throat, and skin </w:t>
      </w:r>
      <w:r w:rsidRPr="00DD2D90">
        <w:rPr>
          <w:rStyle w:val="StyleUnderline"/>
        </w:rPr>
        <w:t>surgeries</w:t>
      </w:r>
      <w:r w:rsidRPr="009C4A5A">
        <w:rPr>
          <w:sz w:val="16"/>
        </w:rPr>
        <w:t xml:space="preserve">. </w:t>
      </w:r>
      <w:r w:rsidRPr="00DD2D90">
        <w:rPr>
          <w:rStyle w:val="StyleUnderline"/>
        </w:rPr>
        <w:t xml:space="preserve">This was used as a means of </w:t>
      </w:r>
      <w:r w:rsidRPr="00DD2D90">
        <w:rPr>
          <w:rStyle w:val="Emphasis"/>
        </w:rPr>
        <w:t>extortion</w:t>
      </w:r>
      <w:r w:rsidRPr="00DD2D90">
        <w:rPr>
          <w:rStyle w:val="StyleUnderline"/>
        </w:rPr>
        <w:t xml:space="preserve"> by unscrupulous medical bureaucrats.</w:t>
      </w:r>
      <w:r w:rsidR="00271754" w:rsidRPr="00DD2D90">
        <w:rPr>
          <w:rStyle w:val="StyleUnderline"/>
        </w:rPr>
        <w:t xml:space="preserve"> </w:t>
      </w:r>
      <w:r w:rsidRPr="009C4A5A">
        <w:rPr>
          <w:sz w:val="16"/>
        </w:rPr>
        <w:t xml:space="preserve">To improve the statistics concerning the numbers of people dying within the system, </w:t>
      </w:r>
      <w:r w:rsidRPr="00DD2D90">
        <w:rPr>
          <w:rStyle w:val="StyleUnderline"/>
        </w:rPr>
        <w:t>patients were routinely shoved out the door before taking their last breath.</w:t>
      </w:r>
      <w:r w:rsidR="00271754" w:rsidRPr="00DD2D90">
        <w:rPr>
          <w:rStyle w:val="StyleUnderline"/>
        </w:rPr>
        <w:t xml:space="preserve"> </w:t>
      </w:r>
      <w:r w:rsidRPr="009C4A5A">
        <w:rPr>
          <w:sz w:val="16"/>
        </w:rPr>
        <w:t xml:space="preserve">Being a People’s Deputy in the Moscow region from 1987 to 1989, </w:t>
      </w:r>
      <w:r w:rsidRPr="00DD2D90">
        <w:rPr>
          <w:rStyle w:val="StyleUnderline"/>
        </w:rPr>
        <w:t>I received many complaints about criminal negligence, bribes taken by medical apparatchiks, drunken ambulance crews, and food poisoning in hospitals and child-care facilities</w:t>
      </w:r>
      <w:r w:rsidRPr="009C4A5A">
        <w:rPr>
          <w:sz w:val="16"/>
        </w:rPr>
        <w:t>. I recall the case of a 14-year-old girl from my district who died of acute nephritis in a Moscow hospital. She died because a doctor decided that it was better to save “precious” X-ray film (imported by the Soviets for hard currency) instead of double-checking his diagnosis. These X-rays would have disproven his diagnosis of neuropathic pain.</w:t>
      </w:r>
      <w:r w:rsidR="00271754" w:rsidRPr="009C4A5A">
        <w:rPr>
          <w:sz w:val="16"/>
        </w:rPr>
        <w:t xml:space="preserve"> </w:t>
      </w:r>
      <w:r w:rsidRPr="009C4A5A">
        <w:rPr>
          <w:sz w:val="16"/>
        </w:rPr>
        <w:t>Instead, the doctor treated the teenager with a heat compress, which killed her almost instantly. There was no legal remedy for the girl’s parents and grandparents. By definition, a single-payer system cannot allow any such remedy. The girl’s grandparents could not cope with this loss and they both died within six months. The doctor received no official reprimand.</w:t>
      </w:r>
      <w:r w:rsidR="00271754" w:rsidRPr="009C4A5A">
        <w:rPr>
          <w:sz w:val="16"/>
        </w:rPr>
        <w:t xml:space="preserve"> </w:t>
      </w:r>
      <w:r w:rsidRPr="009C4A5A">
        <w:rPr>
          <w:sz w:val="16"/>
        </w:rPr>
        <w:t>Not surprisingly, government bureaucrats and Communist Party officials, as early as 1921 (three years after Lenin’s socialization of medicine), realized that the egalitarian system of healthcare was good only for their personal interest as providers, managers, and rationers — but not as private users of the system.</w:t>
      </w:r>
      <w:r w:rsidR="00271754" w:rsidRPr="009C4A5A">
        <w:rPr>
          <w:sz w:val="16"/>
        </w:rPr>
        <w:t xml:space="preserve"> </w:t>
      </w:r>
      <w:r w:rsidRPr="009C4A5A">
        <w:rPr>
          <w:sz w:val="16"/>
        </w:rPr>
        <w:t>So, as in all countries with socialized medicine, a two-tier system was created: one for the “gray masses” and the other, with a completely different level of service, for the bureaucrats and their intellectual servants. In the USSR, it was often the case that while workers and peasants were dying in the state hospitals, the medicine and equipment that could save their lives was sitting unused in the nomenklatura system.</w:t>
      </w:r>
      <w:r w:rsidR="00271754" w:rsidRPr="009C4A5A">
        <w:rPr>
          <w:sz w:val="16"/>
        </w:rPr>
        <w:t xml:space="preserve"> </w:t>
      </w:r>
      <w:r w:rsidRPr="00DD2D90">
        <w:rPr>
          <w:rStyle w:val="StyleUnderline"/>
        </w:rPr>
        <w:t xml:space="preserve">At the end of the socialist experiment, </w:t>
      </w:r>
      <w:r w:rsidRPr="00DD2D90">
        <w:rPr>
          <w:rStyle w:val="StyleUnderline"/>
          <w:highlight w:val="green"/>
        </w:rPr>
        <w:t>the</w:t>
      </w:r>
      <w:r w:rsidRPr="00DD2D90">
        <w:rPr>
          <w:rStyle w:val="StyleUnderline"/>
        </w:rPr>
        <w:t xml:space="preserve"> official </w:t>
      </w:r>
      <w:r w:rsidRPr="00DD2D90">
        <w:rPr>
          <w:rStyle w:val="StyleUnderline"/>
          <w:highlight w:val="green"/>
        </w:rPr>
        <w:t>infant-mortality rate</w:t>
      </w:r>
      <w:r w:rsidRPr="00DD2D90">
        <w:rPr>
          <w:rStyle w:val="StyleUnderline"/>
        </w:rPr>
        <w:t xml:space="preserve"> in Russia </w:t>
      </w:r>
      <w:r w:rsidRPr="00DD2D90">
        <w:rPr>
          <w:rStyle w:val="StyleUnderline"/>
          <w:highlight w:val="green"/>
        </w:rPr>
        <w:t>was</w:t>
      </w:r>
      <w:r w:rsidRPr="00DD2D90">
        <w:rPr>
          <w:rStyle w:val="StyleUnderline"/>
        </w:rPr>
        <w:t xml:space="preserve"> more than </w:t>
      </w:r>
      <w:r w:rsidRPr="00DD2D90">
        <w:rPr>
          <w:rStyle w:val="Emphasis"/>
          <w:highlight w:val="green"/>
        </w:rPr>
        <w:t>2.5 times</w:t>
      </w:r>
      <w:r w:rsidRPr="00DD2D90">
        <w:rPr>
          <w:rStyle w:val="StyleUnderline"/>
        </w:rPr>
        <w:t xml:space="preserve"> </w:t>
      </w:r>
      <w:r w:rsidRPr="00DD2D90">
        <w:rPr>
          <w:rStyle w:val="StyleUnderline"/>
          <w:highlight w:val="green"/>
        </w:rPr>
        <w:t>as high as in</w:t>
      </w:r>
      <w:r w:rsidRPr="00DD2D90">
        <w:rPr>
          <w:rStyle w:val="StyleUnderline"/>
        </w:rPr>
        <w:t xml:space="preserve"> </w:t>
      </w:r>
      <w:r w:rsidRPr="00DD2D90">
        <w:rPr>
          <w:rStyle w:val="StyleUnderline"/>
          <w:highlight w:val="green"/>
        </w:rPr>
        <w:t>the</w:t>
      </w:r>
      <w:r w:rsidRPr="00DD2D90">
        <w:rPr>
          <w:rStyle w:val="StyleUnderline"/>
        </w:rPr>
        <w:t xml:space="preserve"> </w:t>
      </w:r>
      <w:r w:rsidRPr="00DD2D90">
        <w:rPr>
          <w:rStyle w:val="StyleUnderline"/>
          <w:highlight w:val="green"/>
        </w:rPr>
        <w:t>U</w:t>
      </w:r>
      <w:r w:rsidRPr="00DD2D90">
        <w:rPr>
          <w:rStyle w:val="StyleUnderline"/>
        </w:rPr>
        <w:t xml:space="preserve">nited </w:t>
      </w:r>
      <w:r w:rsidRPr="00DD2D90">
        <w:rPr>
          <w:rStyle w:val="StyleUnderline"/>
          <w:highlight w:val="green"/>
        </w:rPr>
        <w:t>S</w:t>
      </w:r>
      <w:r w:rsidRPr="00DD2D90">
        <w:rPr>
          <w:rStyle w:val="StyleUnderline"/>
        </w:rPr>
        <w:t xml:space="preserve">tates </w:t>
      </w:r>
      <w:r w:rsidRPr="00DD2D90">
        <w:rPr>
          <w:rStyle w:val="StyleUnderline"/>
          <w:highlight w:val="green"/>
        </w:rPr>
        <w:t>and more than 5 times that of Japan</w:t>
      </w:r>
      <w:r w:rsidRPr="009C4A5A">
        <w:rPr>
          <w:sz w:val="16"/>
        </w:rPr>
        <w:t xml:space="preserve">. The rate of 24.5 deaths per 1,000 live births was questioned recently by several deputies to </w:t>
      </w:r>
      <w:r w:rsidRPr="00DD2D90">
        <w:rPr>
          <w:rStyle w:val="StyleUnderline"/>
        </w:rPr>
        <w:t xml:space="preserve">the </w:t>
      </w:r>
      <w:r w:rsidRPr="00DD2D90">
        <w:rPr>
          <w:rStyle w:val="StyleUnderline"/>
          <w:highlight w:val="green"/>
        </w:rPr>
        <w:t>Russia</w:t>
      </w:r>
      <w:r w:rsidRPr="00DD2D90">
        <w:rPr>
          <w:rStyle w:val="StyleUnderline"/>
        </w:rPr>
        <w:t>n Parliament</w:t>
      </w:r>
      <w:r w:rsidRPr="009C4A5A">
        <w:rPr>
          <w:sz w:val="16"/>
        </w:rPr>
        <w:t xml:space="preserve">, who </w:t>
      </w:r>
      <w:r w:rsidRPr="00DD2D90">
        <w:rPr>
          <w:rStyle w:val="StyleUnderline"/>
          <w:highlight w:val="green"/>
        </w:rPr>
        <w:t>claim</w:t>
      </w:r>
      <w:r w:rsidRPr="00DD2D90">
        <w:rPr>
          <w:rStyle w:val="StyleUnderline"/>
        </w:rPr>
        <w:t xml:space="preserve"> that </w:t>
      </w:r>
      <w:r w:rsidRPr="00DD2D90">
        <w:rPr>
          <w:rStyle w:val="StyleUnderline"/>
          <w:highlight w:val="green"/>
        </w:rPr>
        <w:t>it is 7 times</w:t>
      </w:r>
      <w:r w:rsidRPr="00DD2D90">
        <w:rPr>
          <w:rStyle w:val="StyleUnderline"/>
        </w:rPr>
        <w:t xml:space="preserve"> </w:t>
      </w:r>
      <w:r w:rsidRPr="00DD2D90">
        <w:rPr>
          <w:rStyle w:val="StyleUnderline"/>
          <w:highlight w:val="green"/>
        </w:rPr>
        <w:t>higher</w:t>
      </w:r>
      <w:r w:rsidRPr="00DD2D90">
        <w:rPr>
          <w:rStyle w:val="StyleUnderline"/>
        </w:rPr>
        <w:t xml:space="preserve"> than in the United States. This would make the Russian death rate 55 compared to the US rate of 8.1 per 1,000 live births.</w:t>
      </w:r>
      <w:r w:rsidR="00271754" w:rsidRPr="009C4A5A">
        <w:rPr>
          <w:sz w:val="16"/>
        </w:rPr>
        <w:t xml:space="preserve"> </w:t>
      </w:r>
      <w:r w:rsidRPr="009C4A5A">
        <w:rPr>
          <w:sz w:val="16"/>
        </w:rPr>
        <w:t>Having said that, I should make it clear that the United States has one of the highest rates of the industrialized world only because it counts all dead infants, including premature babies, which is where most of the fatalities occur.</w:t>
      </w:r>
      <w:r w:rsidR="00271754" w:rsidRPr="009C4A5A">
        <w:rPr>
          <w:sz w:val="16"/>
        </w:rPr>
        <w:t xml:space="preserve"> </w:t>
      </w:r>
      <w:r w:rsidRPr="009C4A5A">
        <w:rPr>
          <w:sz w:val="16"/>
        </w:rPr>
        <w:t>Most countries do not count premature-infant deaths. Some don’t count any deaths that occur in the first 72 hours. Some countries don’t even count any deaths from the first two weeks of life. In Cuba, which boasts a very low infant-mortality rate, infants are only registered when they are several months old, thereby leaving out of the official statistics all infant deaths that take place within the first several months of life.</w:t>
      </w:r>
      <w:r w:rsidR="00271754" w:rsidRPr="009C4A5A">
        <w:rPr>
          <w:sz w:val="16"/>
        </w:rPr>
        <w:t xml:space="preserve"> </w:t>
      </w:r>
      <w:r w:rsidRPr="009C4A5A">
        <w:rPr>
          <w:sz w:val="16"/>
        </w:rPr>
        <w:t xml:space="preserve">In the rural regions of Karakalpakia, Sakha, </w:t>
      </w:r>
      <w:r w:rsidRPr="00DD2D90">
        <w:rPr>
          <w:rStyle w:val="StyleUnderline"/>
        </w:rPr>
        <w:t>Chechnya</w:t>
      </w:r>
      <w:r w:rsidRPr="009C4A5A">
        <w:rPr>
          <w:sz w:val="16"/>
        </w:rPr>
        <w:t xml:space="preserve">, Kalmykia, and Ingushetia, </w:t>
      </w:r>
      <w:r w:rsidRPr="00DD2D90">
        <w:rPr>
          <w:rStyle w:val="StyleUnderline"/>
        </w:rPr>
        <w:t>the infant mortality rate is close to 100 per 1,000 births, putting these regions in the same category as Angola, Chad, and Bangladesh. Tens of thousands of infants fall victim to influenza every year, and the proportion of children dying from pneumonia and tuberculosis is on the increase</w:t>
      </w:r>
      <w:r w:rsidRPr="009C4A5A">
        <w:rPr>
          <w:sz w:val="16"/>
        </w:rPr>
        <w:t xml:space="preserve">. </w:t>
      </w:r>
      <w:r w:rsidRPr="00DD2D90">
        <w:rPr>
          <w:rStyle w:val="StyleUnderline"/>
        </w:rPr>
        <w:t>Rickets</w:t>
      </w:r>
      <w:r w:rsidRPr="009C4A5A">
        <w:rPr>
          <w:sz w:val="16"/>
        </w:rPr>
        <w:t xml:space="preserve">, caused by a lack of vitamin D, and </w:t>
      </w:r>
      <w:r w:rsidRPr="00DD2D90">
        <w:rPr>
          <w:rStyle w:val="StyleUnderline"/>
        </w:rPr>
        <w:t>unknown in the rest of the modern world, is killing many young people.</w:t>
      </w:r>
      <w:r w:rsidR="00271754" w:rsidRPr="009C4A5A">
        <w:rPr>
          <w:sz w:val="16"/>
        </w:rPr>
        <w:t xml:space="preserve"> </w:t>
      </w:r>
      <w:r w:rsidRPr="00DD2D90">
        <w:rPr>
          <w:rStyle w:val="StyleUnderline"/>
        </w:rPr>
        <w:t>Uterine damage is widespread</w:t>
      </w:r>
      <w:r w:rsidRPr="009C4A5A">
        <w:rPr>
          <w:sz w:val="16"/>
        </w:rPr>
        <w:t>, thanks to the 7.3 abortions the average Russian woman undergoes during childbearing years. Keeping in mind that many women avoid abortions altogether, the 7.3 average means that many women have a dozen or more abortions in their lifetime.1, 2</w:t>
      </w:r>
      <w:r w:rsidR="00271754" w:rsidRPr="009C4A5A">
        <w:rPr>
          <w:sz w:val="16"/>
        </w:rPr>
        <w:t xml:space="preserve"> </w:t>
      </w:r>
      <w:r w:rsidRPr="009C4A5A">
        <w:rPr>
          <w:sz w:val="16"/>
        </w:rPr>
        <w:t xml:space="preserve">Even today, according to the State Statistics Committee, </w:t>
      </w:r>
      <w:r w:rsidRPr="00DD2D90">
        <w:rPr>
          <w:rStyle w:val="StyleUnderline"/>
        </w:rPr>
        <w:t>the average life expectancy for Russian men is less than 59 years</w:t>
      </w:r>
      <w:r w:rsidRPr="009C4A5A">
        <w:rPr>
          <w:sz w:val="16"/>
        </w:rPr>
        <w:t xml:space="preserve"> — 58 years and 11 months — </w:t>
      </w:r>
      <w:r w:rsidRPr="00DD2D90">
        <w:rPr>
          <w:rStyle w:val="StyleUnderline"/>
        </w:rPr>
        <w:t>while that for Russian women is 72 years. The combined figure is 65 years and three months</w:t>
      </w:r>
      <w:r w:rsidRPr="009C4A5A">
        <w:rPr>
          <w:sz w:val="16"/>
        </w:rPr>
        <w:t xml:space="preserve">. By comparison, </w:t>
      </w:r>
      <w:r w:rsidRPr="00DD2D90">
        <w:rPr>
          <w:rStyle w:val="StyleUnderline"/>
        </w:rPr>
        <w:t>the average life span for men in the United States is 73 years and for women 79 years.</w:t>
      </w:r>
      <w:r w:rsidRPr="009C4A5A">
        <w:rPr>
          <w:sz w:val="16"/>
        </w:rPr>
        <w:t xml:space="preserve"> In the United States, life expectancy at birth for </w:t>
      </w:r>
      <w:r w:rsidRPr="00DD2D90">
        <w:rPr>
          <w:rStyle w:val="StyleUnderline"/>
        </w:rPr>
        <w:t>the total population has reached an all-time American high of 77.5 years</w:t>
      </w:r>
      <w:r w:rsidRPr="009C4A5A">
        <w:rPr>
          <w:sz w:val="16"/>
        </w:rPr>
        <w:t xml:space="preserve">, up from 49.2 years just a century ago. The </w:t>
      </w:r>
      <w:r w:rsidRPr="00DD2D90">
        <w:rPr>
          <w:rStyle w:val="StyleUnderline"/>
          <w:highlight w:val="green"/>
        </w:rPr>
        <w:t>Russian life expectancy at birth is 12 years lower</w:t>
      </w:r>
      <w:r w:rsidRPr="00DD2D90">
        <w:rPr>
          <w:rStyle w:val="StyleUnderline"/>
        </w:rPr>
        <w:t>.</w:t>
      </w:r>
      <w:r w:rsidR="00271754" w:rsidRPr="00DD2D90">
        <w:rPr>
          <w:rStyle w:val="StyleUnderline"/>
        </w:rPr>
        <w:t xml:space="preserve"> </w:t>
      </w:r>
      <w:r w:rsidRPr="00DD2D90">
        <w:rPr>
          <w:rStyle w:val="StyleUnderline"/>
        </w:rPr>
        <w:t xml:space="preserve">After 70 years of socialism, </w:t>
      </w:r>
      <w:r w:rsidRPr="00DD2D90">
        <w:rPr>
          <w:rStyle w:val="Emphasis"/>
          <w:highlight w:val="green"/>
        </w:rPr>
        <w:t>57 percent</w:t>
      </w:r>
      <w:r w:rsidRPr="00DD2D90">
        <w:rPr>
          <w:rStyle w:val="StyleUnderline"/>
        </w:rPr>
        <w:t xml:space="preserve"> </w:t>
      </w:r>
      <w:r w:rsidRPr="00DD2D90">
        <w:rPr>
          <w:rStyle w:val="StyleUnderline"/>
          <w:highlight w:val="green"/>
        </w:rPr>
        <w:t>of</w:t>
      </w:r>
      <w:r w:rsidRPr="00DD2D90">
        <w:rPr>
          <w:rStyle w:val="StyleUnderline"/>
        </w:rPr>
        <w:t xml:space="preserve"> all </w:t>
      </w:r>
      <w:r w:rsidRPr="00DD2D90">
        <w:rPr>
          <w:rStyle w:val="StyleUnderline"/>
          <w:highlight w:val="green"/>
        </w:rPr>
        <w:t>Russian hospitals did not have</w:t>
      </w:r>
      <w:r w:rsidRPr="00DD2D90">
        <w:rPr>
          <w:rStyle w:val="StyleUnderline"/>
        </w:rPr>
        <w:t xml:space="preserve"> running </w:t>
      </w:r>
      <w:r w:rsidRPr="00DD2D90">
        <w:rPr>
          <w:rStyle w:val="StyleUnderline"/>
          <w:highlight w:val="green"/>
        </w:rPr>
        <w:t>hot water</w:t>
      </w:r>
      <w:r w:rsidRPr="00DD2D90">
        <w:rPr>
          <w:rStyle w:val="StyleUnderline"/>
        </w:rPr>
        <w:t xml:space="preserve">, and </w:t>
      </w:r>
      <w:r w:rsidRPr="00DD2D90">
        <w:rPr>
          <w:rStyle w:val="Emphasis"/>
          <w:highlight w:val="green"/>
        </w:rPr>
        <w:t>36 percent</w:t>
      </w:r>
      <w:r w:rsidRPr="00DD2D90">
        <w:rPr>
          <w:rStyle w:val="StyleUnderline"/>
        </w:rPr>
        <w:t xml:space="preserve"> of hospitals located in rural areas of Russia </w:t>
      </w:r>
      <w:r w:rsidRPr="00DD2D90">
        <w:rPr>
          <w:rStyle w:val="StyleUnderline"/>
          <w:highlight w:val="green"/>
        </w:rPr>
        <w:t>did not have</w:t>
      </w:r>
      <w:r w:rsidRPr="00DD2D90">
        <w:rPr>
          <w:rStyle w:val="StyleUnderline"/>
        </w:rPr>
        <w:t xml:space="preserve"> water or </w:t>
      </w:r>
      <w:r w:rsidRPr="00DD2D90">
        <w:rPr>
          <w:rStyle w:val="StyleUnderline"/>
          <w:highlight w:val="green"/>
        </w:rPr>
        <w:t>sewage</w:t>
      </w:r>
      <w:r w:rsidRPr="00DD2D90">
        <w:rPr>
          <w:rStyle w:val="StyleUnderline"/>
        </w:rPr>
        <w:t xml:space="preserve"> at all</w:t>
      </w:r>
      <w:r w:rsidRPr="009C4A5A">
        <w:rPr>
          <w:sz w:val="16"/>
        </w:rPr>
        <w:t xml:space="preserve">. Isn’t it amazing that </w:t>
      </w:r>
      <w:r w:rsidRPr="00DD2D90">
        <w:rPr>
          <w:rStyle w:val="StyleUnderline"/>
        </w:rPr>
        <w:t>socialist government</w:t>
      </w:r>
      <w:r w:rsidRPr="009C4A5A">
        <w:rPr>
          <w:sz w:val="16"/>
        </w:rPr>
        <w:t xml:space="preserve">, while developing space exploration and sophisticated weapons, </w:t>
      </w:r>
      <w:r w:rsidRPr="00DD2D90">
        <w:rPr>
          <w:rStyle w:val="StyleUnderline"/>
        </w:rPr>
        <w:t>would completely ignore the basic human needs of its citizens?</w:t>
      </w:r>
      <w:r w:rsidR="00271754" w:rsidRPr="00DD2D90">
        <w:rPr>
          <w:rStyle w:val="StyleUnderline"/>
        </w:rPr>
        <w:t xml:space="preserve"> </w:t>
      </w:r>
      <w:r w:rsidRPr="00DD2D90">
        <w:rPr>
          <w:rStyle w:val="StyleUnderline"/>
        </w:rPr>
        <w:t>The appalling quality of service is</w:t>
      </w:r>
      <w:r w:rsidRPr="009C4A5A">
        <w:rPr>
          <w:sz w:val="16"/>
        </w:rPr>
        <w:t xml:space="preserve"> not simply characteristic of “barbarous” Russia and other Eastern European nations: it is </w:t>
      </w:r>
      <w:r w:rsidRPr="00DD2D90">
        <w:rPr>
          <w:rStyle w:val="StyleUnderline"/>
        </w:rPr>
        <w:t>a direct result of the government monopoly on healthcare and it can happen in any country</w:t>
      </w:r>
      <w:r w:rsidRPr="009C4A5A">
        <w:rPr>
          <w:sz w:val="16"/>
        </w:rPr>
        <w:t xml:space="preserve">. </w:t>
      </w:r>
      <w:r w:rsidRPr="00DD2D90">
        <w:rPr>
          <w:rStyle w:val="StyleUnderline"/>
        </w:rPr>
        <w:t>In</w:t>
      </w:r>
      <w:r w:rsidRPr="009C4A5A">
        <w:rPr>
          <w:sz w:val="16"/>
        </w:rPr>
        <w:t xml:space="preserve"> “civilized” </w:t>
      </w:r>
      <w:r w:rsidRPr="00DD2D90">
        <w:rPr>
          <w:rStyle w:val="StyleUnderline"/>
        </w:rPr>
        <w:t>England</w:t>
      </w:r>
      <w:r w:rsidRPr="009C4A5A">
        <w:rPr>
          <w:sz w:val="16"/>
        </w:rPr>
        <w:t xml:space="preserve">, for example, </w:t>
      </w:r>
      <w:r w:rsidRPr="00DD2D90">
        <w:rPr>
          <w:rStyle w:val="StyleUnderline"/>
        </w:rPr>
        <w:t>the waiting list for surgeries is nearly 800,000 out of a population of 55 million. State-of-the-art equipment is nonexistent in most British hospitals</w:t>
      </w:r>
      <w:r w:rsidRPr="009C4A5A">
        <w:rPr>
          <w:sz w:val="16"/>
        </w:rPr>
        <w:t>. In England, only 10 percent of the healthcare spending is derived from private sources.</w:t>
      </w:r>
      <w:r w:rsidR="00271754" w:rsidRPr="009C4A5A">
        <w:rPr>
          <w:sz w:val="16"/>
        </w:rPr>
        <w:t xml:space="preserve"> </w:t>
      </w:r>
      <w:r w:rsidRPr="009C4A5A">
        <w:rPr>
          <w:sz w:val="16"/>
        </w:rPr>
        <w:t xml:space="preserve">Britain pioneered in developing kidney-dialysis technology, and yet the country has one of the lowest dialysis rates in the world. The Brookings Institution (hardly a supporter of free markets) found that </w:t>
      </w:r>
      <w:r w:rsidRPr="00DD2D90">
        <w:rPr>
          <w:rStyle w:val="StyleUnderline"/>
        </w:rPr>
        <w:t>every year 7,000 Britons in need of hip replacements, between 4,000 and 20,000 in need of coronary bypass surgery, and some 10,000 to 15,000 in need of cancer chemotherapy are denied medical attention in Britain</w:t>
      </w:r>
      <w:r w:rsidRPr="009C4A5A">
        <w:rPr>
          <w:sz w:val="16"/>
        </w:rPr>
        <w:t>.</w:t>
      </w:r>
      <w:r w:rsidR="00271754" w:rsidRPr="009C4A5A">
        <w:rPr>
          <w:sz w:val="16"/>
        </w:rPr>
        <w:t xml:space="preserve"> </w:t>
      </w:r>
      <w:r w:rsidRPr="00DD2D90">
        <w:rPr>
          <w:rStyle w:val="StyleUnderline"/>
        </w:rPr>
        <w:t>Age discrimination is</w:t>
      </w:r>
      <w:r w:rsidRPr="009C4A5A">
        <w:rPr>
          <w:sz w:val="16"/>
        </w:rPr>
        <w:t xml:space="preserve"> particularly </w:t>
      </w:r>
      <w:r w:rsidRPr="00DD2D90">
        <w:rPr>
          <w:rStyle w:val="StyleUnderline"/>
        </w:rPr>
        <w:t>apparent in</w:t>
      </w:r>
      <w:r w:rsidRPr="009C4A5A">
        <w:rPr>
          <w:sz w:val="16"/>
        </w:rPr>
        <w:t xml:space="preserve"> all </w:t>
      </w:r>
      <w:r w:rsidRPr="00DD2D90">
        <w:rPr>
          <w:rStyle w:val="StyleUnderline"/>
        </w:rPr>
        <w:t>government-run</w:t>
      </w:r>
      <w:r w:rsidRPr="009C4A5A">
        <w:rPr>
          <w:sz w:val="16"/>
        </w:rPr>
        <w:t xml:space="preserve"> or heavily regulated systems of </w:t>
      </w:r>
      <w:r w:rsidRPr="00DD2D90">
        <w:rPr>
          <w:rStyle w:val="StyleUnderline"/>
        </w:rPr>
        <w:t>healthcare</w:t>
      </w:r>
      <w:r w:rsidRPr="009C4A5A">
        <w:rPr>
          <w:sz w:val="16"/>
        </w:rPr>
        <w:t xml:space="preserve">. </w:t>
      </w:r>
      <w:r w:rsidRPr="00DD2D90">
        <w:rPr>
          <w:rStyle w:val="StyleUnderline"/>
        </w:rPr>
        <w:t>In Russia, patients over 60 are considered worthless parasites and those over 70 are often denied even elementary forms of healthcare.</w:t>
      </w:r>
      <w:r w:rsidR="00271754" w:rsidRPr="00DD2D90">
        <w:rPr>
          <w:rStyle w:val="StyleUnderline"/>
        </w:rPr>
        <w:t xml:space="preserve"> </w:t>
      </w:r>
      <w:r w:rsidRPr="00DD2D90">
        <w:rPr>
          <w:rStyle w:val="StyleUnderline"/>
        </w:rPr>
        <w:t>In the United Kingdom</w:t>
      </w:r>
      <w:r w:rsidRPr="009C4A5A">
        <w:rPr>
          <w:sz w:val="16"/>
        </w:rPr>
        <w:t xml:space="preserve">, in the treatment of chronic kidney failure, </w:t>
      </w:r>
      <w:r w:rsidRPr="00DD2D90">
        <w:rPr>
          <w:rStyle w:val="StyleUnderline"/>
        </w:rPr>
        <w:t>those who are 55 years old are refused treatment at 35 percent of dialysis centers</w:t>
      </w:r>
      <w:r w:rsidRPr="009C4A5A">
        <w:rPr>
          <w:sz w:val="16"/>
        </w:rPr>
        <w:t xml:space="preserve">. </w:t>
      </w:r>
      <w:r w:rsidRPr="00DD2D90">
        <w:rPr>
          <w:rStyle w:val="StyleUnderline"/>
        </w:rPr>
        <w:t>Forty-five percent of 65-year-old patients at the centers are denied treatment, while patients 75 or older rarely receive any medical attention</w:t>
      </w:r>
      <w:r w:rsidRPr="009C4A5A">
        <w:rPr>
          <w:sz w:val="16"/>
        </w:rPr>
        <w:t xml:space="preserve"> at these centers.</w:t>
      </w:r>
      <w:r w:rsidR="00271754" w:rsidRPr="009C4A5A">
        <w:rPr>
          <w:sz w:val="16"/>
        </w:rPr>
        <w:t xml:space="preserve"> </w:t>
      </w:r>
      <w:r w:rsidRPr="00DD2D90">
        <w:rPr>
          <w:rStyle w:val="StyleUnderline"/>
        </w:rPr>
        <w:t>In Canada</w:t>
      </w:r>
      <w:r w:rsidRPr="009C4A5A">
        <w:rPr>
          <w:sz w:val="16"/>
        </w:rPr>
        <w:t>, the population is divided into three age groups in terms of their access to healthcare: those below 45, those 45–65, and those over 65. Needless to say, the first group, which could be called the “</w:t>
      </w:r>
      <w:r w:rsidRPr="00DD2D90">
        <w:rPr>
          <w:rStyle w:val="StyleUnderline"/>
        </w:rPr>
        <w:t>active taxpayers,” enjoys priority treatment.</w:t>
      </w:r>
      <w:r w:rsidR="00271754" w:rsidRPr="00DD2D90">
        <w:rPr>
          <w:rStyle w:val="StyleUnderline"/>
        </w:rPr>
        <w:t xml:space="preserve"> </w:t>
      </w:r>
      <w:r w:rsidRPr="009C4A5A">
        <w:rPr>
          <w:sz w:val="16"/>
        </w:rPr>
        <w:t>Advocates of socialized medicine in the United States use Soviet propaganda tactics to achieve their goals. Michael Moore is one of the most prominent and effective socialist propagandists in America. In his movie, Sicko, he unfairly and unfavorably compares healthcare for older patients in the United States with complex and incurable diseases to healthcare in France and Canada for young women having routine births. Had he done the reverse — i.e., compared healthcare for young women in the United States having babies to older patients with complex and incurable diseases in socialized healthcare systems — the movie would have been the same, except that the US healthcare system would look ideal, and the United Kingdom, Canada, and France would look barbaric.</w:t>
      </w:r>
      <w:r w:rsidR="00271754" w:rsidRPr="009C4A5A">
        <w:rPr>
          <w:sz w:val="16"/>
        </w:rPr>
        <w:t xml:space="preserve"> </w:t>
      </w:r>
      <w:r w:rsidRPr="009C4A5A">
        <w:rPr>
          <w:sz w:val="16"/>
        </w:rPr>
        <w:t>Now we in the United States are being prepared for discrimination in treatment of the elderly when it comes to healthcare. Ezekiel Emanuel is director of the Clinical Bioethics Department at the US National Institutes of Health and an architect of Obama’s healthcare-reform plan. He is also the brother of Rahm Emanuel, Obama’s White House chief of staff. Foster Friess reports that Ezekiel Emanuel has written that health services should not be guaranteed to</w:t>
      </w:r>
      <w:r w:rsidR="00271754" w:rsidRPr="009C4A5A">
        <w:rPr>
          <w:sz w:val="16"/>
        </w:rPr>
        <w:t xml:space="preserve"> </w:t>
      </w:r>
      <w:r w:rsidRPr="009C4A5A">
        <w:rPr>
          <w:sz w:val="16"/>
        </w:rPr>
        <w:t>individuals who are irreversibly prevented from being or becoming participating citizens. An obvious example is not guaranteeing health services to patients with dementia.3</w:t>
      </w:r>
      <w:r w:rsidR="00271754" w:rsidRPr="009C4A5A">
        <w:rPr>
          <w:sz w:val="16"/>
        </w:rPr>
        <w:t xml:space="preserve"> </w:t>
      </w:r>
      <w:r w:rsidRPr="009C4A5A">
        <w:rPr>
          <w:sz w:val="16"/>
        </w:rPr>
        <w:t>An equally troubling article, coauthored by Emanuel, appeared in the medical journal The Lancet in January 2009. The authors write that</w:t>
      </w:r>
      <w:r w:rsidR="00271754" w:rsidRPr="009C4A5A">
        <w:rPr>
          <w:sz w:val="16"/>
        </w:rPr>
        <w:t xml:space="preserve"> </w:t>
      </w:r>
      <w:r w:rsidRPr="009C4A5A">
        <w:rPr>
          <w:sz w:val="16"/>
        </w:rPr>
        <w:t>unlike allocation [of healthcare] by sex or race, allocation by age is not invidious discrimination; every person lives through different life stages rather than being a single age. Even if 25-year-olds receive priority over 65-year-olds, everyone who is 65 years now was previously 25 years. Treating 65-year-olds differently because of stereotypes or falsehoods would be ageist; treating them differently because they have already had more life-years is not.4</w:t>
      </w:r>
      <w:r w:rsidR="00271754" w:rsidRPr="009C4A5A">
        <w:rPr>
          <w:sz w:val="16"/>
        </w:rPr>
        <w:t xml:space="preserve"> </w:t>
      </w:r>
      <w:r w:rsidRPr="00DD2D90">
        <w:rPr>
          <w:rStyle w:val="StyleUnderline"/>
        </w:rPr>
        <w:t xml:space="preserve">Socialized medicine will create </w:t>
      </w:r>
      <w:r w:rsidRPr="00DD2D90">
        <w:rPr>
          <w:rStyle w:val="Emphasis"/>
        </w:rPr>
        <w:t>massive</w:t>
      </w:r>
      <w:r w:rsidRPr="00DD2D90">
        <w:rPr>
          <w:rStyle w:val="StyleUnderline"/>
        </w:rPr>
        <w:t xml:space="preserve"> government bureaucracies</w:t>
      </w:r>
      <w:r w:rsidRPr="009C4A5A">
        <w:rPr>
          <w:sz w:val="16"/>
        </w:rPr>
        <w:t xml:space="preserve"> — similar to our unified school districts — </w:t>
      </w:r>
      <w:r w:rsidRPr="00DD2D90">
        <w:rPr>
          <w:rStyle w:val="StyleUnderline"/>
        </w:rPr>
        <w:t>impose costly job-destroying mandates on employers to provide the coverage, and impose price controls that will inevitably lead to shortages and poor quality of service. It will also lead to nonprice rationing</w:t>
      </w:r>
      <w:r w:rsidRPr="009C4A5A">
        <w:rPr>
          <w:sz w:val="16"/>
        </w:rPr>
        <w:t xml:space="preserve"> (i.e., rationing </w:t>
      </w:r>
      <w:r w:rsidRPr="00DD2D90">
        <w:rPr>
          <w:rStyle w:val="StyleUnderline"/>
        </w:rPr>
        <w:t>based on political considerations, corruption, and nepotism</w:t>
      </w:r>
      <w:r w:rsidRPr="009C4A5A">
        <w:rPr>
          <w:sz w:val="16"/>
        </w:rPr>
        <w:t>) of healthcare by government bureaucrats.</w:t>
      </w:r>
      <w:r w:rsidR="00271754" w:rsidRPr="009C4A5A">
        <w:rPr>
          <w:sz w:val="16"/>
        </w:rPr>
        <w:t xml:space="preserve"> </w:t>
      </w:r>
      <w:r w:rsidRPr="00DD2D90">
        <w:rPr>
          <w:rStyle w:val="StyleUnderline"/>
        </w:rPr>
        <w:t>Real “savings” in a socialized healthcare system could be achieved only by squeezing providers and denying care — there is no other way to save</w:t>
      </w:r>
      <w:r w:rsidRPr="009C4A5A">
        <w:rPr>
          <w:sz w:val="16"/>
        </w:rPr>
        <w:t>. The same arguments were used to defend the cotton farming in the South prior to the Civil War. Slavery certainly “reduced costs” of labor, “eliminated the waste” of bargaining for wages, and avoided “unnecessary duplication and parallelism.”</w:t>
      </w:r>
      <w:r w:rsidR="00271754" w:rsidRPr="009C4A5A">
        <w:rPr>
          <w:sz w:val="16"/>
        </w:rPr>
        <w:t xml:space="preserve"> </w:t>
      </w:r>
      <w:r w:rsidRPr="009C4A5A">
        <w:rPr>
          <w:sz w:val="16"/>
        </w:rPr>
        <w:t>In supporting the call for socialized medicine, American healthcare professionals are like sheep demanding the wolf: they do not understand that the high cost of medical care in the United States is partially based on the fact that American healthcare professionals have the highest level of remuneration in the world. Another source of the high cost of our healthcare is existing government regulations on the industry, regulations that prevent competition from lowering the cost. Existing rules such as “certificates of need,” licensing, and other restrictions on the availability of healthcare services prevent competition and, therefore, result in higher prices and fewer services.</w:t>
      </w:r>
      <w:r w:rsidR="00271754" w:rsidRPr="009C4A5A">
        <w:rPr>
          <w:sz w:val="16"/>
        </w:rPr>
        <w:t xml:space="preserve"> </w:t>
      </w:r>
      <w:r w:rsidRPr="009C4A5A">
        <w:rPr>
          <w:sz w:val="16"/>
        </w:rPr>
        <w:t>Socialized medical systems have not served to raise general health or living standards anywhere. In fact, both analytical reasoning and empirical evidence point to the opposite conclusion. But the dismal failure of socialized medicine to raise people’s health and longevity has not affected its appeal for politicians, administrators, and their intellectual servants in search of absolute power and total control.</w:t>
      </w:r>
      <w:r w:rsidR="00271754" w:rsidRPr="009C4A5A">
        <w:rPr>
          <w:sz w:val="16"/>
        </w:rPr>
        <w:t xml:space="preserve"> </w:t>
      </w:r>
      <w:r w:rsidRPr="009C4A5A">
        <w:rPr>
          <w:sz w:val="16"/>
        </w:rPr>
        <w:t>Most countries enslaved by the Soviet empire moved out of a fully socialized system through privatization and insuring competition in the healthcare system. Others, including many European social democracies, intend to privatize the healthcare system in the long run and decentralize medical control. The private ownership of hospitals and other units is seen as a critical determining factor of the new, more efficient, and humane system.</w:t>
      </w:r>
      <w:r w:rsidR="00271754" w:rsidRPr="009C4A5A">
        <w:rPr>
          <w:sz w:val="16"/>
        </w:rPr>
        <w:t xml:space="preserve"> </w:t>
      </w:r>
    </w:p>
    <w:p w14:paraId="2A035941" w14:textId="77777777" w:rsidR="00F81E93" w:rsidRPr="009C4A5A" w:rsidRDefault="00F81E93">
      <w:pPr>
        <w:rPr>
          <w:rFonts w:eastAsiaTheme="majorEastAsia" w:cstheme="majorBidi"/>
          <w:b/>
          <w:iCs/>
          <w:sz w:val="16"/>
        </w:rPr>
      </w:pPr>
      <w:r w:rsidRPr="009C4A5A">
        <w:rPr>
          <w:sz w:val="16"/>
        </w:rPr>
        <w:br w:type="page"/>
      </w:r>
    </w:p>
    <w:p w14:paraId="46C5369B" w14:textId="50D582AF" w:rsidR="00C347B4" w:rsidRPr="009C4A5A" w:rsidRDefault="00B93956" w:rsidP="00C347B4">
      <w:pPr>
        <w:pStyle w:val="Heading4"/>
        <w:rPr>
          <w:szCs w:val="26"/>
        </w:rPr>
      </w:pPr>
      <w:r w:rsidRPr="009C4A5A">
        <w:rPr>
          <w:szCs w:val="26"/>
        </w:rPr>
        <w:t xml:space="preserve">Medicare for All undermines </w:t>
      </w:r>
      <w:r w:rsidR="00C347B4" w:rsidRPr="009C4A5A">
        <w:rPr>
          <w:szCs w:val="26"/>
        </w:rPr>
        <w:t xml:space="preserve">pandemic prevention </w:t>
      </w:r>
      <w:r w:rsidRPr="009C4A5A">
        <w:rPr>
          <w:szCs w:val="26"/>
        </w:rPr>
        <w:t>– markets encourage overproduction instead of bare-bones care, causing single-payer countries to be overwhelmed</w:t>
      </w:r>
    </w:p>
    <w:p w14:paraId="16CCC03D" w14:textId="69012E87" w:rsidR="00C347B4" w:rsidRPr="00DD2D90" w:rsidRDefault="00271754" w:rsidP="00C347B4">
      <w:r w:rsidRPr="009C4A5A">
        <w:rPr>
          <w:b/>
          <w:bCs/>
          <w:sz w:val="26"/>
          <w:szCs w:val="26"/>
        </w:rPr>
        <w:t>Tanner 20</w:t>
      </w:r>
      <w:r w:rsidRPr="00DD2D90">
        <w:t xml:space="preserve"> [</w:t>
      </w:r>
      <w:r w:rsidR="00C347B4" w:rsidRPr="00DD2D90">
        <w:t xml:space="preserve">Michael D. Tanner, </w:t>
      </w:r>
      <w:r w:rsidRPr="00DD2D90">
        <w:t xml:space="preserve">Cato Institute senior fellow, </w:t>
      </w:r>
      <w:r w:rsidR="00C347B4" w:rsidRPr="00DD2D90">
        <w:t>04-08-2020, “The COVID-19 Crisis Doesn’t Argue for Single‐​Payer Health Care,” Cato Institute, https://www.cato.org/commentary/covid-19-crisis-doesnt-argue-single-payer-health-care]/Kankee</w:t>
      </w:r>
    </w:p>
    <w:p w14:paraId="47F7952A" w14:textId="77777777" w:rsidR="00C347B4" w:rsidRPr="009C4A5A" w:rsidRDefault="00C347B4" w:rsidP="00271754">
      <w:pPr>
        <w:rPr>
          <w:sz w:val="16"/>
        </w:rPr>
      </w:pPr>
      <w:r w:rsidRPr="009C4A5A">
        <w:rPr>
          <w:sz w:val="16"/>
        </w:rPr>
        <w:t xml:space="preserve">As the Coronavirus crisis deepens, some have seized on it as evidence that the United States needs a government‐​run, single‐​payer health‐​care system. People are justifiably frightened and dissatisfied with our response to the pandemic. The holes in our current health‐​care system and safety net have been laid bare for all to see. As a result, a recent Morning Consult/Politico poll found that more than half of Americans now favor Medicare for All. But before we all rush off to join the Bernie Bros., maybe we should ask whether Medicare for All would really have made dealing with the Coronavirus easier. The United States was certainly unprepared for a pandemic of this magnitude and has been slow and disorganized in responding to it. But </w:t>
      </w:r>
      <w:r w:rsidRPr="00DD2D90">
        <w:rPr>
          <w:rStyle w:val="StyleUnderline"/>
        </w:rPr>
        <w:t>the most egregious errors have actually been made by government organizations, from the FDA to the CDC to FEMA,</w:t>
      </w:r>
      <w:r w:rsidRPr="009C4A5A">
        <w:rPr>
          <w:sz w:val="16"/>
        </w:rPr>
        <w:t xml:space="preserve"> while many of the </w:t>
      </w:r>
      <w:r w:rsidRPr="00DD2D90">
        <w:rPr>
          <w:rStyle w:val="StyleUnderline"/>
        </w:rPr>
        <w:t>breakthroughs</w:t>
      </w:r>
      <w:r w:rsidRPr="009C4A5A">
        <w:rPr>
          <w:sz w:val="16"/>
        </w:rPr>
        <w:t xml:space="preserve"> that we’ve seen, </w:t>
      </w:r>
      <w:r w:rsidRPr="00DD2D90">
        <w:rPr>
          <w:rStyle w:val="StyleUnderline"/>
        </w:rPr>
        <w:t>such as rapid tests</w:t>
      </w:r>
      <w:r w:rsidRPr="009C4A5A">
        <w:rPr>
          <w:sz w:val="16"/>
        </w:rPr>
        <w:t xml:space="preserve">, potential </w:t>
      </w:r>
      <w:r w:rsidRPr="00DD2D90">
        <w:rPr>
          <w:rStyle w:val="StyleUnderline"/>
        </w:rPr>
        <w:t>treatments, and</w:t>
      </w:r>
      <w:r w:rsidRPr="009C4A5A">
        <w:rPr>
          <w:sz w:val="16"/>
        </w:rPr>
        <w:t xml:space="preserve"> possible </w:t>
      </w:r>
      <w:r w:rsidRPr="00DD2D90">
        <w:rPr>
          <w:rStyle w:val="StyleUnderline"/>
        </w:rPr>
        <w:t>vaccines</w:t>
      </w:r>
      <w:r w:rsidRPr="009C4A5A">
        <w:rPr>
          <w:sz w:val="16"/>
        </w:rPr>
        <w:t xml:space="preserve">, have </w:t>
      </w:r>
      <w:r w:rsidRPr="00DD2D90">
        <w:rPr>
          <w:rStyle w:val="StyleUnderline"/>
        </w:rPr>
        <w:t>originated in the private sector</w:t>
      </w:r>
      <w:r w:rsidRPr="009C4A5A">
        <w:rPr>
          <w:sz w:val="16"/>
        </w:rPr>
        <w:t xml:space="preserve">. </w:t>
      </w:r>
      <w:r w:rsidRPr="00DD2D90">
        <w:rPr>
          <w:rStyle w:val="StyleUnderline"/>
        </w:rPr>
        <w:t>We might have seen even quicker results from the private sector without the government regulations and bureaucracy that slowed it down</w:t>
      </w:r>
      <w:r w:rsidRPr="009C4A5A">
        <w:rPr>
          <w:sz w:val="16"/>
        </w:rPr>
        <w:t xml:space="preserve">. </w:t>
      </w:r>
      <w:r w:rsidRPr="00DD2D90">
        <w:rPr>
          <w:rStyle w:val="StyleUnderline"/>
        </w:rPr>
        <w:t>Does anyone</w:t>
      </w:r>
      <w:r w:rsidRPr="009C4A5A">
        <w:rPr>
          <w:sz w:val="16"/>
        </w:rPr>
        <w:t xml:space="preserve"> really </w:t>
      </w:r>
      <w:r w:rsidRPr="00DD2D90">
        <w:rPr>
          <w:rStyle w:val="StyleUnderline"/>
        </w:rPr>
        <w:t>believe</w:t>
      </w:r>
      <w:r w:rsidRPr="009C4A5A">
        <w:rPr>
          <w:sz w:val="16"/>
        </w:rPr>
        <w:t xml:space="preserve"> that </w:t>
      </w:r>
      <w:r w:rsidRPr="00DD2D90">
        <w:rPr>
          <w:rStyle w:val="StyleUnderline"/>
        </w:rPr>
        <w:t>we should put the</w:t>
      </w:r>
      <w:r w:rsidRPr="009C4A5A">
        <w:rPr>
          <w:sz w:val="16"/>
        </w:rPr>
        <w:t xml:space="preserve"> same </w:t>
      </w:r>
      <w:r w:rsidRPr="00DD2D90">
        <w:rPr>
          <w:rStyle w:val="StyleUnderline"/>
        </w:rPr>
        <w:t>government that can’t manage</w:t>
      </w:r>
      <w:r w:rsidRPr="009C4A5A">
        <w:rPr>
          <w:sz w:val="16"/>
        </w:rPr>
        <w:t xml:space="preserve"> the acquisition and delivery of </w:t>
      </w:r>
      <w:r w:rsidRPr="00DD2D90">
        <w:rPr>
          <w:rStyle w:val="StyleUnderline"/>
        </w:rPr>
        <w:t xml:space="preserve">ventilators and personal protective equipment in charge of even more </w:t>
      </w:r>
      <w:r w:rsidRPr="009C4A5A">
        <w:rPr>
          <w:sz w:val="16"/>
        </w:rPr>
        <w:t xml:space="preserve">of our </w:t>
      </w:r>
      <w:r w:rsidRPr="00DD2D90">
        <w:rPr>
          <w:rStyle w:val="StyleUnderline"/>
        </w:rPr>
        <w:t>health‐​care</w:t>
      </w:r>
      <w:r w:rsidRPr="009C4A5A">
        <w:rPr>
          <w:sz w:val="16"/>
        </w:rPr>
        <w:t xml:space="preserve"> decisions? While some countries, especially in Asia, have responded better than others, that appears to be as much a question of tactics as of systemic design. </w:t>
      </w:r>
      <w:r w:rsidRPr="00DD2D90">
        <w:rPr>
          <w:rStyle w:val="StyleUnderline"/>
        </w:rPr>
        <w:t xml:space="preserve">In Europe, government‐​run, </w:t>
      </w:r>
      <w:r w:rsidRPr="00DD2D90">
        <w:rPr>
          <w:rStyle w:val="StyleUnderline"/>
          <w:highlight w:val="green"/>
        </w:rPr>
        <w:t>socialized health‐​care</w:t>
      </w:r>
      <w:r w:rsidRPr="00DD2D90">
        <w:rPr>
          <w:rStyle w:val="StyleUnderline"/>
        </w:rPr>
        <w:t xml:space="preserve"> systems from Italy to Spain </w:t>
      </w:r>
      <w:r w:rsidRPr="00DD2D90">
        <w:rPr>
          <w:rStyle w:val="StyleUnderline"/>
          <w:highlight w:val="green"/>
        </w:rPr>
        <w:t>have been every bit as overwhelmed as ours</w:t>
      </w:r>
      <w:r w:rsidRPr="009C4A5A">
        <w:rPr>
          <w:sz w:val="16"/>
        </w:rPr>
        <w:t xml:space="preserve">, if not more so. One should be skeptical of death rates, given the many well‐​documented limitations of the currently available data, but, notably, some </w:t>
      </w:r>
      <w:r w:rsidRPr="00DD2D90">
        <w:rPr>
          <w:rStyle w:val="StyleUnderline"/>
          <w:highlight w:val="green"/>
        </w:rPr>
        <w:t>countries</w:t>
      </w:r>
      <w:r w:rsidRPr="00DD2D90">
        <w:rPr>
          <w:rStyle w:val="StyleUnderline"/>
        </w:rPr>
        <w:t xml:space="preserve"> with government‐​run health care have </w:t>
      </w:r>
      <w:r w:rsidRPr="00DD2D90">
        <w:rPr>
          <w:rStyle w:val="StyleUnderline"/>
          <w:highlight w:val="green"/>
        </w:rPr>
        <w:t>reported higher mortality rates</w:t>
      </w:r>
      <w:r w:rsidRPr="00DD2D90">
        <w:rPr>
          <w:rStyle w:val="StyleUnderline"/>
        </w:rPr>
        <w:t xml:space="preserve"> </w:t>
      </w:r>
      <w:r w:rsidRPr="00DD2D90">
        <w:rPr>
          <w:rStyle w:val="StyleUnderline"/>
          <w:highlight w:val="green"/>
        </w:rPr>
        <w:t>than the U.S</w:t>
      </w:r>
      <w:r w:rsidRPr="00DD2D90">
        <w:rPr>
          <w:rStyle w:val="StyleUnderline"/>
        </w:rPr>
        <w:t>.</w:t>
      </w:r>
      <w:r w:rsidRPr="009C4A5A">
        <w:rPr>
          <w:sz w:val="16"/>
        </w:rPr>
        <w:t xml:space="preserve"> Indeed, </w:t>
      </w:r>
      <w:r w:rsidRPr="00DD2D90">
        <w:rPr>
          <w:rStyle w:val="StyleUnderline"/>
        </w:rPr>
        <w:t>by some metrics we may have been better positioned to absorb a crisis like this one than many other countries</w:t>
      </w:r>
      <w:r w:rsidRPr="009C4A5A">
        <w:rPr>
          <w:sz w:val="16"/>
        </w:rPr>
        <w:t xml:space="preserve">. According to the National Center for Biotechnology Information, </w:t>
      </w:r>
      <w:r w:rsidRPr="00DD2D90">
        <w:rPr>
          <w:rStyle w:val="StyleUnderline"/>
          <w:highlight w:val="green"/>
        </w:rPr>
        <w:t>the</w:t>
      </w:r>
      <w:r w:rsidRPr="00DD2D90">
        <w:rPr>
          <w:rStyle w:val="StyleUnderline"/>
        </w:rPr>
        <w:t xml:space="preserve"> </w:t>
      </w:r>
      <w:r w:rsidRPr="00DD2D90">
        <w:rPr>
          <w:rStyle w:val="StyleUnderline"/>
          <w:highlight w:val="green"/>
        </w:rPr>
        <w:t>U</w:t>
      </w:r>
      <w:r w:rsidRPr="00DD2D90">
        <w:rPr>
          <w:rStyle w:val="StyleUnderline"/>
        </w:rPr>
        <w:t xml:space="preserve">nited </w:t>
      </w:r>
      <w:r w:rsidRPr="00DD2D90">
        <w:rPr>
          <w:rStyle w:val="StyleUnderline"/>
          <w:highlight w:val="green"/>
        </w:rPr>
        <w:t>S</w:t>
      </w:r>
      <w:r w:rsidRPr="00DD2D90">
        <w:rPr>
          <w:rStyle w:val="StyleUnderline"/>
        </w:rPr>
        <w:t xml:space="preserve">tates </w:t>
      </w:r>
      <w:r w:rsidRPr="00DD2D90">
        <w:rPr>
          <w:rStyle w:val="StyleUnderline"/>
          <w:highlight w:val="green"/>
        </w:rPr>
        <w:t>has the most ICU beds per capita</w:t>
      </w:r>
      <w:r w:rsidRPr="00DD2D90">
        <w:rPr>
          <w:rStyle w:val="StyleUnderline"/>
        </w:rPr>
        <w:t xml:space="preserve"> of any country studied; </w:t>
      </w:r>
      <w:r w:rsidRPr="00DD2D90">
        <w:rPr>
          <w:rStyle w:val="StyleUnderline"/>
          <w:highlight w:val="green"/>
        </w:rPr>
        <w:t>Italy has only two‐​thirds as many, and 11 percent fewer ventilators</w:t>
      </w:r>
      <w:r w:rsidRPr="009C4A5A">
        <w:rPr>
          <w:sz w:val="16"/>
        </w:rPr>
        <w:t xml:space="preserve">. In Canada, often pointed to as a model by Medicare for All advocates, nearly </w:t>
      </w:r>
      <w:r w:rsidRPr="00DD2D90">
        <w:rPr>
          <w:rStyle w:val="StyleUnderline"/>
          <w:highlight w:val="green"/>
        </w:rPr>
        <w:t xml:space="preserve">half of Ontario’s acute‐​care hospitals were </w:t>
      </w:r>
      <w:r w:rsidRPr="00DD2D90">
        <w:rPr>
          <w:rStyle w:val="Emphasis"/>
          <w:highlight w:val="green"/>
        </w:rPr>
        <w:t>over 100 percent</w:t>
      </w:r>
      <w:r w:rsidRPr="00DD2D90">
        <w:rPr>
          <w:rStyle w:val="StyleUnderline"/>
          <w:highlight w:val="green"/>
        </w:rPr>
        <w:t xml:space="preserve"> capacity</w:t>
      </w:r>
      <w:r w:rsidRPr="00DD2D90">
        <w:rPr>
          <w:rStyle w:val="StyleUnderline"/>
        </w:rPr>
        <w:t xml:space="preserve"> </w:t>
      </w:r>
      <w:r w:rsidRPr="009C4A5A">
        <w:rPr>
          <w:sz w:val="16"/>
        </w:rPr>
        <w:t xml:space="preserve">during the first six months of last year. Roughly </w:t>
      </w:r>
      <w:r w:rsidRPr="00DD2D90">
        <w:rPr>
          <w:rStyle w:val="StyleUnderline"/>
        </w:rPr>
        <w:t>a quarter of the province’s hospitals average more than 100 percent of capacity</w:t>
      </w:r>
      <w:r w:rsidRPr="009C4A5A">
        <w:rPr>
          <w:sz w:val="16"/>
        </w:rPr>
        <w:t xml:space="preserve">. Pity the poor health‐​care professional who must respond to a pandemic when his hospital is already stuffed to the gills with patients. Britain’s National Health Service didn’t come into this crisis in much better shape. </w:t>
      </w:r>
      <w:r w:rsidRPr="00DD2D90">
        <w:rPr>
          <w:rStyle w:val="StyleUnderline"/>
          <w:highlight w:val="green"/>
        </w:rPr>
        <w:t>The NHS has</w:t>
      </w:r>
      <w:r w:rsidRPr="00DD2D90">
        <w:rPr>
          <w:rStyle w:val="StyleUnderline"/>
        </w:rPr>
        <w:t xml:space="preserve"> long </w:t>
      </w:r>
      <w:r w:rsidRPr="00DD2D90">
        <w:rPr>
          <w:rStyle w:val="StyleUnderline"/>
          <w:highlight w:val="green"/>
        </w:rPr>
        <w:t>had a problem handling</w:t>
      </w:r>
      <w:r w:rsidRPr="00DD2D90">
        <w:rPr>
          <w:rStyle w:val="StyleUnderline"/>
        </w:rPr>
        <w:t xml:space="preserve"> even outbreaks of </w:t>
      </w:r>
      <w:r w:rsidRPr="00DD2D90">
        <w:rPr>
          <w:rStyle w:val="StyleUnderline"/>
          <w:highlight w:val="green"/>
        </w:rPr>
        <w:t>the flu</w:t>
      </w:r>
      <w:r w:rsidRPr="009C4A5A">
        <w:rPr>
          <w:sz w:val="16"/>
        </w:rPr>
        <w:t xml:space="preserve">; during the 2018–19 flu season in Britain, </w:t>
      </w:r>
      <w:r w:rsidRPr="00DD2D90">
        <w:rPr>
          <w:rStyle w:val="StyleUnderline"/>
        </w:rPr>
        <w:t>one out of four patients waited more than four hours in an emergency room, and 11 percent of ambulances transporting patients were forced to wait outside the hospital for 30 minutes or longer</w:t>
      </w:r>
      <w:r w:rsidRPr="009C4A5A">
        <w:rPr>
          <w:sz w:val="16"/>
        </w:rPr>
        <w:t xml:space="preserve">. The U.S. is often criticized for spending far more on health care than other countries. In part, this is because most </w:t>
      </w:r>
      <w:r w:rsidRPr="00DD2D90">
        <w:rPr>
          <w:rStyle w:val="StyleUnderline"/>
          <w:highlight w:val="green"/>
        </w:rPr>
        <w:t>single‐​payer systems hold down costs by imposing capital controls</w:t>
      </w:r>
      <w:r w:rsidRPr="00DD2D90">
        <w:rPr>
          <w:rStyle w:val="StyleUnderline"/>
        </w:rPr>
        <w:t xml:space="preserve"> in order </w:t>
      </w:r>
      <w:r w:rsidRPr="00DD2D90">
        <w:rPr>
          <w:rStyle w:val="StyleUnderline"/>
          <w:highlight w:val="green"/>
        </w:rPr>
        <w:t>to limit</w:t>
      </w:r>
      <w:r w:rsidRPr="00DD2D90">
        <w:rPr>
          <w:rStyle w:val="StyleUnderline"/>
        </w:rPr>
        <w:t xml:space="preserve"> overall health‐​care </w:t>
      </w:r>
      <w:r w:rsidRPr="00DD2D90">
        <w:rPr>
          <w:rStyle w:val="StyleUnderline"/>
          <w:highlight w:val="green"/>
        </w:rPr>
        <w:t>spending</w:t>
      </w:r>
      <w:r w:rsidRPr="009C4A5A">
        <w:rPr>
          <w:sz w:val="16"/>
        </w:rPr>
        <w:t xml:space="preserve">. </w:t>
      </w:r>
      <w:r w:rsidRPr="00DD2D90">
        <w:rPr>
          <w:rStyle w:val="StyleUnderline"/>
          <w:highlight w:val="green"/>
        </w:rPr>
        <w:t>This can</w:t>
      </w:r>
      <w:r w:rsidRPr="009C4A5A">
        <w:rPr>
          <w:sz w:val="16"/>
        </w:rPr>
        <w:t xml:space="preserve">, in turn, </w:t>
      </w:r>
      <w:r w:rsidRPr="00DD2D90">
        <w:rPr>
          <w:rStyle w:val="StyleUnderline"/>
          <w:highlight w:val="green"/>
        </w:rPr>
        <w:t>limit</w:t>
      </w:r>
      <w:r w:rsidRPr="00DD2D90">
        <w:rPr>
          <w:rStyle w:val="StyleUnderline"/>
        </w:rPr>
        <w:t xml:space="preserve"> the availability of </w:t>
      </w:r>
      <w:r w:rsidRPr="00DD2D90">
        <w:rPr>
          <w:rStyle w:val="StyleUnderline"/>
          <w:highlight w:val="green"/>
        </w:rPr>
        <w:t>hospital beds and</w:t>
      </w:r>
      <w:r w:rsidRPr="00DD2D90">
        <w:rPr>
          <w:rStyle w:val="StyleUnderline"/>
        </w:rPr>
        <w:t xml:space="preserve"> life‐​saving equipment such as </w:t>
      </w:r>
      <w:r w:rsidRPr="00DD2D90">
        <w:rPr>
          <w:rStyle w:val="StyleUnderline"/>
          <w:highlight w:val="green"/>
        </w:rPr>
        <w:t>ventilators</w:t>
      </w:r>
      <w:r w:rsidRPr="009C4A5A">
        <w:rPr>
          <w:sz w:val="16"/>
        </w:rPr>
        <w:t xml:space="preserve">. In normal times, the there’s a legitimate debate to be had about whether the U.S. overconsumes health care. But when a pandemic hits, those </w:t>
      </w:r>
      <w:r w:rsidRPr="00DD2D90">
        <w:rPr>
          <w:rStyle w:val="StyleUnderline"/>
        </w:rPr>
        <w:t xml:space="preserve">extra resources can make a </w:t>
      </w:r>
      <w:r w:rsidRPr="00DD2D90">
        <w:rPr>
          <w:rStyle w:val="Emphasis"/>
        </w:rPr>
        <w:t>huge difference</w:t>
      </w:r>
      <w:r w:rsidRPr="009C4A5A">
        <w:rPr>
          <w:sz w:val="16"/>
        </w:rPr>
        <w:t xml:space="preserve"> — and Bernie Sanders’s </w:t>
      </w:r>
      <w:r w:rsidRPr="00DD2D90">
        <w:rPr>
          <w:rStyle w:val="StyleUnderline"/>
          <w:highlight w:val="green"/>
        </w:rPr>
        <w:t>Medicare‐​for‐​All</w:t>
      </w:r>
      <w:r w:rsidRPr="009C4A5A">
        <w:rPr>
          <w:sz w:val="16"/>
        </w:rPr>
        <w:t xml:space="preserve"> plan </w:t>
      </w:r>
      <w:r w:rsidRPr="00DD2D90">
        <w:rPr>
          <w:rStyle w:val="StyleUnderline"/>
          <w:highlight w:val="green"/>
        </w:rPr>
        <w:t>would</w:t>
      </w:r>
      <w:r w:rsidRPr="009C4A5A">
        <w:rPr>
          <w:sz w:val="16"/>
        </w:rPr>
        <w:t xml:space="preserve">, according to analysts, </w:t>
      </w:r>
      <w:r w:rsidRPr="00DD2D90">
        <w:rPr>
          <w:rStyle w:val="StyleUnderline"/>
          <w:highlight w:val="green"/>
        </w:rPr>
        <w:t>require a 40 percent reduction in reimbursements</w:t>
      </w:r>
      <w:r w:rsidRPr="00DD2D90">
        <w:rPr>
          <w:rStyle w:val="StyleUnderline"/>
        </w:rPr>
        <w:t xml:space="preserve"> to health‐​care providers</w:t>
      </w:r>
      <w:r w:rsidRPr="009C4A5A">
        <w:rPr>
          <w:sz w:val="16"/>
        </w:rPr>
        <w:t xml:space="preserve">, almost certainly </w:t>
      </w:r>
      <w:r w:rsidRPr="00DD2D90">
        <w:rPr>
          <w:rStyle w:val="StyleUnderline"/>
          <w:highlight w:val="green"/>
        </w:rPr>
        <w:t>leading to fewer doctors, nurses, and hospital</w:t>
      </w:r>
      <w:r w:rsidRPr="00DD2D90">
        <w:rPr>
          <w:rStyle w:val="StyleUnderline"/>
        </w:rPr>
        <w:t xml:space="preserve"> </w:t>
      </w:r>
      <w:r w:rsidRPr="00DD2D90">
        <w:rPr>
          <w:rStyle w:val="StyleUnderline"/>
          <w:highlight w:val="green"/>
        </w:rPr>
        <w:t>beds</w:t>
      </w:r>
      <w:r w:rsidRPr="009C4A5A">
        <w:rPr>
          <w:sz w:val="16"/>
        </w:rPr>
        <w:t xml:space="preserve">. The really galling fact is that, even after those cuts, Sanders’s plan would still cost more than $36 trillion over the next ten years. How, exactly, do we expect to pay for that? Having just passed a $2 trillion stimulus to deal with the pandemic and its economic fallout, are we going to borrow more? Are we going to impose new taxes on businesses that are struggling to come back from the brink? While some low‐​income workers and small businesses might come out ahead on net, since they wouldn’t have to pay premiums, the overall cost would place an enormous burden on the economy at a time when we can least afford to do so. Obviously, the United States health‐​care system needs to do better. We need to rethink our attachment to employer‐​provided insurance, and we may need to do a better job of subsidizing health care for those who can’t afford it. Certificate‐​of‐​need laws should be repealed and the scope of practice expanded for allied health professionals. We should make it easier for foreign doctors to practice here, and rein in the FDA. We can and should learn from the failures of our response to this crisis. But Medicare for All would not have spared us the pain of this pandemic. </w:t>
      </w:r>
    </w:p>
    <w:p w14:paraId="5F7280D4" w14:textId="00223E29" w:rsidR="00C347B4" w:rsidRPr="009C4A5A" w:rsidRDefault="00C347B4">
      <w:pPr>
        <w:rPr>
          <w:rFonts w:eastAsiaTheme="majorEastAsia" w:cstheme="majorBidi"/>
          <w:b/>
          <w:iCs/>
          <w:sz w:val="16"/>
        </w:rPr>
      </w:pPr>
    </w:p>
    <w:p w14:paraId="5D33A823" w14:textId="77777777" w:rsidR="00B0589A" w:rsidRPr="009C4A5A" w:rsidRDefault="00B0589A">
      <w:pPr>
        <w:rPr>
          <w:rFonts w:eastAsiaTheme="majorEastAsia" w:cstheme="majorBidi"/>
          <w:b/>
          <w:iCs/>
          <w:sz w:val="16"/>
        </w:rPr>
      </w:pPr>
      <w:r w:rsidRPr="009C4A5A">
        <w:rPr>
          <w:sz w:val="16"/>
        </w:rPr>
        <w:br w:type="page"/>
      </w:r>
    </w:p>
    <w:p w14:paraId="0AE9CB56" w14:textId="5D86AF53" w:rsidR="00F63522" w:rsidRPr="00D05211" w:rsidRDefault="00F63522" w:rsidP="00F63522">
      <w:pPr>
        <w:pStyle w:val="Heading3"/>
        <w:rPr>
          <w:rFonts w:ascii="Arial Black" w:hAnsi="Arial Black"/>
          <w:color w:val="B43E1F"/>
          <w:szCs w:val="32"/>
        </w:rPr>
      </w:pPr>
      <w:r w:rsidRPr="00D05211">
        <w:rPr>
          <w:rFonts w:ascii="Arial Black" w:hAnsi="Arial Black"/>
          <w:color w:val="B43E1F"/>
          <w:szCs w:val="32"/>
        </w:rPr>
        <w:t xml:space="preserve">Contention 4: </w:t>
      </w:r>
      <w:r w:rsidR="00914260" w:rsidRPr="00D05211">
        <w:rPr>
          <w:rFonts w:ascii="Arial Black" w:hAnsi="Arial Black"/>
          <w:color w:val="B43E1F"/>
          <w:szCs w:val="32"/>
        </w:rPr>
        <w:t>Rural Doctors</w:t>
      </w:r>
    </w:p>
    <w:bookmarkEnd w:id="0"/>
    <w:p w14:paraId="3B86B307" w14:textId="6AF1EAC6" w:rsidR="0053268C" w:rsidRPr="009C4A5A" w:rsidRDefault="00DD6CBE" w:rsidP="0053268C">
      <w:pPr>
        <w:pStyle w:val="Heading4"/>
        <w:rPr>
          <w:szCs w:val="26"/>
        </w:rPr>
      </w:pPr>
      <w:r w:rsidRPr="009C4A5A">
        <w:rPr>
          <w:szCs w:val="26"/>
        </w:rPr>
        <w:t>Central planning in healthcare results in one-size fits all policies that can’t address unique needs in rural communities</w:t>
      </w:r>
    </w:p>
    <w:p w14:paraId="398EF088" w14:textId="77777777" w:rsidR="0053268C" w:rsidRPr="00DD2D90" w:rsidRDefault="0053268C" w:rsidP="0053268C">
      <w:r w:rsidRPr="009C4A5A">
        <w:rPr>
          <w:b/>
          <w:bCs/>
          <w:sz w:val="26"/>
          <w:szCs w:val="26"/>
        </w:rPr>
        <w:t>Pesut et al. 12</w:t>
      </w:r>
      <w:r w:rsidRPr="00DD2D90">
        <w:t xml:space="preserve"> [Barbara Pesut, Assistant Professor and RN with a PhD, Frances Beswick, RN and Infection Prevention and Control Practitioner at the Northern Health Authority, Carole A. Robinson, Associate Professor and RN with a PhD, and Joan L. Bottorf, Professor at the School of Nursing and Director at the Institute for Healthy Living and Chronic Disease Prevention at the University of British Columbia, 2012, “Philosophizing social justice in rural palliative care: Hayek’s moral stone?” Nursing Philosophy, https://sci-hub.ru/10.1111/j.1466-769X.2011.00519.x]/Kankee</w:t>
      </w:r>
    </w:p>
    <w:p w14:paraId="3BAE54D8" w14:textId="77777777" w:rsidR="0053268C" w:rsidRPr="009C4A5A" w:rsidRDefault="0053268C" w:rsidP="0053268C">
      <w:pPr>
        <w:rPr>
          <w:sz w:val="16"/>
        </w:rPr>
      </w:pPr>
      <w:r w:rsidRPr="009C4A5A">
        <w:rPr>
          <w:sz w:val="16"/>
        </w:rPr>
        <w:t xml:space="preserve">Hayek’s arguments substantiated within rural palliative care Ideas of dying well, such as dying at home, open dis- cussions in advance of anticipated care decisions, and aggressive symptom management, are apparent throughout our study data. Informants spoke elo- quently of these ideals and how they worked to bring them to pass in their community. In each community there was a group of citizens passionate about pallia- tive care who gave significant resources, both in time and money, to build capacity for good palliative care in their community. Participants who were healthcare administrators too spoke of their commitment to pal- liative care. But at times these </w:t>
      </w:r>
      <w:r w:rsidRPr="00DD2D90">
        <w:rPr>
          <w:rStyle w:val="StyleUnderline"/>
          <w:highlight w:val="green"/>
        </w:rPr>
        <w:t>administrators experi- enced a tension between their obligations to the Health Authority and</w:t>
      </w:r>
      <w:r w:rsidRPr="009C4A5A">
        <w:rPr>
          <w:sz w:val="16"/>
        </w:rPr>
        <w:t xml:space="preserve"> the powerful palliative lobby that existed within </w:t>
      </w:r>
      <w:r w:rsidRPr="00DD2D90">
        <w:rPr>
          <w:rStyle w:val="StyleUnderline"/>
          <w:highlight w:val="green"/>
        </w:rPr>
        <w:t>their communities</w:t>
      </w:r>
      <w:r w:rsidRPr="009C4A5A">
        <w:rPr>
          <w:sz w:val="16"/>
        </w:rPr>
        <w:t xml:space="preserve">. Indeed, these administrators were in particularly difficult positions because they were usually members of the commu- nity and had a deep sense of loyalty to the community, but were also accountable to the Health Authority decision-makers located outside of the community. </w:t>
      </w:r>
      <w:r w:rsidRPr="00DD2D90">
        <w:rPr>
          <w:rStyle w:val="StyleUnderline"/>
        </w:rPr>
        <w:t xml:space="preserve">This </w:t>
      </w:r>
      <w:r w:rsidRPr="00DD2D90">
        <w:rPr>
          <w:rStyle w:val="StyleUnderline"/>
          <w:highlight w:val="green"/>
        </w:rPr>
        <w:t>tension</w:t>
      </w:r>
      <w:r w:rsidRPr="00DD2D90">
        <w:rPr>
          <w:rStyle w:val="StyleUnderline"/>
        </w:rPr>
        <w:t xml:space="preserve"> between</w:t>
      </w:r>
      <w:r w:rsidRPr="009C4A5A">
        <w:rPr>
          <w:sz w:val="16"/>
        </w:rPr>
        <w:t xml:space="preserve"> the grassroots </w:t>
      </w:r>
      <w:r w:rsidRPr="00DD2D90">
        <w:rPr>
          <w:rStyle w:val="StyleUnderline"/>
        </w:rPr>
        <w:t>community</w:t>
      </w:r>
      <w:r w:rsidRPr="009C4A5A">
        <w:rPr>
          <w:sz w:val="16"/>
        </w:rPr>
        <w:t xml:space="preserve"> groups </w:t>
      </w:r>
      <w:r w:rsidRPr="00DD2D90">
        <w:rPr>
          <w:rStyle w:val="StyleUnderline"/>
        </w:rPr>
        <w:t>and</w:t>
      </w:r>
      <w:r w:rsidRPr="009C4A5A">
        <w:rPr>
          <w:sz w:val="16"/>
        </w:rPr>
        <w:t xml:space="preserve"> the </w:t>
      </w:r>
      <w:r w:rsidRPr="00DD2D90">
        <w:rPr>
          <w:rStyle w:val="StyleUnderline"/>
        </w:rPr>
        <w:t>decision</w:t>
      </w:r>
      <w:r w:rsidRPr="009C4A5A">
        <w:rPr>
          <w:sz w:val="16"/>
        </w:rPr>
        <w:t xml:space="preserve"> makers working on behalf of the Health Authority </w:t>
      </w:r>
      <w:r w:rsidRPr="00DD2D90">
        <w:rPr>
          <w:rStyle w:val="StyleUnderline"/>
          <w:highlight w:val="green"/>
        </w:rPr>
        <w:t>illustrate</w:t>
      </w:r>
      <w:r w:rsidRPr="009C4A5A">
        <w:rPr>
          <w:sz w:val="16"/>
        </w:rPr>
        <w:t xml:space="preserve"> well what Hayek con- siders </w:t>
      </w:r>
      <w:r w:rsidRPr="00DD2D90">
        <w:rPr>
          <w:rStyle w:val="StyleUnderline"/>
          <w:highlight w:val="green"/>
        </w:rPr>
        <w:t>the</w:t>
      </w:r>
      <w:r w:rsidRPr="00DD2D90">
        <w:rPr>
          <w:rStyle w:val="StyleUnderline"/>
        </w:rPr>
        <w:t xml:space="preserve"> inherent </w:t>
      </w:r>
      <w:r w:rsidRPr="00DD2D90">
        <w:rPr>
          <w:rStyle w:val="StyleUnderline"/>
          <w:highlight w:val="green"/>
        </w:rPr>
        <w:t>risks of a social justice approach to solve social</w:t>
      </w:r>
      <w:r w:rsidRPr="00DD2D90">
        <w:rPr>
          <w:rStyle w:val="StyleUnderline"/>
        </w:rPr>
        <w:t xml:space="preserve"> </w:t>
      </w:r>
      <w:r w:rsidRPr="00DD2D90">
        <w:rPr>
          <w:rStyle w:val="StyleUnderline"/>
          <w:highlight w:val="green"/>
        </w:rPr>
        <w:t>challenges</w:t>
      </w:r>
      <w:r w:rsidRPr="009C4A5A">
        <w:rPr>
          <w:sz w:val="16"/>
        </w:rPr>
        <w:t xml:space="preserve">. Indeed, an expression that arose numerous times in our data referred to the Health Authority ‘in all its wisdom’. In using this expression participants were expressing a profound dissatisfaction with the impact of the decisions made by the Health Authority on their behalf. The irony of course is that in this expression, like moral stones, </w:t>
      </w:r>
      <w:r w:rsidRPr="00DD2D90">
        <w:rPr>
          <w:rStyle w:val="StyleUnderline"/>
          <w:highlight w:val="green"/>
        </w:rPr>
        <w:t>participants were assigning the absence of wisdom to an impersonal Health Authority</w:t>
      </w:r>
      <w:r w:rsidRPr="009C4A5A">
        <w:rPr>
          <w:sz w:val="16"/>
        </w:rPr>
        <w:t xml:space="preserve">. Three palliative ideals, home death, aggressive treatment of symptoms, and advance care planning were particularly illustrative of Hayek’s critiques. We will focus on each of these in turn to illustrate how </w:t>
      </w:r>
      <w:r w:rsidRPr="00DD2D90">
        <w:rPr>
          <w:rStyle w:val="StyleUnderline"/>
        </w:rPr>
        <w:t xml:space="preserve">solutions enacted through </w:t>
      </w:r>
      <w:r w:rsidRPr="00DD2D90">
        <w:rPr>
          <w:rStyle w:val="StyleUnderline"/>
          <w:highlight w:val="green"/>
        </w:rPr>
        <w:t>a</w:t>
      </w:r>
      <w:r w:rsidRPr="00DD2D90">
        <w:rPr>
          <w:rStyle w:val="StyleUnderline"/>
        </w:rPr>
        <w:t xml:space="preserve"> governing </w:t>
      </w:r>
      <w:r w:rsidRPr="00DD2D90">
        <w:rPr>
          <w:rStyle w:val="StyleUnderline"/>
          <w:highlight w:val="green"/>
        </w:rPr>
        <w:t>institution may result in unintended consequences that</w:t>
      </w:r>
      <w:r w:rsidRPr="00DD2D90">
        <w:rPr>
          <w:rStyle w:val="StyleUnderline"/>
        </w:rPr>
        <w:t xml:space="preserve"> in turn </w:t>
      </w:r>
      <w:r w:rsidRPr="00DD2D90">
        <w:rPr>
          <w:rStyle w:val="StyleUnderline"/>
          <w:highlight w:val="green"/>
        </w:rPr>
        <w:t>inhibit spontaneous order and restrict individual</w:t>
      </w:r>
      <w:r w:rsidRPr="00DD2D90">
        <w:rPr>
          <w:rStyle w:val="StyleUnderline"/>
        </w:rPr>
        <w:t xml:space="preserve"> </w:t>
      </w:r>
      <w:r w:rsidRPr="009C4A5A">
        <w:rPr>
          <w:sz w:val="16"/>
        </w:rPr>
        <w:t>choice or</w:t>
      </w:r>
      <w:r w:rsidRPr="00DD2D90">
        <w:rPr>
          <w:rStyle w:val="StyleUnderline"/>
        </w:rPr>
        <w:t xml:space="preserve"> </w:t>
      </w:r>
      <w:r w:rsidRPr="00DD2D90">
        <w:rPr>
          <w:rStyle w:val="StyleUnderline"/>
          <w:highlight w:val="green"/>
        </w:rPr>
        <w:t>moral responsibility</w:t>
      </w:r>
      <w:r w:rsidRPr="009C4A5A">
        <w:rPr>
          <w:sz w:val="16"/>
        </w:rPr>
        <w:t xml:space="preserve">. What our data suggests is that </w:t>
      </w:r>
      <w:r w:rsidRPr="00DD2D90">
        <w:rPr>
          <w:rStyle w:val="StyleUnderline"/>
          <w:highlight w:val="green"/>
        </w:rPr>
        <w:t>externally imposed solutions</w:t>
      </w:r>
      <w:r w:rsidRPr="00DD2D90">
        <w:rPr>
          <w:rStyle w:val="StyleUnderline"/>
        </w:rPr>
        <w:t xml:space="preserve"> to address or enable these ideals </w:t>
      </w:r>
      <w:r w:rsidRPr="00DD2D90">
        <w:rPr>
          <w:rStyle w:val="StyleUnderline"/>
          <w:highlight w:val="green"/>
        </w:rPr>
        <w:t>may not work well for rural communities</w:t>
      </w:r>
      <w:r w:rsidRPr="009C4A5A">
        <w:rPr>
          <w:sz w:val="16"/>
        </w:rPr>
        <w:t xml:space="preserve">, and that </w:t>
      </w:r>
      <w:r w:rsidRPr="00DD2D90">
        <w:rPr>
          <w:rStyle w:val="StyleUnderline"/>
        </w:rPr>
        <w:t>while individuals</w:t>
      </w:r>
      <w:r w:rsidRPr="009C4A5A">
        <w:rPr>
          <w:sz w:val="16"/>
        </w:rPr>
        <w:t xml:space="preserve"> work creatively to </w:t>
      </w:r>
      <w:r w:rsidRPr="00DD2D90">
        <w:rPr>
          <w:rStyle w:val="StyleUnderline"/>
        </w:rPr>
        <w:t>circum- vent</w:t>
      </w:r>
      <w:r w:rsidRPr="009C4A5A">
        <w:rPr>
          <w:sz w:val="16"/>
        </w:rPr>
        <w:t xml:space="preserve"> the </w:t>
      </w:r>
      <w:r w:rsidRPr="00DD2D90">
        <w:rPr>
          <w:rStyle w:val="StyleUnderline"/>
        </w:rPr>
        <w:t>adverse consequences,</w:t>
      </w:r>
      <w:r w:rsidRPr="009C4A5A">
        <w:rPr>
          <w:sz w:val="16"/>
        </w:rPr>
        <w:t xml:space="preserve"> the amount of </w:t>
      </w:r>
      <w:r w:rsidRPr="00DD2D90">
        <w:rPr>
          <w:rStyle w:val="StyleUnderline"/>
        </w:rPr>
        <w:t xml:space="preserve">energy that goes into doing this would better serve </w:t>
      </w:r>
      <w:r w:rsidRPr="009C4A5A">
        <w:rPr>
          <w:sz w:val="16"/>
        </w:rPr>
        <w:t xml:space="preserve">more organic developments within </w:t>
      </w:r>
      <w:r w:rsidRPr="00DD2D90">
        <w:rPr>
          <w:rStyle w:val="StyleUnderline"/>
        </w:rPr>
        <w:t>the community</w:t>
      </w:r>
      <w:r w:rsidRPr="009C4A5A">
        <w:rPr>
          <w:sz w:val="16"/>
        </w:rPr>
        <w:t xml:space="preserve">. The ideal of a home death We learned quickly in our study, and somewhat to our surprise, that a home death in rural areas is often not the preferred option. In one community, participants viewed admission to hospital in the last 48 h as highly appropriate. </w:t>
      </w:r>
      <w:r w:rsidRPr="00DD2D90">
        <w:rPr>
          <w:rStyle w:val="StyleUnderline"/>
        </w:rPr>
        <w:t>When individuals live distant from healthcare expertise, the preferred death may be an institutional one</w:t>
      </w:r>
      <w:r w:rsidRPr="009C4A5A">
        <w:rPr>
          <w:sz w:val="16"/>
        </w:rPr>
        <w:t xml:space="preserve">. This preference is understandable when one considers that unlike urban areas where hospitals are unfamiliar and full of strangers, in rural areas the hospital may be familiar territory. The facil- ity is often one where patients and families have visited many loved ones and given generously to over the years. They may know the staff, and those they do not know, they quickly get to know because of the stability in staffing. However, with the visibility of the palliative care movement and discontent with institutional dying, one of the most common wishes expressed by our participants was for a free-standing hospice. In several of our communities, </w:t>
      </w:r>
      <w:r w:rsidRPr="00DD2D90">
        <w:rPr>
          <w:rStyle w:val="StyleUnderline"/>
        </w:rPr>
        <w:t>although the community</w:t>
      </w:r>
      <w:r w:rsidRPr="009C4A5A">
        <w:rPr>
          <w:sz w:val="16"/>
        </w:rPr>
        <w:t xml:space="preserve"> had raised substantial funds towards, and </w:t>
      </w:r>
      <w:r w:rsidRPr="00DD2D90">
        <w:rPr>
          <w:rStyle w:val="StyleUnderline"/>
        </w:rPr>
        <w:t>secured facilities for, a free-standing hospice</w:t>
      </w:r>
      <w:r w:rsidRPr="009C4A5A">
        <w:rPr>
          <w:sz w:val="16"/>
        </w:rPr>
        <w:t xml:space="preserve">, </w:t>
      </w:r>
      <w:r w:rsidRPr="00DD2D90">
        <w:rPr>
          <w:rStyle w:val="StyleUnderline"/>
        </w:rPr>
        <w:t>the</w:t>
      </w:r>
      <w:r w:rsidRPr="009C4A5A">
        <w:rPr>
          <w:sz w:val="16"/>
        </w:rPr>
        <w:t xml:space="preserve"> ongoing </w:t>
      </w:r>
      <w:r w:rsidRPr="00DD2D90">
        <w:rPr>
          <w:rStyle w:val="StyleUnderline"/>
        </w:rPr>
        <w:t>cost was not one that the Health Authority would support</w:t>
      </w:r>
      <w:r w:rsidRPr="009C4A5A">
        <w:rPr>
          <w:sz w:val="16"/>
        </w:rPr>
        <w:t xml:space="preserve"> in light of the limited demand for services in smaller communities. This was a point of tension for partici- pants. Instead, the ideal that rural communities have embraced is dying within a home-like setting. Pallia- tive beds are designated within acute medicine and long-term care facilities. Increasingly, these beds are being placed within long-term facilities that are public-private partnerships. These are facilities run by large corporations located outside of the community. The rooms are typically home-like, and often beauti- fully decorated. It appeared that the moral ideal of a home death, or at least the rural compromise of a home-like death, had been achieved. However, </w:t>
      </w:r>
      <w:r w:rsidRPr="00DD2D90">
        <w:rPr>
          <w:rStyle w:val="StyleUnderline"/>
        </w:rPr>
        <w:t>there were several negative unintended effects</w:t>
      </w:r>
      <w:r w:rsidRPr="009C4A5A">
        <w:rPr>
          <w:sz w:val="16"/>
        </w:rPr>
        <w:t xml:space="preserve"> from these developments. First, there was a system-wide policy that anyone in a bed designated long term must pay $30/day. Therefore, </w:t>
      </w:r>
      <w:r w:rsidRPr="00DD2D90">
        <w:rPr>
          <w:rStyle w:val="StyleUnderline"/>
        </w:rPr>
        <w:t>when dying individuals were transferred to these home-like beds they were expected to pay an additional $900/month, a significant amount for many individuals in rural areas</w:t>
      </w:r>
      <w:r w:rsidRPr="009C4A5A">
        <w:rPr>
          <w:sz w:val="16"/>
        </w:rPr>
        <w:t xml:space="preserve">. Although the fees could be waived for those who demonstrated financial need, </w:t>
      </w:r>
      <w:r w:rsidRPr="00DD2D90">
        <w:rPr>
          <w:rStyle w:val="StyleUnderline"/>
        </w:rPr>
        <w:t>there were a number of barriers to</w:t>
      </w:r>
      <w:r w:rsidRPr="009C4A5A">
        <w:rPr>
          <w:sz w:val="16"/>
        </w:rPr>
        <w:t xml:space="preserve"> actually </w:t>
      </w:r>
      <w:r w:rsidRPr="00DD2D90">
        <w:rPr>
          <w:rStyle w:val="StyleUnderline"/>
        </w:rPr>
        <w:t>getting the waiver</w:t>
      </w:r>
      <w:r w:rsidRPr="009C4A5A">
        <w:rPr>
          <w:sz w:val="16"/>
        </w:rPr>
        <w:t xml:space="preserve">, not the least of which was rural individuals’ reluctance to share their financial status. </w:t>
      </w:r>
      <w:r w:rsidRPr="00DD2D90">
        <w:rPr>
          <w:rStyle w:val="StyleUnderline"/>
        </w:rPr>
        <w:t>Healthcare providers described the distress they felt when they transferred a patient from acute to long-term care and had to inform their families that they needed to ‘</w:t>
      </w:r>
      <w:r w:rsidRPr="00DD2D90">
        <w:rPr>
          <w:rStyle w:val="Emphasis"/>
        </w:rPr>
        <w:t>pay to die</w:t>
      </w:r>
      <w:r w:rsidRPr="009C4A5A">
        <w:rPr>
          <w:sz w:val="16"/>
        </w:rPr>
        <w:t xml:space="preserve">’. However, from a Health Authority’s perspective, to assign that fee to some but not others in the system was unjust. To avoid this dilemma care </w:t>
      </w:r>
      <w:r w:rsidRPr="00DD2D90">
        <w:rPr>
          <w:rStyle w:val="StyleUnderline"/>
        </w:rPr>
        <w:t>providers</w:t>
      </w:r>
      <w:r w:rsidRPr="009C4A5A">
        <w:rPr>
          <w:sz w:val="16"/>
        </w:rPr>
        <w:t xml:space="preserve"> </w:t>
      </w:r>
      <w:r w:rsidRPr="00DD2D90">
        <w:rPr>
          <w:rStyle w:val="StyleUnderline"/>
        </w:rPr>
        <w:t>often</w:t>
      </w:r>
      <w:r w:rsidRPr="009C4A5A">
        <w:rPr>
          <w:sz w:val="16"/>
        </w:rPr>
        <w:t xml:space="preserve"> simply </w:t>
      </w:r>
      <w:r w:rsidRPr="00DD2D90">
        <w:rPr>
          <w:rStyle w:val="StyleUnderline"/>
        </w:rPr>
        <w:t>left palliative individuals in acute care beds.</w:t>
      </w:r>
      <w:r w:rsidRPr="009C4A5A">
        <w:rPr>
          <w:sz w:val="16"/>
        </w:rPr>
        <w:t xml:space="preserve"> A second unintended effect of the creation of these home-like beds, particularly within public-private partnership facilities, was the removal of palliative individuals from their known supports. Because these facilities were run by large corporations from outside of the community, the social networks and obligations that are so central to life in rural communities were disrupted. The corporations were suspect because of their ‘for-profit’ motive, and they in turn, did not feel an obligation to allow the free flow of information and exchange that is so central to quality care in rural communities. Participants in the study spoke of being transferred to these beds and losing touch with their closely networked group of public healthcare provid- ers, including their physician, community nurse, home support workers, and hospice volunteers. This repre- sented a huge loss in a rural community where knowing and being known is one of the highest values and where these values contribute to a complex set of social relationships that contribute to high quality care (Pesut et al., 2011). The consequences were similar when community-based hospitals were closed and individuals were expected to travel to neighbouring communities for end-of-life care. A third unintended effect was the creation of home-like beds without the resources to provide the expected level of care. In our study there were no unique staffing arrangements to complement these beds. Workload for nurses remained the same. Partici- pants spoke of how palliative individuals ended up as a lower priority both in acute and long-term care. On the medical unit they were seen as less acute and so received less attention. In long-term care they were often an add-on to the regular workflow associated with residents. Palliative patients were often more complex to care for than the residential patients but the staffing ratios were not adjusted to accommodate that complexity. Similar difficulties arose in relation to palliative expertise and skill mix. Often nurses with palliative expertise were working on the medical units, but they were not necessarily assigned to pallia- tive patients. Skill-mix policies dictated that licensed practical nurses would care for the less acute patients. However, these nurses did not necessarily have the knowledge or skills to enact the complex pain and symptom guidelines that were the evidence-based standard of care across the Health Authority. And here is where Hayek’s idea of moral abdication comes into play. If palliative care is considered a specialty then the generalist nurse is somewhat less culpable for providing excellent palliative care – a perspective that was supported by our data. Some nurses on the acute medical units felt unprepared to look after the palliative patients and preferred not to do so. In summary, the palliative ideal of a home death was constructed in rural communities as a home-like death. </w:t>
      </w:r>
      <w:r w:rsidRPr="00DD2D90">
        <w:rPr>
          <w:rStyle w:val="StyleUnderline"/>
        </w:rPr>
        <w:t>Efforts to provide home-like deaths</w:t>
      </w:r>
      <w:r w:rsidRPr="009C4A5A">
        <w:rPr>
          <w:sz w:val="16"/>
        </w:rPr>
        <w:t xml:space="preserve">, however, </w:t>
      </w:r>
      <w:r w:rsidRPr="00DD2D90">
        <w:rPr>
          <w:rStyle w:val="StyleUnderline"/>
        </w:rPr>
        <w:t>were layered onto system-wide</w:t>
      </w:r>
      <w:r w:rsidRPr="009C4A5A">
        <w:rPr>
          <w:sz w:val="16"/>
        </w:rPr>
        <w:t xml:space="preserve">, long-term care and nursing skill-mix </w:t>
      </w:r>
      <w:r w:rsidRPr="00DD2D90">
        <w:rPr>
          <w:rStyle w:val="StyleUnderline"/>
        </w:rPr>
        <w:t>initiatives, and resulted in negative unintended consequences. Grass roots initiatives where rural nurses had prepared themselves with additional palliative education were immobilized when skill-mix policies dictated that these nurses care for the more acute patients, and in the presence of palliative ‘specialists’ other nurses saw themselves as unqualified</w:t>
      </w:r>
      <w:r w:rsidRPr="009C4A5A">
        <w:rPr>
          <w:sz w:val="16"/>
        </w:rPr>
        <w:t xml:space="preserve">. The ideal related to excellent symptom management The second ideal is that of excellent symptom man- agement, whether those symptoms resulted in physi- cal, social, emotional, or spiritual suffering. As part of its strategic focus to meet this ideal, the Health Authority implemented two strategies. First, they sup- ported Hospice Palliative Care Societies in different capacities (e.g. office space or paid volunteer coordi- nators) and in some communities hired social workers and nurses to focus on palliative care. The amount of support varied across communities prompting one of the administrators in our study to suggest that it was the role of the Health Authority to create policy but it was the role of the community to decide on the pro- gramming for that policy. This philosophy seemed workable until ideas about programming differed between the community and the Health Authority, and it was the Health Authority that held the funds. Second, the Health Authority created a set of evidence-based guidelines for palliative care delivery within their jurisdiction. In this way the Health Authority recognized that palliative care required further resources which included a system-wide, evidence-based approach to symptom management and varying degrees of tangible support through the hiring of, in some cases, non-medical personnel to be the ‘experts’ in palliative care. This system-wide approach to palliative care had a negative unintended effect on rural physicians. In essence, there were contradictory philosophies about whether or not palliative care was a specialty. While the Health Authority was acknowledging that the provision of palliative care required extra resources, the billing system for physicians in rural areas did not account for these extra resources. It was expected that general practitioners would take on additional prepa- ration in specialties such as anaesthesia to support their colleagues and the community. The system described by these participants was both egalitarian and community service focused. However, one physi- cian suggested that once a commitment arose to provide more specialist care in rural communities, and to pay these specialists for on-call, while choosing not to pay general practitioners with advanced training for on-call work, volunteerism among generalist phy- sicians diminished. So now those generalist physicians who had prepared themselves with additional educa- tion in palliative care found themselves in a challeng- ing position. First, their work was not funded, or necessarily acknowledged, by the Health Authority. Also, because there were mixed messages about whether palliative care required additional education, or was simply an extension of good birth to death generalist practice, the generalist physicians did not necessarily make use of their colleagues with pallia- tive expertise. Finally, physicians were often reluctant to turn over the care of individuals with whom they had long established relationships, often both as pro- fessionals and friends, to other physicians with pallia- tive care expertise. In one of our study sites the ‘specialist’ palliative team was conducting rounds in a hidden fashion because administration did not support the idea of a palliative care as a specialty. The effect on other providers of palliative care in rural communities was similar. One of the most pow- erful organic developments in rural communities is the emergence of champions. These are individuals who are passionately committed to palliative care and devote enormous time and energy over many years (in some cases decades) to see it succeed. Some told stories of how their commitment arose out of their own experiences with less than satisfactory symptom management for their loved one at death. In the com- mitment to further resources for palliative care, some of these individuals had been hired into various roles by the Health Authority. However, there were several instances in the data where these individuals had sub- sequently been removed from these positions for various reasons. Individuals in our interviews criti- cized these changes years after they occurred. In one instance a nurse with expertise in palliative pain and symptom management had been replaced by a social worker. The nature of available services for palliative care changed substantially in that community with emphasis shifting to psychosocial issues and away from aggressive symptom management. The same social worker position was subsequently deleted in the next round of healthcare cuts. The impact on the hospice society for whom the social worker had pro- vided leadership was particularly negative. This was an example of the type of inhibition of catallaxy, or system of voluntary, organic cooperation that Hayek described. In essence then, Hayek’s arguments seem to bear out; </w:t>
      </w:r>
      <w:r w:rsidRPr="00DD2D90">
        <w:rPr>
          <w:rStyle w:val="StyleUnderline"/>
        </w:rPr>
        <w:t xml:space="preserve">the commitment to palliative care at </w:t>
      </w:r>
      <w:r w:rsidRPr="00DD2D90">
        <w:rPr>
          <w:rStyle w:val="StyleUnderline"/>
          <w:highlight w:val="green"/>
        </w:rPr>
        <w:t>the Health Authority</w:t>
      </w:r>
      <w:r w:rsidRPr="00DD2D90">
        <w:rPr>
          <w:rStyle w:val="StyleUnderline"/>
        </w:rPr>
        <w:t xml:space="preserve"> level </w:t>
      </w:r>
      <w:r w:rsidRPr="00DD2D90">
        <w:rPr>
          <w:rStyle w:val="StyleUnderline"/>
          <w:highlight w:val="green"/>
        </w:rPr>
        <w:t>resulted in standardized</w:t>
      </w:r>
      <w:r w:rsidRPr="00DD2D90">
        <w:rPr>
          <w:rStyle w:val="StyleUnderline"/>
        </w:rPr>
        <w:t xml:space="preserve"> evidence- based </w:t>
      </w:r>
      <w:r w:rsidRPr="00DD2D90">
        <w:rPr>
          <w:rStyle w:val="StyleUnderline"/>
          <w:highlight w:val="green"/>
        </w:rPr>
        <w:t>guidelines</w:t>
      </w:r>
      <w:r w:rsidRPr="00DD2D90">
        <w:rPr>
          <w:rStyle w:val="StyleUnderline"/>
        </w:rPr>
        <w:t xml:space="preserve"> and funding to support some experts in palliative care</w:t>
      </w:r>
      <w:r w:rsidRPr="009C4A5A">
        <w:rPr>
          <w:sz w:val="16"/>
        </w:rPr>
        <w:t xml:space="preserve">. However, over time </w:t>
      </w:r>
      <w:r w:rsidRPr="00DD2D90">
        <w:rPr>
          <w:rStyle w:val="StyleUnderline"/>
          <w:highlight w:val="green"/>
        </w:rPr>
        <w:t>this disrupted</w:t>
      </w:r>
      <w:r w:rsidRPr="00DD2D90">
        <w:rPr>
          <w:rStyle w:val="StyleUnderline"/>
        </w:rPr>
        <w:t xml:space="preserve"> those </w:t>
      </w:r>
      <w:r w:rsidRPr="00DD2D90">
        <w:rPr>
          <w:rStyle w:val="StyleUnderline"/>
          <w:highlight w:val="green"/>
        </w:rPr>
        <w:t>champions</w:t>
      </w:r>
      <w:r w:rsidRPr="00DD2D90">
        <w:rPr>
          <w:rStyle w:val="StyleUnderline"/>
        </w:rPr>
        <w:t xml:space="preserve"> who had built a vision for palliative care </w:t>
      </w:r>
      <w:r w:rsidRPr="00DD2D90">
        <w:rPr>
          <w:rStyle w:val="StyleUnderline"/>
          <w:highlight w:val="green"/>
        </w:rPr>
        <w:t>and</w:t>
      </w:r>
      <w:r w:rsidRPr="00DD2D90">
        <w:rPr>
          <w:rStyle w:val="StyleUnderline"/>
        </w:rPr>
        <w:t xml:space="preserve"> </w:t>
      </w:r>
      <w:r w:rsidRPr="00DD2D90">
        <w:rPr>
          <w:rStyle w:val="StyleUnderline"/>
          <w:highlight w:val="green"/>
        </w:rPr>
        <w:t>left physicians</w:t>
      </w:r>
      <w:r w:rsidRPr="00DD2D90">
        <w:rPr>
          <w:rStyle w:val="StyleUnderline"/>
        </w:rPr>
        <w:t xml:space="preserve"> with palliative care expertise in a grey zone </w:t>
      </w:r>
      <w:r w:rsidRPr="00DD2D90">
        <w:rPr>
          <w:rStyle w:val="StyleUnderline"/>
          <w:highlight w:val="green"/>
        </w:rPr>
        <w:t>between specialist and gen- eralist practice, discouraging</w:t>
      </w:r>
      <w:r w:rsidRPr="00DD2D90">
        <w:rPr>
          <w:rStyle w:val="StyleUnderline"/>
        </w:rPr>
        <w:t xml:space="preserve"> the </w:t>
      </w:r>
      <w:r w:rsidRPr="00DD2D90">
        <w:rPr>
          <w:rStyle w:val="StyleUnderline"/>
          <w:highlight w:val="green"/>
        </w:rPr>
        <w:t>volunteerism</w:t>
      </w:r>
      <w:r w:rsidRPr="00DD2D90">
        <w:rPr>
          <w:rStyle w:val="StyleUnderline"/>
        </w:rPr>
        <w:t xml:space="preserve"> </w:t>
      </w:r>
      <w:r w:rsidRPr="00DD2D90">
        <w:rPr>
          <w:rStyle w:val="StyleUnderline"/>
          <w:highlight w:val="green"/>
        </w:rPr>
        <w:t xml:space="preserve">that had formed the </w:t>
      </w:r>
      <w:r w:rsidRPr="00DD2D90">
        <w:rPr>
          <w:rStyle w:val="Emphasis"/>
          <w:highlight w:val="green"/>
        </w:rPr>
        <w:t>backbone</w:t>
      </w:r>
      <w:r w:rsidRPr="00DD2D90">
        <w:rPr>
          <w:rStyle w:val="StyleUnderline"/>
        </w:rPr>
        <w:t xml:space="preserve"> </w:t>
      </w:r>
      <w:r w:rsidRPr="00DD2D90">
        <w:rPr>
          <w:rStyle w:val="StyleUnderline"/>
          <w:highlight w:val="green"/>
        </w:rPr>
        <w:t>of</w:t>
      </w:r>
      <w:r w:rsidRPr="00DD2D90">
        <w:rPr>
          <w:rStyle w:val="StyleUnderline"/>
        </w:rPr>
        <w:t xml:space="preserve"> medical practice in these </w:t>
      </w:r>
      <w:r w:rsidRPr="00DD2D90">
        <w:rPr>
          <w:rStyle w:val="StyleUnderline"/>
          <w:highlight w:val="green"/>
        </w:rPr>
        <w:t>rural communities</w:t>
      </w:r>
      <w:r w:rsidRPr="009C4A5A">
        <w:rPr>
          <w:sz w:val="16"/>
        </w:rPr>
        <w:t xml:space="preserve">. </w:t>
      </w:r>
      <w:r w:rsidRPr="00DD2D90">
        <w:rPr>
          <w:rStyle w:val="StyleUnderline"/>
          <w:highlight w:val="green"/>
        </w:rPr>
        <w:t>Spontaneous order</w:t>
      </w:r>
      <w:r w:rsidRPr="00DD2D90">
        <w:rPr>
          <w:rStyle w:val="StyleUnderline"/>
        </w:rPr>
        <w:t xml:space="preserve">, and individual moral actions, </w:t>
      </w:r>
      <w:r w:rsidRPr="00DD2D90">
        <w:rPr>
          <w:rStyle w:val="StyleUnderline"/>
          <w:highlight w:val="green"/>
        </w:rPr>
        <w:t>that</w:t>
      </w:r>
      <w:r w:rsidRPr="00DD2D90">
        <w:rPr>
          <w:rStyle w:val="StyleUnderline"/>
        </w:rPr>
        <w:t xml:space="preserve"> had developed over years to </w:t>
      </w:r>
      <w:r w:rsidRPr="00DD2D90">
        <w:rPr>
          <w:rStyle w:val="StyleUnderline"/>
          <w:highlight w:val="green"/>
        </w:rPr>
        <w:t>meet the needs of the community were</w:t>
      </w:r>
      <w:r w:rsidRPr="00DD2D90">
        <w:rPr>
          <w:rStyle w:val="StyleUnderline"/>
        </w:rPr>
        <w:t xml:space="preserve"> increasingly </w:t>
      </w:r>
      <w:r w:rsidRPr="00DD2D90">
        <w:rPr>
          <w:rStyle w:val="Emphasis"/>
          <w:highlight w:val="green"/>
        </w:rPr>
        <w:t>immobilized</w:t>
      </w:r>
      <w:r w:rsidRPr="009C4A5A">
        <w:rPr>
          <w:sz w:val="16"/>
        </w:rPr>
        <w:t xml:space="preserve">. The ideal of advance care planning The ideal of advance care planning was an interesting one in our data because the Health Authority did not yet have a standardized advance care planning approach. Our interviews suggested that much of the advance care planning was handled by the family phy- sician, by volunteers, and by the funeral director. There was little in the data to suggest that advance care planning was problematic. This may have been because of the limited access to advanced technolo- gies in rural areas and the long-term relationships individuals often have with their care providers that facilitate discussions over time. Funeral directors and volunteers were key people in care planning discus- sions. We heard remarkable stories of how skilful some of these individuals were. However, volunteers were often cautious because of their sense that they were not authorized by the Health Authority or by paid healthcare providers to perform an advance care planning role. During the time of our study, the Health Authority was introducing a collaborative, partnership-based approach to advance care planning in selected communities. Individuals from volunteer hospice societies, already being limited in their role in the advance care planning process, expressed concern regarding further limitations on their role. It will be interesting to follow the consequences of this system- wide approach on the rural strategies that to date have seemed to work well. Conclusions What we have highlighted here are just a few examples of how the social justice ideal of palliative care, enacted through institutional authority, has played out in some areas of rural palliative care. Numerous other examples of unintended, but not necessarily unpre- dictable, negative effects exist in our data. </w:t>
      </w:r>
      <w:r w:rsidRPr="00DD2D90">
        <w:rPr>
          <w:rStyle w:val="StyleUnderline"/>
        </w:rPr>
        <w:t xml:space="preserve">Moral </w:t>
      </w:r>
      <w:r w:rsidRPr="00DD2D90">
        <w:rPr>
          <w:rStyle w:val="StyleUnderline"/>
          <w:highlight w:val="green"/>
        </w:rPr>
        <w:t>deci- sions, enacted from a distance</w:t>
      </w:r>
      <w:r w:rsidRPr="00DD2D90">
        <w:rPr>
          <w:rStyle w:val="StyleUnderline"/>
        </w:rPr>
        <w:t xml:space="preserve"> and </w:t>
      </w:r>
      <w:r w:rsidRPr="00DD2D90">
        <w:rPr>
          <w:rStyle w:val="StyleUnderline"/>
          <w:highlight w:val="green"/>
        </w:rPr>
        <w:t>without a nuanced understanding of the context</w:t>
      </w:r>
      <w:r w:rsidRPr="00DD2D90">
        <w:rPr>
          <w:rStyle w:val="StyleUnderline"/>
        </w:rPr>
        <w:t xml:space="preserve">, often </w:t>
      </w:r>
      <w:r w:rsidRPr="00DD2D90">
        <w:rPr>
          <w:rStyle w:val="StyleUnderline"/>
          <w:highlight w:val="green"/>
        </w:rPr>
        <w:t>fail to consider</w:t>
      </w:r>
      <w:r w:rsidRPr="00DD2D90">
        <w:rPr>
          <w:rStyle w:val="StyleUnderline"/>
        </w:rPr>
        <w:t xml:space="preserve"> the range of possible </w:t>
      </w:r>
      <w:r w:rsidRPr="00DD2D90">
        <w:rPr>
          <w:rStyle w:val="StyleUnderline"/>
          <w:highlight w:val="green"/>
        </w:rPr>
        <w:t>consequences</w:t>
      </w:r>
      <w:r w:rsidRPr="00DD2D90">
        <w:rPr>
          <w:rStyle w:val="StyleUnderline"/>
        </w:rPr>
        <w:t xml:space="preserve"> of those decisions</w:t>
      </w:r>
      <w:r w:rsidRPr="009C4A5A">
        <w:rPr>
          <w:sz w:val="16"/>
        </w:rPr>
        <w:t>.</w:t>
      </w:r>
      <w:r w:rsidRPr="00DD2D90">
        <w:rPr>
          <w:rStyle w:val="StyleUnderline"/>
          <w:highlight w:val="green"/>
        </w:rPr>
        <w:t>This</w:t>
      </w:r>
      <w:r w:rsidRPr="00DD2D90">
        <w:rPr>
          <w:rStyle w:val="StyleUnderline"/>
        </w:rPr>
        <w:t xml:space="preserve"> dynamic </w:t>
      </w:r>
      <w:r w:rsidRPr="00DD2D90">
        <w:rPr>
          <w:rStyle w:val="StyleUnderline"/>
          <w:highlight w:val="green"/>
        </w:rPr>
        <w:t>is exacerbated within</w:t>
      </w:r>
      <w:r w:rsidRPr="00DD2D90">
        <w:rPr>
          <w:rStyle w:val="StyleUnderline"/>
        </w:rPr>
        <w:t xml:space="preserve"> a </w:t>
      </w:r>
      <w:r w:rsidRPr="00DD2D90">
        <w:rPr>
          <w:rStyle w:val="StyleUnderline"/>
          <w:highlight w:val="green"/>
        </w:rPr>
        <w:t>healthcare</w:t>
      </w:r>
      <w:r w:rsidRPr="00DD2D90">
        <w:rPr>
          <w:rStyle w:val="StyleUnderline"/>
        </w:rPr>
        <w:t xml:space="preserve"> climate where change and restructuring are often a continu- ous, never-ending cycle that promotes decision- making based upon </w:t>
      </w:r>
      <w:r w:rsidRPr="00DD2D90">
        <w:rPr>
          <w:rStyle w:val="Emphasis"/>
        </w:rPr>
        <w:t>short-term</w:t>
      </w:r>
      <w:r w:rsidRPr="00DD2D90">
        <w:rPr>
          <w:rStyle w:val="StyleUnderline"/>
        </w:rPr>
        <w:t xml:space="preserve"> goals and solutions</w:t>
      </w:r>
      <w:r w:rsidRPr="009C4A5A">
        <w:rPr>
          <w:sz w:val="16"/>
        </w:rPr>
        <w:t xml:space="preserve">. </w:t>
      </w:r>
      <w:r w:rsidRPr="00DD2D90">
        <w:rPr>
          <w:rStyle w:val="StyleUnderline"/>
        </w:rPr>
        <w:t>System-wide solutions</w:t>
      </w:r>
      <w:r w:rsidRPr="009C4A5A">
        <w:rPr>
          <w:sz w:val="16"/>
        </w:rPr>
        <w:t xml:space="preserve">, however well intended, </w:t>
      </w:r>
      <w:r w:rsidRPr="00DD2D90">
        <w:rPr>
          <w:rStyle w:val="StyleUnderline"/>
        </w:rPr>
        <w:t>have the potential to inhibit or disrupt more locally based solutions that develop organically to suit the needs of that particular community</w:t>
      </w:r>
      <w:r w:rsidRPr="009C4A5A">
        <w:rPr>
          <w:sz w:val="16"/>
        </w:rPr>
        <w:t xml:space="preserve">. Although we applaud the social justice commit- ment to palliative care for all, we need to be cautious about creating moral stones. Society commits to just and equitable treatment of individuals across demog- raphy and scripts a particular moral ideal of what that death should look like. However, despite our best intentions, </w:t>
      </w:r>
      <w:r w:rsidRPr="00DD2D90">
        <w:rPr>
          <w:rStyle w:val="StyleUnderline"/>
        </w:rPr>
        <w:t>the working out of that morality can too often result in a caricature of the ideal which provides an outlet for moral emotion without providing the substantive resources to realize the idea</w:t>
      </w:r>
      <w:r w:rsidRPr="009C4A5A">
        <w:rPr>
          <w:sz w:val="16"/>
        </w:rPr>
        <w:t xml:space="preserve">l. Rural healthcare capacity rests heavily upon individuals who make a commitment to care for those in the community, and often this commitment requires a substantial amount of volunteerism. These ‘champi- ons’ are essential to good care and they are not easily replaced. By assigning the primary responsibility for care to governing health authorities, complex dynam- ics play out that contribute to ‘moral stones’. The importance of individual commitment to the commu- nity of care that goes beyond a traditional contractual employment relationship is de-emphasized. The idea of individual contributions to the system is replaced by the idea that the ‘system’ is primarily responsible to provide the necessary resources. The system may indeed provide substantial resources for a period of time but the difficulties arise when healthcare restruc- turing or downsizing results in a change in these resources, particularly when those resources are the most important kind – human resources. Further, if the resources provided by the system replaced volun- teer capacity rather than augmenting it, there is no guarantee that the capacity can be reclaimed. </w:t>
      </w:r>
      <w:r w:rsidRPr="00DD2D90">
        <w:rPr>
          <w:rStyle w:val="StyleUnderline"/>
        </w:rPr>
        <w:t>Changes that disrupt rural capacity and have a nega- tive impact</w:t>
      </w:r>
      <w:r w:rsidRPr="009C4A5A">
        <w:rPr>
          <w:sz w:val="16"/>
        </w:rPr>
        <w:t xml:space="preserve"> on ‘good’ death and dying leave long- lasting memories with rural residents. Rural residents feel morally outraged at the lack of wisdom of the system. Overall, this creates a dynamic through which changes can be enacted and at which citizens can be disappointed while de-emphasizing the multitude of individual responsibilities that are necessary both within the community and the health authority to ensure good care – exactly the type of moral stone Hayek foresaw. A question that arises of course is what would rural palliative care look like without the system-level com- mitment? Naturally, we cannot answer that based on our study. There are compelling examples in our data of other effective and sustainable social programmes that were mounted to address a particular need in the community. Further, these programmes were phased out naturally once the need no longer existed. However, in constructing this critique we are also conscious of the good that comes as a result of system-wide approaches to compassionate care for the most vulnerable. Our main caution is in pointing out the need for these initiatives to work in alignment and collaboration with organic rural capacity. Historically, palliative care arose from the ‘grass roots’. It occurred to us as we wrote this paper that the meaning of the word palliative is ‘to cloak’. We need to be cautious that the idea of social justice does not become a palliative intervention, cloaking us in a fuzzy contentment that the challenges inherent in rural care are society’s problem, not ours. </w:t>
      </w:r>
    </w:p>
    <w:p w14:paraId="29F9A83B" w14:textId="77777777" w:rsidR="0053268C" w:rsidRPr="009C4A5A" w:rsidRDefault="0053268C" w:rsidP="0053268C">
      <w:pPr>
        <w:rPr>
          <w:sz w:val="16"/>
        </w:rPr>
      </w:pPr>
    </w:p>
    <w:p w14:paraId="69B79707" w14:textId="77777777" w:rsidR="0053268C" w:rsidRPr="009C4A5A" w:rsidRDefault="0053268C" w:rsidP="0053268C">
      <w:pPr>
        <w:rPr>
          <w:sz w:val="16"/>
        </w:rPr>
      </w:pPr>
    </w:p>
    <w:p w14:paraId="4329DF34" w14:textId="4E178128" w:rsidR="0053268C" w:rsidRPr="009C4A5A" w:rsidRDefault="0053268C" w:rsidP="00E74B0C">
      <w:pPr>
        <w:pStyle w:val="Heading4"/>
        <w:rPr>
          <w:szCs w:val="26"/>
        </w:rPr>
      </w:pPr>
      <w:r w:rsidRPr="00DD2D90">
        <w:rPr>
          <w:sz w:val="22"/>
        </w:rPr>
        <w:br w:type="page"/>
      </w:r>
      <w:r w:rsidR="00E74B0C" w:rsidRPr="009C4A5A">
        <w:rPr>
          <w:szCs w:val="26"/>
        </w:rPr>
        <w:t>The government can’t be trusted – attempts to reduce waste by cutting public healthcare devastates rural communities</w:t>
      </w:r>
    </w:p>
    <w:p w14:paraId="4AAE66D1" w14:textId="77777777" w:rsidR="00DD6CBE" w:rsidRPr="00DD2D90" w:rsidRDefault="00DD6CBE" w:rsidP="00DD6CBE">
      <w:r w:rsidRPr="009C4A5A">
        <w:rPr>
          <w:b/>
          <w:bCs/>
          <w:sz w:val="26"/>
          <w:szCs w:val="26"/>
        </w:rPr>
        <w:t>Baudot et al. 25</w:t>
      </w:r>
      <w:r w:rsidRPr="00DD2D90">
        <w:t xml:space="preserve"> [Lisa Baudot, Associate Professor of Accounting and Management Control, HEC Paris Business School, Jared Koreff Associate Professor, Accounting Department, Neidorff School of Business, Trinity University, Kazeem Akinyele Associate Professor of Accounting, UWO School of Business, University of Wisconsin-Oshkosh, and Steve G Sutton, Professor, Accounting, Auditing and Law Department, Norwegian School of Economics, 8-28-2025, "‘</w:t>
      </w:r>
      <w:r w:rsidRPr="00DD2D90">
        <w:rPr>
          <w:rStyle w:val="StyleUnderline"/>
        </w:rPr>
        <w:t>Fraud, waste and abuse’: US healthcare caught in the crossfire of a political narrative</w:t>
      </w:r>
      <w:r w:rsidRPr="00DD2D90">
        <w:t>", Conversation, https://theconversation.com/fraud-waste-and-abuse-us-healthcare-caught-in-the-crossfire-of-a-political-narrative-263856]/Kankee</w:t>
      </w:r>
    </w:p>
    <w:p w14:paraId="4C7C4FEA" w14:textId="4A2FF66C" w:rsidR="00DD6CBE" w:rsidRPr="009C4A5A" w:rsidRDefault="00DD6CBE" w:rsidP="00DD6CBE">
      <w:pPr>
        <w:rPr>
          <w:rFonts w:eastAsiaTheme="majorEastAsia" w:cstheme="majorBidi"/>
          <w:b/>
          <w:iCs/>
          <w:sz w:val="16"/>
          <w:lang w:val="vi-VN"/>
        </w:rPr>
      </w:pPr>
      <w:r w:rsidRPr="009C4A5A">
        <w:rPr>
          <w:sz w:val="16"/>
        </w:rPr>
        <w:t>During his spell as a US special government employee earlier this year, billionaire Elon Musk said the following: “The waste and fraud in entitlement spending […] Most of the federal spending, is entitlements, so that’s the big one to eliminate.” In doing so, entitlement programs, such as Social Security and government-sponsored healthcare, became swept up in the latest chapter for a phrase hailed as common sense and derided as propaganda.</w:t>
      </w:r>
      <w:r w:rsidR="00146E9E" w:rsidRPr="009C4A5A">
        <w:rPr>
          <w:sz w:val="16"/>
        </w:rPr>
        <w:t xml:space="preserve"> </w:t>
      </w:r>
      <w:r w:rsidRPr="009C4A5A">
        <w:rPr>
          <w:sz w:val="16"/>
        </w:rPr>
        <w:t>“Fraud, waste and abuse” (FWA) has become a loaded term in US political discourse, invoked to justify sweeping changes in government programs. At first glance, targeting FWA seems like a reasonable goal: who would oppose eliminating inefficiency, unlawful behavior, or unethical misuse of public funds? Invoking FWA suggests that massive savings can be realized simply by ending inefficiencies and rooting out bad actors; the rhetoric around the phrase suggests these savings can result without cutting services or harming beneficiaries.</w:t>
      </w:r>
      <w:r w:rsidR="00146E9E" w:rsidRPr="009C4A5A">
        <w:rPr>
          <w:sz w:val="16"/>
        </w:rPr>
        <w:t xml:space="preserve"> </w:t>
      </w:r>
      <w:r w:rsidRPr="009C4A5A">
        <w:rPr>
          <w:sz w:val="16"/>
        </w:rPr>
        <w:t>Most US government programs deliver something that is already scarce, something from which funding cannot be slashed without making difficult choices. But instead of debating the actual merits or consequences of policy proposals and choices, lawmakers use the narrative of FWA to claim they are concentrating on cleaning up dysfunction. This rhetorical convenience, however, obscures reality. It not only overstates the scale of actual fraud or inefficiency, often without evidence, but enables damaging policy shifts that undermine public trust and justify cuts to essential services that many people depend on.</w:t>
      </w:r>
      <w:r w:rsidR="00146E9E" w:rsidRPr="009C4A5A">
        <w:rPr>
          <w:sz w:val="16"/>
        </w:rPr>
        <w:t xml:space="preserve"> </w:t>
      </w:r>
      <w:r w:rsidRPr="009C4A5A">
        <w:rPr>
          <w:sz w:val="16"/>
        </w:rPr>
        <w:t>Over recent decades, this reality has been evident in policy enactments that promise to drastically reduce spending on Medicare, a government-sponsored program that funds healthcare for the country’s elderly, and Medicaid, which funds care for some people with disabilities, some low-income families, and some people in other populations. Examples include the Deficit Reduction Act of 2005 enacted by then president George W. Bush, the Small Business Jobs Act of 2010 enacted by then president Barack Obama, and the One Big Beautiful Bill Act enacted by President Donald Trump in 2025.</w:t>
      </w:r>
      <w:r w:rsidR="00146E9E" w:rsidRPr="009C4A5A">
        <w:rPr>
          <w:sz w:val="16"/>
        </w:rPr>
        <w:t xml:space="preserve"> </w:t>
      </w:r>
      <w:r w:rsidRPr="009C4A5A">
        <w:rPr>
          <w:sz w:val="16"/>
        </w:rPr>
        <w:t xml:space="preserve">Proponents often justify reductions with familiar FWA language, arguing that they are trimming excess and protecting taxpayer dollars. But counterarguments suggest that most of the policy changes have little evidential connection to FWA as defined by the US Centers for Medicare and Medicaid Services. For instance, in a recent policy enactment, changes that affect subsidies to low-income Medicare beneficiaries and add bureaucratic hurdles for Medicaid beneficiaries are said to hold the potential to tangibly harm vulnerable populations. Leaders from rural healthcare institutions warned that the </w:t>
      </w:r>
      <w:r w:rsidRPr="00DD2D90">
        <w:rPr>
          <w:rStyle w:val="StyleUnderline"/>
          <w:highlight w:val="green"/>
        </w:rPr>
        <w:t xml:space="preserve">cuts could </w:t>
      </w:r>
      <w:r w:rsidRPr="00DD2D90">
        <w:rPr>
          <w:rStyle w:val="Emphasis"/>
          <w:highlight w:val="green"/>
        </w:rPr>
        <w:t>destabilize</w:t>
      </w:r>
      <w:r w:rsidRPr="00DD2D90">
        <w:rPr>
          <w:rStyle w:val="StyleUnderline"/>
        </w:rPr>
        <w:t xml:space="preserve"> entire </w:t>
      </w:r>
      <w:r w:rsidRPr="00DD2D90">
        <w:rPr>
          <w:rStyle w:val="StyleUnderline"/>
          <w:highlight w:val="green"/>
        </w:rPr>
        <w:t>healthcare</w:t>
      </w:r>
      <w:r w:rsidRPr="00DD2D90">
        <w:rPr>
          <w:rStyle w:val="StyleUnderline"/>
        </w:rPr>
        <w:t xml:space="preserve"> ecosystems </w:t>
      </w:r>
      <w:r w:rsidRPr="00DD2D90">
        <w:rPr>
          <w:rStyle w:val="StyleUnderline"/>
          <w:highlight w:val="green"/>
        </w:rPr>
        <w:t>in underserved regions</w:t>
      </w:r>
      <w:r w:rsidRPr="009C4A5A">
        <w:rPr>
          <w:sz w:val="16"/>
        </w:rPr>
        <w:t xml:space="preserve">, potentially </w:t>
      </w:r>
      <w:r w:rsidRPr="00DD2D90">
        <w:rPr>
          <w:rStyle w:val="StyleUnderline"/>
          <w:highlight w:val="green"/>
        </w:rPr>
        <w:t xml:space="preserve">forcing facilities to close and leaving communities without </w:t>
      </w:r>
      <w:r w:rsidRPr="00DD2D90">
        <w:rPr>
          <w:rStyle w:val="StyleUnderline"/>
        </w:rPr>
        <w:t xml:space="preserve">essential </w:t>
      </w:r>
      <w:r w:rsidRPr="00DD2D90">
        <w:rPr>
          <w:rStyle w:val="StyleUnderline"/>
          <w:highlight w:val="green"/>
        </w:rPr>
        <w:t>care</w:t>
      </w:r>
      <w:r w:rsidRPr="009C4A5A">
        <w:rPr>
          <w:sz w:val="16"/>
        </w:rPr>
        <w:t>.</w:t>
      </w:r>
      <w:r w:rsidR="00146E9E" w:rsidRPr="009C4A5A">
        <w:rPr>
          <w:sz w:val="16"/>
        </w:rPr>
        <w:t xml:space="preserve"> </w:t>
      </w:r>
      <w:r w:rsidRPr="009C4A5A">
        <w:rPr>
          <w:sz w:val="16"/>
        </w:rPr>
        <w:t>Hidden consequences of FWA policy impacts: a case study</w:t>
      </w:r>
      <w:r w:rsidR="00146E9E" w:rsidRPr="009C4A5A">
        <w:rPr>
          <w:sz w:val="16"/>
        </w:rPr>
        <w:t xml:space="preserve"> </w:t>
      </w:r>
      <w:r w:rsidRPr="009C4A5A">
        <w:rPr>
          <w:sz w:val="16"/>
        </w:rPr>
        <w:t xml:space="preserve">Recent research we conducted highlights how narratives around reducing healthcare costs through regulatory innovations are framed as preventing FWA, rather than having the effect of reducing quality or equity of care. Such framing largely ignores the ways in which such </w:t>
      </w:r>
      <w:r w:rsidRPr="00DD2D90">
        <w:rPr>
          <w:rStyle w:val="StyleUnderline"/>
        </w:rPr>
        <w:t>innovations may amplify the risks to beneficiaries of government-sponsored healthcare programs</w:t>
      </w:r>
      <w:r w:rsidRPr="009C4A5A">
        <w:rPr>
          <w:sz w:val="16"/>
        </w:rPr>
        <w:t xml:space="preserve">. These potentially </w:t>
      </w:r>
      <w:r w:rsidRPr="00DD2D90">
        <w:rPr>
          <w:rStyle w:val="StyleUnderline"/>
          <w:highlight w:val="green"/>
        </w:rPr>
        <w:t>adverse outcomes get camouflaged by congratulatory efforts to reduce illegitimate spending</w:t>
      </w:r>
      <w:r w:rsidRPr="009C4A5A">
        <w:rPr>
          <w:sz w:val="16"/>
        </w:rPr>
        <w:t>.</w:t>
      </w:r>
      <w:r w:rsidR="00146E9E" w:rsidRPr="009C4A5A">
        <w:rPr>
          <w:sz w:val="16"/>
        </w:rPr>
        <w:t xml:space="preserve"> </w:t>
      </w:r>
      <w:r w:rsidRPr="009C4A5A">
        <w:rPr>
          <w:sz w:val="16"/>
        </w:rPr>
        <w:t xml:space="preserve">At the center of our research is a critical case study: a rural healthcare provider caught in a sweeping regulatory innovation. Many </w:t>
      </w:r>
      <w:r w:rsidRPr="00DD2D90">
        <w:rPr>
          <w:rStyle w:val="StyleUnderline"/>
          <w:highlight w:val="green"/>
        </w:rPr>
        <w:t>services rural healthcare providers offer are not lucrative, but necessary</w:t>
      </w:r>
      <w:r w:rsidRPr="009C4A5A">
        <w:rPr>
          <w:sz w:val="16"/>
        </w:rPr>
        <w:t>. These include nursing care, assisted living, portable medical equipment and transport, and hospice care, as well as primary care. Local residents travel great distances for more specialized services.</w:t>
      </w:r>
      <w:r w:rsidR="00146E9E" w:rsidRPr="009C4A5A">
        <w:rPr>
          <w:sz w:val="16"/>
        </w:rPr>
        <w:t xml:space="preserve"> </w:t>
      </w:r>
      <w:r w:rsidRPr="009C4A5A">
        <w:rPr>
          <w:sz w:val="16"/>
        </w:rPr>
        <w:t xml:space="preserve">The regulatory innovation we studied, </w:t>
      </w:r>
      <w:r w:rsidRPr="00DD2D90">
        <w:rPr>
          <w:rStyle w:val="StyleUnderline"/>
          <w:highlight w:val="green"/>
        </w:rPr>
        <w:t>an algorithm</w:t>
      </w:r>
      <w:r w:rsidRPr="00DD2D90">
        <w:rPr>
          <w:rStyle w:val="StyleUnderline"/>
        </w:rPr>
        <w:t xml:space="preserve"> </w:t>
      </w:r>
      <w:r w:rsidRPr="00DD2D90">
        <w:rPr>
          <w:rStyle w:val="StyleUnderline"/>
          <w:highlight w:val="green"/>
        </w:rPr>
        <w:t>designed to identify</w:t>
      </w:r>
      <w:r w:rsidRPr="00DD2D90">
        <w:rPr>
          <w:rStyle w:val="StyleUnderline"/>
        </w:rPr>
        <w:t xml:space="preserve"> healthcare </w:t>
      </w:r>
      <w:r w:rsidRPr="00DD2D90">
        <w:rPr>
          <w:rStyle w:val="StyleUnderline"/>
          <w:highlight w:val="green"/>
        </w:rPr>
        <w:t>providers whose claims deviate from statistical norms</w:t>
      </w:r>
      <w:r w:rsidRPr="00DD2D90">
        <w:rPr>
          <w:rStyle w:val="StyleUnderline"/>
        </w:rPr>
        <w:t xml:space="preserve">, </w:t>
      </w:r>
      <w:r w:rsidRPr="00DD2D90">
        <w:rPr>
          <w:rStyle w:val="StyleUnderline"/>
          <w:highlight w:val="green"/>
        </w:rPr>
        <w:t>flagged</w:t>
      </w:r>
      <w:r w:rsidRPr="00DD2D90">
        <w:rPr>
          <w:rStyle w:val="StyleUnderline"/>
        </w:rPr>
        <w:t xml:space="preserve"> higher-than-average lengths of patient stays and costs per beneficiary at the provider organization. The results were </w:t>
      </w:r>
      <w:r w:rsidRPr="00DD2D90">
        <w:rPr>
          <w:rStyle w:val="StyleUnderline"/>
          <w:highlight w:val="green"/>
        </w:rPr>
        <w:t>suspend</w:t>
      </w:r>
      <w:r w:rsidRPr="00DD2D90">
        <w:rPr>
          <w:rStyle w:val="StyleUnderline"/>
        </w:rPr>
        <w:t xml:space="preserve">ed </w:t>
      </w:r>
      <w:r w:rsidRPr="00DD2D90">
        <w:rPr>
          <w:rStyle w:val="StyleUnderline"/>
          <w:highlight w:val="green"/>
        </w:rPr>
        <w:t>payments</w:t>
      </w:r>
      <w:r w:rsidRPr="00DD2D90">
        <w:rPr>
          <w:rStyle w:val="StyleUnderline"/>
        </w:rPr>
        <w:t xml:space="preserve">, </w:t>
      </w:r>
      <w:r w:rsidRPr="00DD2D90">
        <w:rPr>
          <w:rStyle w:val="StyleUnderline"/>
          <w:highlight w:val="green"/>
        </w:rPr>
        <w:t>revoked Medicare privileges</w:t>
      </w:r>
      <w:r w:rsidRPr="00DD2D90">
        <w:rPr>
          <w:rStyle w:val="StyleUnderline"/>
        </w:rPr>
        <w:t xml:space="preserve">, </w:t>
      </w:r>
      <w:r w:rsidRPr="00DD2D90">
        <w:rPr>
          <w:rStyle w:val="StyleUnderline"/>
          <w:highlight w:val="green"/>
        </w:rPr>
        <w:t xml:space="preserve">and the near </w:t>
      </w:r>
      <w:r w:rsidRPr="00DD2D90">
        <w:rPr>
          <w:rStyle w:val="Emphasis"/>
          <w:highlight w:val="green"/>
        </w:rPr>
        <w:t>collapse</w:t>
      </w:r>
      <w:r w:rsidRPr="00DD2D90">
        <w:rPr>
          <w:rStyle w:val="StyleUnderline"/>
          <w:highlight w:val="green"/>
        </w:rPr>
        <w:t xml:space="preserve"> of the provider</w:t>
      </w:r>
      <w:r w:rsidRPr="009C4A5A">
        <w:rPr>
          <w:sz w:val="16"/>
        </w:rPr>
        <w:t>; however, a lengthy legal process ultimately conceded that the numbers reflected the reality of caring for a medically underserved, high-needs population, not fraud.</w:t>
      </w:r>
      <w:r w:rsidR="00146E9E" w:rsidRPr="009C4A5A">
        <w:rPr>
          <w:sz w:val="16"/>
        </w:rPr>
        <w:t xml:space="preserve"> </w:t>
      </w:r>
      <w:r w:rsidRPr="009C4A5A">
        <w:rPr>
          <w:sz w:val="16"/>
        </w:rPr>
        <w:t>The algorithm we examined does not detect fraud per se but identifies “</w:t>
      </w:r>
      <w:r w:rsidRPr="00DD2D90">
        <w:rPr>
          <w:rStyle w:val="Emphasis"/>
          <w:highlight w:val="green"/>
        </w:rPr>
        <w:t>abnormal</w:t>
      </w:r>
      <w:r w:rsidRPr="009C4A5A">
        <w:rPr>
          <w:sz w:val="16"/>
        </w:rPr>
        <w:t xml:space="preserve">” </w:t>
      </w:r>
      <w:r w:rsidRPr="00DD2D90">
        <w:rPr>
          <w:rStyle w:val="Emphasis"/>
          <w:highlight w:val="green"/>
        </w:rPr>
        <w:t>patterns</w:t>
      </w:r>
      <w:r w:rsidRPr="009C4A5A">
        <w:rPr>
          <w:sz w:val="16"/>
        </w:rPr>
        <w:t xml:space="preserve"> that </w:t>
      </w:r>
      <w:r w:rsidRPr="00DD2D90">
        <w:rPr>
          <w:rStyle w:val="StyleUnderline"/>
          <w:highlight w:val="green"/>
        </w:rPr>
        <w:t>reinforce a reductive view of FWA rooted in statistical regularity, not patient needs and clinical judgment</w:t>
      </w:r>
      <w:r w:rsidRPr="009C4A5A">
        <w:rPr>
          <w:sz w:val="16"/>
        </w:rPr>
        <w:t xml:space="preserve">. As highlighted by our research, </w:t>
      </w:r>
      <w:r w:rsidRPr="00DD2D90">
        <w:rPr>
          <w:rStyle w:val="StyleUnderline"/>
        </w:rPr>
        <w:t>regulatory “innovations</w:t>
      </w:r>
      <w:r w:rsidRPr="009C4A5A">
        <w:rPr>
          <w:sz w:val="16"/>
        </w:rPr>
        <w:t xml:space="preserve">” such as this one </w:t>
      </w:r>
      <w:r w:rsidRPr="00DD2D90">
        <w:rPr>
          <w:rStyle w:val="StyleUnderline"/>
        </w:rPr>
        <w:t xml:space="preserve">create a regime where cost becomes the sole yardstick for legitimacy, with care </w:t>
      </w:r>
      <w:r w:rsidRPr="00DD2D90">
        <w:rPr>
          <w:rStyle w:val="StyleUnderline"/>
          <w:highlight w:val="green"/>
        </w:rPr>
        <w:t>that is discretionary, individualized or outside standard parameters</w:t>
      </w:r>
      <w:r w:rsidRPr="00DD2D90">
        <w:rPr>
          <w:rStyle w:val="StyleUnderline"/>
        </w:rPr>
        <w:t xml:space="preserve"> – and often essential for patients – </w:t>
      </w:r>
      <w:r w:rsidRPr="00DD2D90">
        <w:rPr>
          <w:rStyle w:val="StyleUnderline"/>
          <w:highlight w:val="green"/>
        </w:rPr>
        <w:t>painted as suspicious</w:t>
      </w:r>
      <w:r w:rsidRPr="00DD2D90">
        <w:rPr>
          <w:rStyle w:val="StyleUnderline"/>
        </w:rPr>
        <w:t xml:space="preserve"> or illegitimate</w:t>
      </w:r>
      <w:r w:rsidRPr="009C4A5A">
        <w:rPr>
          <w:sz w:val="16"/>
        </w:rPr>
        <w:t>. As such, this case reveals a fundamental misalignment. Regulators promote public narratives of fraud prevention and efficiency gains. But on the ground, quality and accessibility of care, core pillars of government-sponsored healthcare programs, are impaired.</w:t>
      </w:r>
      <w:r w:rsidR="00146E9E" w:rsidRPr="009C4A5A">
        <w:rPr>
          <w:sz w:val="16"/>
        </w:rPr>
        <w:t xml:space="preserve"> </w:t>
      </w:r>
      <w:r w:rsidRPr="009C4A5A">
        <w:rPr>
          <w:sz w:val="16"/>
        </w:rPr>
        <w:t>Reframing accountability and moving beyond FWA narratives</w:t>
      </w:r>
      <w:r w:rsidR="00146E9E" w:rsidRPr="009C4A5A">
        <w:rPr>
          <w:sz w:val="16"/>
        </w:rPr>
        <w:t xml:space="preserve"> </w:t>
      </w:r>
      <w:r w:rsidRPr="009C4A5A">
        <w:rPr>
          <w:sz w:val="16"/>
        </w:rPr>
        <w:t xml:space="preserve">Our work exposes how rhetoric associated with regulatory innovations can recast healthcare denial as a virtue. </w:t>
      </w:r>
      <w:r w:rsidRPr="00DD2D90">
        <w:rPr>
          <w:rStyle w:val="StyleUnderline"/>
        </w:rPr>
        <w:t>By framing cost-cutting as fraud prevention, government agencies deflect accountability for service reductions, masking their impact on vulnerable and marginalized populations and avoiding the political implications of austerity by claiming the moral high ground of rooting out FWA.</w:t>
      </w:r>
      <w:r w:rsidRPr="009C4A5A">
        <w:rPr>
          <w:sz w:val="16"/>
        </w:rPr>
        <w:t xml:space="preserve"> Proposals to cut government funding to constrain costs are met with emotion and resistance on both sides of the debate. However, such proposals appear to be met with less emotion when they are pitched as FWA initiatives.</w:t>
      </w:r>
      <w:r w:rsidR="00146E9E" w:rsidRPr="009C4A5A">
        <w:rPr>
          <w:sz w:val="16"/>
        </w:rPr>
        <w:t xml:space="preserve"> </w:t>
      </w:r>
      <w:r w:rsidRPr="009C4A5A">
        <w:rPr>
          <w:sz w:val="16"/>
        </w:rPr>
        <w:t>Our study warns against uncritical adoption of regulatory changes that prioritize FWA claims at the expense of patient access to healthcare. Such claims can erode public trust in government-sponsored programs, while creating confusion about and misdirecting scrutiny from where FWA actually is. They reinforce a cynical view of public services as bloated and corrupt, despite most healthcare providers acting in good faith.</w:t>
      </w:r>
      <w:r w:rsidR="00146E9E" w:rsidRPr="009C4A5A">
        <w:rPr>
          <w:sz w:val="16"/>
        </w:rPr>
        <w:t xml:space="preserve"> </w:t>
      </w:r>
      <w:r w:rsidRPr="009C4A5A">
        <w:rPr>
          <w:sz w:val="16"/>
        </w:rPr>
        <w:t>This is not to say that the US healthcare system does not have its issues; however, true fraud represents a fraction of total spending. The clear purpose of misleading narratives around FWA is to hide the gravity of what is being taken from the American people by pretending that what is being taken has no value. These narratives dismiss services that benefit those in need as not only inconsequential, but even as detrimental to the fabric of society. This use of FWA helps prevent substantive debate about how to improve government-sponsored healthcare programs, and risks entrenching political expediency to the detriment of citizens’ well-being.</w:t>
      </w:r>
      <w:r w:rsidR="00146E9E" w:rsidRPr="009C4A5A">
        <w:rPr>
          <w:sz w:val="16"/>
        </w:rPr>
        <w:t xml:space="preserve"> </w:t>
      </w:r>
    </w:p>
    <w:p w14:paraId="20D53946" w14:textId="1F7A64C1" w:rsidR="00605696" w:rsidRPr="00D05211" w:rsidRDefault="00605696" w:rsidP="00605696">
      <w:pPr>
        <w:pStyle w:val="Heading3"/>
        <w:rPr>
          <w:rFonts w:ascii="Arial Black" w:hAnsi="Arial Black"/>
          <w:color w:val="B43E1F"/>
          <w:szCs w:val="32"/>
        </w:rPr>
      </w:pPr>
      <w:r w:rsidRPr="00D05211">
        <w:rPr>
          <w:rFonts w:ascii="Arial Black" w:hAnsi="Arial Black"/>
          <w:color w:val="B43E1F"/>
          <w:szCs w:val="32"/>
        </w:rPr>
        <w:t xml:space="preserve">Contention 5: </w:t>
      </w:r>
      <w:r w:rsidR="00914260" w:rsidRPr="00D05211">
        <w:rPr>
          <w:rFonts w:ascii="Arial Black" w:hAnsi="Arial Black"/>
          <w:color w:val="B43E1F"/>
          <w:szCs w:val="32"/>
        </w:rPr>
        <w:t>Authoritarianism</w:t>
      </w:r>
      <w:r w:rsidR="008A2CB2" w:rsidRPr="00D05211">
        <w:rPr>
          <w:rFonts w:ascii="Arial Black" w:hAnsi="Arial Black"/>
          <w:color w:val="B43E1F"/>
          <w:szCs w:val="32"/>
        </w:rPr>
        <w:t>/Property Rights</w:t>
      </w:r>
    </w:p>
    <w:p w14:paraId="39A2610D" w14:textId="52CB664A" w:rsidR="00E71849" w:rsidRPr="009C4A5A" w:rsidRDefault="00DB7C5F" w:rsidP="00E71849">
      <w:pPr>
        <w:pStyle w:val="Heading4"/>
        <w:rPr>
          <w:szCs w:val="26"/>
        </w:rPr>
      </w:pPr>
      <w:r w:rsidRPr="009C4A5A">
        <w:rPr>
          <w:szCs w:val="26"/>
        </w:rPr>
        <w:t>Public provision of healthcare is a blank check for Nazism, eugenics, ethnic cleansing, authoritarianism, and coercive paternalism</w:t>
      </w:r>
    </w:p>
    <w:p w14:paraId="6CD041C5" w14:textId="50787F05" w:rsidR="00E71849" w:rsidRPr="00DD2D90" w:rsidRDefault="00FF2C88" w:rsidP="00E71849">
      <w:r w:rsidRPr="009C4A5A">
        <w:rPr>
          <w:b/>
          <w:bCs/>
          <w:sz w:val="26"/>
          <w:szCs w:val="26"/>
        </w:rPr>
        <w:t>Lemieux 15</w:t>
      </w:r>
      <w:r w:rsidRPr="00DD2D90">
        <w:t xml:space="preserve"> [</w:t>
      </w:r>
      <w:r w:rsidR="00E71849" w:rsidRPr="00DD2D90">
        <w:t xml:space="preserve">Pierre Lemieux, </w:t>
      </w:r>
      <w:r w:rsidR="005109BD" w:rsidRPr="00DD2D90">
        <w:t>Economist</w:t>
      </w:r>
      <w:r w:rsidR="00844E07" w:rsidRPr="00DD2D90">
        <w:t xml:space="preserve"> at the Université du Québec </w:t>
      </w:r>
      <w:r w:rsidR="005109BD" w:rsidRPr="00DD2D90">
        <w:t>Department of Management Sciences, 2015</w:t>
      </w:r>
      <w:r w:rsidR="00E71849" w:rsidRPr="00DD2D90">
        <w:t>, "The Dangers of ‘Public Health’", Cato Institute, https://www.cato.org/regulation/fall-2015/dangers-public-health#</w:t>
      </w:r>
      <w:r w:rsidR="004C1166" w:rsidRPr="00DD2D90">
        <w:t>]/Kankee</w:t>
      </w:r>
    </w:p>
    <w:p w14:paraId="1A0483D5" w14:textId="05736DA3" w:rsidR="00B0589A" w:rsidRPr="009C4A5A" w:rsidRDefault="00E71849">
      <w:pPr>
        <w:rPr>
          <w:rFonts w:eastAsiaTheme="majorEastAsia" w:cstheme="majorBidi"/>
          <w:b/>
          <w:iCs/>
          <w:sz w:val="16"/>
        </w:rPr>
      </w:pPr>
      <w:r w:rsidRPr="009C4A5A">
        <w:rPr>
          <w:sz w:val="16"/>
        </w:rPr>
        <w:t xml:space="preserve">Until late in the 19th century, </w:t>
      </w:r>
      <w:r w:rsidRPr="00DD2D90">
        <w:rPr>
          <w:rStyle w:val="StyleUnderline"/>
          <w:highlight w:val="green"/>
        </w:rPr>
        <w:t>public health</w:t>
      </w:r>
      <w:r w:rsidRPr="00DD2D90">
        <w:rPr>
          <w:rStyle w:val="StyleUnderline"/>
        </w:rPr>
        <w:t xml:space="preserve"> was</w:t>
      </w:r>
      <w:r w:rsidRPr="009C4A5A">
        <w:rPr>
          <w:sz w:val="16"/>
        </w:rPr>
        <w:t xml:space="preserve"> by and large </w:t>
      </w:r>
      <w:r w:rsidRPr="00DD2D90">
        <w:rPr>
          <w:rStyle w:val="StyleUnderline"/>
        </w:rPr>
        <w:t>concerned with</w:t>
      </w:r>
      <w:r w:rsidRPr="009C4A5A">
        <w:rPr>
          <w:sz w:val="16"/>
        </w:rPr>
        <w:t xml:space="preserve"> what economists call “</w:t>
      </w:r>
      <w:r w:rsidRPr="00DD2D90">
        <w:rPr>
          <w:rStyle w:val="Emphasis"/>
        </w:rPr>
        <w:t xml:space="preserve">public </w:t>
      </w:r>
      <w:r w:rsidRPr="00DD2D90">
        <w:rPr>
          <w:rStyle w:val="Emphasis"/>
          <w:highlight w:val="green"/>
        </w:rPr>
        <w:t>goods</w:t>
      </w:r>
      <w:r w:rsidRPr="009C4A5A">
        <w:rPr>
          <w:sz w:val="16"/>
        </w:rPr>
        <w:t>.” A public good is something whose consumption is nonrival (the consumption by one individual does not reduce the consumption of another) and nonexcludable (no consumer, including free riders, can be excluded). National defense is the most common example: it’s hard for an army to protect only certain homes that pay a private “defense fee.” Similarly, basic sanitation and controlling epidemics of infectious diseases or antibiotic resistance may be examples of public goods because they benefit everyone’s health once they are available.</w:t>
      </w:r>
      <w:r w:rsidR="00274B8B" w:rsidRPr="009C4A5A">
        <w:rPr>
          <w:sz w:val="16"/>
        </w:rPr>
        <w:t xml:space="preserve"> </w:t>
      </w:r>
      <w:r w:rsidRPr="00DD2D90">
        <w:rPr>
          <w:rStyle w:val="StyleUnderline"/>
        </w:rPr>
        <w:t>Public health</w:t>
      </w:r>
      <w:r w:rsidRPr="009C4A5A">
        <w:rPr>
          <w:sz w:val="16"/>
        </w:rPr>
        <w:t xml:space="preserve">, however, </w:t>
      </w:r>
      <w:r w:rsidRPr="00DD2D90">
        <w:rPr>
          <w:rStyle w:val="StyleUnderline"/>
          <w:highlight w:val="green"/>
        </w:rPr>
        <w:t>has</w:t>
      </w:r>
      <w:r w:rsidRPr="009C4A5A">
        <w:rPr>
          <w:sz w:val="16"/>
        </w:rPr>
        <w:t xml:space="preserve"> </w:t>
      </w:r>
      <w:r w:rsidRPr="00DD2D90">
        <w:rPr>
          <w:rStyle w:val="Emphasis"/>
          <w:highlight w:val="green"/>
        </w:rPr>
        <w:t>always</w:t>
      </w:r>
      <w:r w:rsidRPr="009C4A5A">
        <w:rPr>
          <w:sz w:val="16"/>
          <w:highlight w:val="green"/>
        </w:rPr>
        <w:t xml:space="preserve"> </w:t>
      </w:r>
      <w:r w:rsidRPr="00DD2D90">
        <w:rPr>
          <w:rStyle w:val="StyleUnderline"/>
          <w:highlight w:val="green"/>
        </w:rPr>
        <w:t xml:space="preserve">been tempted by </w:t>
      </w:r>
      <w:r w:rsidRPr="00DD2D90">
        <w:rPr>
          <w:rStyle w:val="Emphasis"/>
          <w:highlight w:val="green"/>
        </w:rPr>
        <w:t>authoritarian</w:t>
      </w:r>
      <w:r w:rsidRPr="00DD2D90">
        <w:rPr>
          <w:rStyle w:val="StyleUnderline"/>
          <w:highlight w:val="green"/>
        </w:rPr>
        <w:t xml:space="preserve"> drifts</w:t>
      </w:r>
      <w:r w:rsidRPr="009C4A5A">
        <w:rPr>
          <w:sz w:val="16"/>
        </w:rPr>
        <w:t>. In the 19th and early 20th century, "</w:t>
      </w:r>
      <w:r w:rsidRPr="00DD2D90">
        <w:rPr>
          <w:rStyle w:val="StyleUnderline"/>
        </w:rPr>
        <w:t>public hygiene" became "</w:t>
      </w:r>
      <w:r w:rsidRPr="00DD2D90">
        <w:rPr>
          <w:rStyle w:val="Emphasis"/>
          <w:highlight w:val="green"/>
        </w:rPr>
        <w:t>racial hygiene</w:t>
      </w:r>
      <w:r w:rsidRPr="00DD2D90">
        <w:rPr>
          <w:rStyle w:val="StyleUnderline"/>
        </w:rPr>
        <w:t>"</w:t>
      </w:r>
      <w:r w:rsidRPr="009C4A5A">
        <w:rPr>
          <w:sz w:val="16"/>
        </w:rPr>
        <w:t xml:space="preserve"> </w:t>
      </w:r>
      <w:r w:rsidRPr="00DD2D90">
        <w:rPr>
          <w:rStyle w:val="StyleUnderline"/>
          <w:highlight w:val="green"/>
        </w:rPr>
        <w:t>and</w:t>
      </w:r>
      <w:r w:rsidRPr="009C4A5A">
        <w:rPr>
          <w:sz w:val="16"/>
        </w:rPr>
        <w:t xml:space="preserve"> "social hygiene." A parallel development was </w:t>
      </w:r>
      <w:r w:rsidRPr="00DD2D90">
        <w:rPr>
          <w:rStyle w:val="StyleUnderline"/>
        </w:rPr>
        <w:t xml:space="preserve">the </w:t>
      </w:r>
      <w:r w:rsidRPr="00DD2D90">
        <w:rPr>
          <w:rStyle w:val="Emphasis"/>
          <w:highlight w:val="green"/>
        </w:rPr>
        <w:t>eugenics</w:t>
      </w:r>
      <w:r w:rsidRPr="00DD2D90">
        <w:rPr>
          <w:rStyle w:val="StyleUnderline"/>
        </w:rPr>
        <w:t xml:space="preserve"> movement</w:t>
      </w:r>
      <w:r w:rsidRPr="009C4A5A">
        <w:rPr>
          <w:sz w:val="16"/>
        </w:rPr>
        <w:t>, which aimed at preventing people who were deemed "unfit" from passing on their genetic defects—and sometimes simply eliminating those people altogether.</w:t>
      </w:r>
      <w:r w:rsidR="00274B8B" w:rsidRPr="009C4A5A">
        <w:rPr>
          <w:sz w:val="16"/>
        </w:rPr>
        <w:t xml:space="preserve"> </w:t>
      </w:r>
      <w:r w:rsidRPr="009C4A5A">
        <w:rPr>
          <w:sz w:val="16"/>
        </w:rPr>
        <w:t>In America, both public health and eugenics flourished during the Progressive Era. Although the two movements were not identical, they had many similarities and shared promoters. The founder of the U.S. Food and Drug Administration, Harvey Wiley, figured among the supporters of a Chicago surgeon who, in the late 1910s, "permitted or hastened the deaths of at least six infants he diagnosed as eugenically defective," according to University of Michigan historian Martin Pernick. The 1927 U.S. Supreme Court decision upholding involuntary eugenic sterilization invoked a 1905 compulsory vaccination case. As Justice Oliver Wendell Holmes explained, "the principle that sustains compulsory vaccination is broad enough to cover cutting the Fallopian."</w:t>
      </w:r>
      <w:r w:rsidR="00274B8B" w:rsidRPr="009C4A5A">
        <w:rPr>
          <w:sz w:val="16"/>
        </w:rPr>
        <w:t xml:space="preserve"> </w:t>
      </w:r>
      <w:r w:rsidRPr="009C4A5A">
        <w:rPr>
          <w:sz w:val="16"/>
        </w:rPr>
        <w:t>In 1920, Charles-Edward Amory Winslow, professor of public health at Yale University, defined public health as including "the development of the social machinery to insure everyone a standard of living adequate for the maintenance of health." In its 1946 constitution, the World Health Organization (WHO) declared, "Health is a state of complete physical, mental, and social well-being and not merely the absence of disease or infirmity."</w:t>
      </w:r>
      <w:r w:rsidR="00274B8B" w:rsidRPr="009C4A5A">
        <w:rPr>
          <w:sz w:val="16"/>
        </w:rPr>
        <w:t xml:space="preserve"> </w:t>
      </w:r>
      <w:r w:rsidRPr="009C4A5A">
        <w:rPr>
          <w:sz w:val="16"/>
        </w:rPr>
        <w:t>University of Illinois at Chicago clinical professor Bernard Turnock, author of a current textbook on public health, recognizes the field's "broad and ever-increasing scope." "Traditional domains of public health interest include biology, environment, lifestyle, and health service organization," he writes. The latest version of the Stanford Encyclopedia of Philosophy opens its article on public health by identifying federal public health agencies, including the Center for Disease Control and the FDA as well as the Environmental Protection Agency and the "Consumer Protection Agency" (the authors probably mean the Consumer Product Safety Commission or the Federal Trade Commission's Bureau of Consumer Protection).</w:t>
      </w:r>
      <w:r w:rsidR="00274B8B" w:rsidRPr="009C4A5A">
        <w:rPr>
          <w:sz w:val="16"/>
        </w:rPr>
        <w:t xml:space="preserve"> </w:t>
      </w:r>
      <w:r w:rsidRPr="00DD2D90">
        <w:rPr>
          <w:rStyle w:val="StyleUnderline"/>
          <w:highlight w:val="green"/>
        </w:rPr>
        <w:t>Public health now</w:t>
      </w:r>
      <w:r w:rsidRPr="00DD2D90">
        <w:rPr>
          <w:rStyle w:val="StyleUnderline"/>
        </w:rPr>
        <w:t xml:space="preserve"> </w:t>
      </w:r>
      <w:r w:rsidRPr="00DD2D90">
        <w:rPr>
          <w:rStyle w:val="StyleUnderline"/>
          <w:highlight w:val="green"/>
        </w:rPr>
        <w:t>encompasses</w:t>
      </w:r>
      <w:r w:rsidRPr="00DD2D90">
        <w:rPr>
          <w:rStyle w:val="StyleUnderline"/>
        </w:rPr>
        <w:t xml:space="preserve"> noncommunicable diseases and "lifestyle epidemics," such as the use of tobacco and alcohol, as well as obesity—matters that are very far removed from public goods concerns</w:t>
      </w:r>
      <w:r w:rsidRPr="009C4A5A">
        <w:rPr>
          <w:sz w:val="16"/>
        </w:rPr>
        <w:t xml:space="preserve">. </w:t>
      </w:r>
      <w:r w:rsidRPr="00DD2D90">
        <w:rPr>
          <w:rStyle w:val="StyleUnderline"/>
        </w:rPr>
        <w:t>Also included are</w:t>
      </w:r>
      <w:r w:rsidRPr="009C4A5A">
        <w:rPr>
          <w:sz w:val="16"/>
        </w:rPr>
        <w:t xml:space="preserve"> many conditions or for</w:t>
      </w:r>
      <w:r w:rsidR="00274B8B" w:rsidRPr="009C4A5A">
        <w:rPr>
          <w:sz w:val="16"/>
        </w:rPr>
        <w:t>e</w:t>
      </w:r>
      <w:r w:rsidRPr="009C4A5A">
        <w:rPr>
          <w:sz w:val="16"/>
        </w:rPr>
        <w:t xml:space="preserve">ms of behavior, such as </w:t>
      </w:r>
      <w:r w:rsidRPr="00DD2D90">
        <w:rPr>
          <w:rStyle w:val="StyleUnderline"/>
        </w:rPr>
        <w:t>riding a motorcycle</w:t>
      </w:r>
      <w:r w:rsidRPr="009C4A5A">
        <w:rPr>
          <w:sz w:val="16"/>
        </w:rPr>
        <w:t xml:space="preserve">, driving a car, </w:t>
      </w:r>
      <w:r w:rsidRPr="00DD2D90">
        <w:rPr>
          <w:rStyle w:val="StyleUnderline"/>
        </w:rPr>
        <w:t>owning firearms</w:t>
      </w:r>
      <w:r w:rsidRPr="009C4A5A">
        <w:rPr>
          <w:sz w:val="16"/>
        </w:rPr>
        <w:t xml:space="preserve">, </w:t>
      </w:r>
      <w:r w:rsidRPr="00DD2D90">
        <w:rPr>
          <w:rStyle w:val="StyleUnderline"/>
        </w:rPr>
        <w:t>engaging in "substance abuse,</w:t>
      </w:r>
      <w:r w:rsidRPr="009C4A5A">
        <w:rPr>
          <w:sz w:val="16"/>
        </w:rPr>
        <w:t xml:space="preserve">" having imperfect access to medical care, </w:t>
      </w:r>
      <w:r w:rsidRPr="00DD2D90">
        <w:rPr>
          <w:rStyle w:val="StyleUnderline"/>
        </w:rPr>
        <w:t>being poor, and so forth</w:t>
      </w:r>
      <w:r w:rsidRPr="009C4A5A">
        <w:rPr>
          <w:sz w:val="16"/>
        </w:rPr>
        <w:t xml:space="preserve">. </w:t>
      </w:r>
      <w:r w:rsidRPr="00DD2D90">
        <w:rPr>
          <w:rStyle w:val="StyleUnderline"/>
        </w:rPr>
        <w:t>Public health means</w:t>
      </w:r>
      <w:r w:rsidRPr="009C4A5A">
        <w:rPr>
          <w:sz w:val="16"/>
        </w:rPr>
        <w:t xml:space="preserve"> health care and </w:t>
      </w:r>
      <w:r w:rsidRPr="00DD2D90">
        <w:rPr>
          <w:rStyle w:val="Emphasis"/>
          <w:highlight w:val="green"/>
        </w:rPr>
        <w:t>everything</w:t>
      </w:r>
      <w:r w:rsidRPr="009C4A5A">
        <w:rPr>
          <w:sz w:val="16"/>
        </w:rPr>
        <w:t xml:space="preserve"> that is related to health writ large.</w:t>
      </w:r>
      <w:r w:rsidR="00274B8B" w:rsidRPr="009C4A5A">
        <w:rPr>
          <w:sz w:val="16"/>
        </w:rPr>
        <w:t xml:space="preserve"> </w:t>
      </w:r>
      <w:r w:rsidRPr="009C4A5A">
        <w:rPr>
          <w:sz w:val="16"/>
        </w:rPr>
        <w:t>Moreover, "social justice" has become an essential feature of public health: "Social justice," writes Turnock, "is the foundation of public health."</w:t>
      </w:r>
      <w:r w:rsidR="00274B8B" w:rsidRPr="009C4A5A">
        <w:rPr>
          <w:sz w:val="16"/>
        </w:rPr>
        <w:t xml:space="preserve"> </w:t>
      </w:r>
      <w:r w:rsidRPr="009C4A5A">
        <w:rPr>
          <w:sz w:val="16"/>
        </w:rPr>
        <w:t>"Societal" vs. Individual Preferences</w:t>
      </w:r>
      <w:r w:rsidR="00274B8B" w:rsidRPr="009C4A5A">
        <w:rPr>
          <w:sz w:val="16"/>
        </w:rPr>
        <w:t xml:space="preserve"> </w:t>
      </w:r>
      <w:r w:rsidRPr="009C4A5A">
        <w:rPr>
          <w:sz w:val="16"/>
        </w:rPr>
        <w:t xml:space="preserve">Methodologically, the current view of the world according to public health clashes directly with the standard economic approach. Public health experts, who typically come from the medical field, view the individual as unable to make the "right" tradeoffs to maximize his own well-being. Tradeoffs, of course, must be made: virtually anything that an individual does entails some risk to health. But </w:t>
      </w:r>
      <w:r w:rsidRPr="00DD2D90">
        <w:rPr>
          <w:rStyle w:val="StyleUnderline"/>
        </w:rPr>
        <w:t>the public health experts have decided those tradeoffs are best determined by experts like themselves</w:t>
      </w:r>
      <w:r w:rsidRPr="009C4A5A">
        <w:rPr>
          <w:sz w:val="16"/>
        </w:rPr>
        <w:t>, who supposedly better appreciate what benefits should be forgone in exchange for health risk reduction.</w:t>
      </w:r>
      <w:r w:rsidR="00274B8B" w:rsidRPr="009C4A5A">
        <w:rPr>
          <w:sz w:val="16"/>
        </w:rPr>
        <w:t xml:space="preserve"> </w:t>
      </w:r>
      <w:r w:rsidRPr="009C4A5A">
        <w:rPr>
          <w:sz w:val="16"/>
        </w:rPr>
        <w:t>A good example of this is the justifications for the public health campaign against tobacco use. Scott Ballin, a public health expert and activist, expressed the opinion of many of his colleagues when he declared that "there is no positive aspect to [smoking]. The product has no potential benefits." To an economist, this reasoning makes no sense. Tobacco consumers cannot want something that carries only costs (the purchase price of tobacco products plus the health risks), so tobacco use must have some benefit as judged by the consumers themselves. It won't do for public health advocates to respond simply that smoker demand arises from addiction, not desire for pleasure; many smokers stop smoking and half of nonsmokers are former smokers—so "tobacco addiction" isn't destiny. Moreover, everything one likes is difficult to abandon, but that doesn't mean people are addicted to everything they like.</w:t>
      </w:r>
      <w:r w:rsidR="00274B8B" w:rsidRPr="009C4A5A">
        <w:rPr>
          <w:sz w:val="16"/>
        </w:rPr>
        <w:t xml:space="preserve"> </w:t>
      </w:r>
      <w:r w:rsidRPr="009C4A5A">
        <w:rPr>
          <w:sz w:val="16"/>
        </w:rPr>
        <w:t>Another argument, at one time overexploited by the antismoking movement, is that the consumer is incompetent at maximizing his utility because he lacks information about the risks of tobacco use. This line of argument was abandoned when researchers discovered that consumers generally overestimate the health risk of smoking. Moreover, nobody would seem more motivated than the individual himself in obtaining optimal information (considering the cost of information) about the choices that affect his own life.</w:t>
      </w:r>
      <w:r w:rsidR="00274B8B" w:rsidRPr="009C4A5A">
        <w:rPr>
          <w:sz w:val="16"/>
        </w:rPr>
        <w:t xml:space="preserve"> </w:t>
      </w:r>
      <w:r w:rsidRPr="009C4A5A">
        <w:rPr>
          <w:sz w:val="16"/>
        </w:rPr>
        <w:t xml:space="preserve">Paternalism / Over the past couple of decades, behavioral economics has argued that consumer rationality is diminished by cognitive limitations. Individuals tend to attach more significance to information that confirms their preconceptions (the so-called confirmation bias), give too much credence to immediately available information (availability bias), and so forth. Some public health advocates seize on these ideas to argue for public health officials' involvement in people's health choices. Yet </w:t>
      </w:r>
      <w:r w:rsidRPr="00DD2D90">
        <w:rPr>
          <w:rStyle w:val="StyleUnderline"/>
          <w:highlight w:val="green"/>
        </w:rPr>
        <w:t>an individual</w:t>
      </w:r>
      <w:r w:rsidRPr="00DD2D90">
        <w:rPr>
          <w:rStyle w:val="StyleUnderline"/>
        </w:rPr>
        <w:t xml:space="preserve"> probably </w:t>
      </w:r>
      <w:r w:rsidRPr="00DD2D90">
        <w:rPr>
          <w:rStyle w:val="StyleUnderline"/>
          <w:highlight w:val="green"/>
        </w:rPr>
        <w:t>remains in the best position to make choices regarding his own life</w:t>
      </w:r>
      <w:r w:rsidRPr="00DD2D90">
        <w:rPr>
          <w:rStyle w:val="StyleUnderline"/>
        </w:rPr>
        <w:t xml:space="preserve">, if only because </w:t>
      </w:r>
      <w:r w:rsidRPr="00DD2D90">
        <w:rPr>
          <w:rStyle w:val="StyleUnderline"/>
          <w:highlight w:val="green"/>
        </w:rPr>
        <w:t>anybody else</w:t>
      </w:r>
      <w:r w:rsidRPr="00DD2D90">
        <w:rPr>
          <w:rStyle w:val="StyleUnderline"/>
        </w:rPr>
        <w:t>—including politicians and bureaucrats—</w:t>
      </w:r>
      <w:r w:rsidRPr="00DD2D90">
        <w:rPr>
          <w:rStyle w:val="StyleUnderline"/>
          <w:highlight w:val="green"/>
        </w:rPr>
        <w:t>is subject to the same cognitive limitations</w:t>
      </w:r>
      <w:r w:rsidRPr="009C4A5A">
        <w:rPr>
          <w:sz w:val="16"/>
        </w:rPr>
        <w:t>. As University of Richmond political philosopher Jessica Flanigan puts it, "</w:t>
      </w:r>
      <w:r w:rsidRPr="00DD2D90">
        <w:rPr>
          <w:rStyle w:val="StyleUnderline"/>
          <w:highlight w:val="green"/>
        </w:rPr>
        <w:t>Public health experts are people too</w:t>
      </w:r>
      <w:r w:rsidRPr="009C4A5A">
        <w:rPr>
          <w:sz w:val="16"/>
        </w:rPr>
        <w:t>."</w:t>
      </w:r>
      <w:r w:rsidR="00274B8B" w:rsidRPr="009C4A5A">
        <w:rPr>
          <w:sz w:val="16"/>
        </w:rPr>
        <w:t xml:space="preserve"> </w:t>
      </w:r>
      <w:r w:rsidRPr="009C4A5A">
        <w:rPr>
          <w:sz w:val="16"/>
        </w:rPr>
        <w:t xml:space="preserve">A related line of attack on individual preferences and choices is that some people have better health knowledge than others. If consumers do not know what is good for them, somebody who "knows better" should decide in their stead. This approach is called </w:t>
      </w:r>
      <w:r w:rsidRPr="00DD2D90">
        <w:rPr>
          <w:rStyle w:val="Emphasis"/>
          <w:highlight w:val="green"/>
        </w:rPr>
        <w:t>paternalism</w:t>
      </w:r>
      <w:r w:rsidRPr="009C4A5A">
        <w:rPr>
          <w:sz w:val="16"/>
        </w:rPr>
        <w:t xml:space="preserve"> and it </w:t>
      </w:r>
      <w:r w:rsidRPr="00DD2D90">
        <w:rPr>
          <w:rStyle w:val="StyleUnderline"/>
          <w:highlight w:val="green"/>
        </w:rPr>
        <w:t>serves to justify coercive interventions</w:t>
      </w:r>
      <w:r w:rsidRPr="009C4A5A">
        <w:rPr>
          <w:sz w:val="16"/>
        </w:rPr>
        <w:t>.</w:t>
      </w:r>
      <w:r w:rsidR="00274B8B" w:rsidRPr="009C4A5A">
        <w:rPr>
          <w:sz w:val="16"/>
        </w:rPr>
        <w:t xml:space="preserve"> </w:t>
      </w:r>
      <w:r w:rsidRPr="009C4A5A">
        <w:rPr>
          <w:sz w:val="16"/>
        </w:rPr>
        <w:t>But who are these wise paternalists who know better than the individual how to maximize his welfare? Nineteenth-century British historian Thomas Macaulay nailed down the problem:</w:t>
      </w:r>
      <w:r w:rsidR="00274B8B" w:rsidRPr="009C4A5A">
        <w:rPr>
          <w:sz w:val="16"/>
        </w:rPr>
        <w:t xml:space="preserve"> </w:t>
      </w:r>
      <w:r w:rsidRPr="009C4A5A">
        <w:rPr>
          <w:sz w:val="16"/>
        </w:rPr>
        <w:t xml:space="preserve">And </w:t>
      </w:r>
      <w:r w:rsidRPr="00DD2D90">
        <w:rPr>
          <w:rStyle w:val="StyleUnderline"/>
        </w:rPr>
        <w:t>to say that society ought to be governed by the opinion of the wisest</w:t>
      </w:r>
      <w:r w:rsidRPr="009C4A5A">
        <w:rPr>
          <w:sz w:val="16"/>
        </w:rPr>
        <w:t xml:space="preserve"> and best, though true, is useless. Whose opinion is to decide who are the wisest and best?</w:t>
      </w:r>
      <w:r w:rsidR="00274B8B" w:rsidRPr="009C4A5A">
        <w:rPr>
          <w:sz w:val="16"/>
        </w:rPr>
        <w:t xml:space="preserve"> </w:t>
      </w:r>
      <w:r w:rsidRPr="009C4A5A">
        <w:rPr>
          <w:sz w:val="16"/>
        </w:rPr>
        <w:t xml:space="preserve">In practice, public health experts and activists </w:t>
      </w:r>
      <w:r w:rsidRPr="00DD2D90">
        <w:rPr>
          <w:rStyle w:val="StyleUnderline"/>
        </w:rPr>
        <w:t xml:space="preserve">resemble Plato's </w:t>
      </w:r>
      <w:r w:rsidRPr="00DD2D90">
        <w:rPr>
          <w:rStyle w:val="Emphasis"/>
        </w:rPr>
        <w:t>philosopher kings</w:t>
      </w:r>
      <w:r w:rsidRPr="009C4A5A">
        <w:rPr>
          <w:sz w:val="16"/>
        </w:rPr>
        <w:t>. They reign, subsidized, in universities and government health institutions, ostensibly knowing what is good for society and willing to impose it by force.</w:t>
      </w:r>
      <w:r w:rsidR="00274B8B" w:rsidRPr="009C4A5A">
        <w:rPr>
          <w:sz w:val="16"/>
        </w:rPr>
        <w:t xml:space="preserve"> </w:t>
      </w:r>
      <w:r w:rsidRPr="009C4A5A">
        <w:rPr>
          <w:sz w:val="16"/>
        </w:rPr>
        <w:t xml:space="preserve">Public health experts deny this and claim they are merely implementing what society wants. Turnock talks of the value of public health activities "in the eyes of society." The Institute of Medicine defines public health as "what we, as a society, do collectively to assure the conditions in which people can be healthy." Abhay Indrayan, a now-retired professor of biostatistics at Delhi University College of Medical Sciences, invoked such </w:t>
      </w:r>
      <w:r w:rsidRPr="00DD2D90">
        <w:rPr>
          <w:rStyle w:val="StyleUnderline"/>
          <w:highlight w:val="green"/>
        </w:rPr>
        <w:t>societal preferences</w:t>
      </w:r>
      <w:r w:rsidRPr="009C4A5A">
        <w:rPr>
          <w:sz w:val="16"/>
        </w:rPr>
        <w:t>:</w:t>
      </w:r>
      <w:r w:rsidR="00274B8B" w:rsidRPr="009C4A5A">
        <w:rPr>
          <w:sz w:val="16"/>
        </w:rPr>
        <w:t xml:space="preserve"> </w:t>
      </w:r>
      <w:r w:rsidRPr="009C4A5A">
        <w:rPr>
          <w:sz w:val="16"/>
        </w:rPr>
        <w:t>If you have resources to save only one life, would you choose the one with age 25 or the one with age 70 years? It has been observed that most societies value life between 15 to 40 years more than at younger or older age. Note that we are talking of societal preferences and not of individual choices.</w:t>
      </w:r>
      <w:r w:rsidR="00274B8B" w:rsidRPr="009C4A5A">
        <w:rPr>
          <w:sz w:val="16"/>
        </w:rPr>
        <w:t xml:space="preserve"> </w:t>
      </w:r>
      <w:r w:rsidRPr="009C4A5A">
        <w:rPr>
          <w:sz w:val="16"/>
        </w:rPr>
        <w:t xml:space="preserve">This preference talk is scientific nonsense, beyond its troubling political implications. A well-known result of social choice theory and welfare economics is that "societal preferences" simply do not exist if, by this, we mean a democratic, coherent, and stable aggregation of all individual preferences. The term "societal" itself, which has no ascertainable scientific meaning, may be just a term to avoid the scientific methodology used by welfare economists in discussing social preferences and social welfare. Previously in these pages ("Merkel, Thatcher, and the Stony Minded Stone," Summer 2003), I explained that so-called "social preferences" </w:t>
      </w:r>
      <w:r w:rsidRPr="00DD2D90">
        <w:rPr>
          <w:rStyle w:val="StyleUnderline"/>
          <w:highlight w:val="green"/>
        </w:rPr>
        <w:t>are</w:t>
      </w:r>
      <w:r w:rsidRPr="00DD2D90">
        <w:rPr>
          <w:rStyle w:val="StyleUnderline"/>
        </w:rPr>
        <w:t xml:space="preserve"> either inconsistent</w:t>
      </w:r>
      <w:r w:rsidRPr="009C4A5A">
        <w:rPr>
          <w:sz w:val="16"/>
        </w:rPr>
        <w:t xml:space="preserve"> (as we often see in electoral outcomes) </w:t>
      </w:r>
      <w:r w:rsidRPr="00DD2D90">
        <w:rPr>
          <w:rStyle w:val="StyleUnderline"/>
        </w:rPr>
        <w:t xml:space="preserve">or </w:t>
      </w:r>
      <w:r w:rsidRPr="00DD2D90">
        <w:rPr>
          <w:rStyle w:val="Emphasis"/>
          <w:highlight w:val="green"/>
        </w:rPr>
        <w:t>dictatorial</w:t>
      </w:r>
      <w:r w:rsidRPr="00DD2D90">
        <w:rPr>
          <w:rStyle w:val="StyleUnderline"/>
        </w:rPr>
        <w:t xml:space="preserve"> in the sense that </w:t>
      </w:r>
      <w:r w:rsidRPr="00DD2D90">
        <w:rPr>
          <w:rStyle w:val="StyleUnderline"/>
          <w:highlight w:val="green"/>
        </w:rPr>
        <w:t>some people impose their preferences on others</w:t>
      </w:r>
      <w:r w:rsidRPr="009C4A5A">
        <w:rPr>
          <w:sz w:val="16"/>
        </w:rPr>
        <w:t>.</w:t>
      </w:r>
      <w:r w:rsidR="00274B8B" w:rsidRPr="009C4A5A">
        <w:rPr>
          <w:sz w:val="16"/>
        </w:rPr>
        <w:t xml:space="preserve"> </w:t>
      </w:r>
      <w:r w:rsidRPr="00DD2D90">
        <w:rPr>
          <w:rStyle w:val="StyleUnderline"/>
        </w:rPr>
        <w:t>The contradictory notion that stupid consumers are also wise voters who elect enlightened politicians who hire paternalist philosopher kings to rule the public health system</w:t>
      </w:r>
      <w:r w:rsidRPr="009C4A5A">
        <w:rPr>
          <w:sz w:val="16"/>
        </w:rPr>
        <w:t xml:space="preserve"> may explain why social justice must come to the rescue. Social justice will determine what goes into public health, how tradeoffs must be made, whose "physical, mental, and social well-being" is to be favored, and who is going to pay for it. But note that we have just come back full circle to the philosopher kings, for social justice is a complex philosophical (and economic) concept that can only be given content by philosophers, who have been debating it for centuries.</w:t>
      </w:r>
      <w:r w:rsidR="00274B8B" w:rsidRPr="009C4A5A">
        <w:rPr>
          <w:sz w:val="16"/>
        </w:rPr>
        <w:t xml:space="preserve"> </w:t>
      </w:r>
      <w:r w:rsidRPr="009C4A5A">
        <w:rPr>
          <w:sz w:val="16"/>
        </w:rPr>
        <w:t>Social justice is a mirage that can never be attained because some individuals will always find they don't get enough of it, and the solution will be more and conflicting social justice. (See Friedrich Hayek and Anthony de Jasay on this topic.) In the field of public health, the values or preferences used will be those of the reigning experts or their political masters. (In this context, values are simply preferences regarding preferred states of society.)</w:t>
      </w:r>
      <w:r w:rsidR="00274B8B" w:rsidRPr="009C4A5A">
        <w:rPr>
          <w:sz w:val="16"/>
        </w:rPr>
        <w:t xml:space="preserve"> </w:t>
      </w:r>
      <w:r w:rsidRPr="009C4A5A">
        <w:rPr>
          <w:sz w:val="16"/>
        </w:rPr>
        <w:t>The Supply and Demand of Public Health</w:t>
      </w:r>
      <w:r w:rsidR="00274B8B" w:rsidRPr="009C4A5A">
        <w:rPr>
          <w:sz w:val="16"/>
        </w:rPr>
        <w:t xml:space="preserve"> </w:t>
      </w:r>
      <w:r w:rsidRPr="009C4A5A">
        <w:rPr>
          <w:sz w:val="16"/>
        </w:rPr>
        <w:t>If public health laws and regulations exist, there must be a demand for them. On the demand side, we find organized interests, which are (as usual) overrepresented in the political process. The public health practitioners themselves constitute a large part of these organized interests. They get subsidies and jobs from the government, which they partly use to lobby for more public health intervention. Corporate interests include nonprofit organizations, such as universities and the so-called "poverty industry," as well as for-profit corporations. Since the 1990s, biomedical sciences and the National Institutes of Health have been the main recipients of science and technology funding from the federal government.</w:t>
      </w:r>
      <w:r w:rsidR="00274B8B" w:rsidRPr="009C4A5A">
        <w:rPr>
          <w:sz w:val="16"/>
        </w:rPr>
        <w:t xml:space="preserve"> </w:t>
      </w:r>
      <w:r w:rsidRPr="009C4A5A">
        <w:rPr>
          <w:sz w:val="16"/>
        </w:rPr>
        <w:t>Organized interests only explain part of the demand for public health. By themselves, they might not have beaten the corporate lobbies on the other side—tobacco manufacturers, fast-food chains, alcohol producers, etc.—but they have found allies in those members of the public who want to impose their preferred lifestyle on others. The median-voter theorem probably comes into play here.</w:t>
      </w:r>
      <w:r w:rsidR="00274B8B" w:rsidRPr="009C4A5A">
        <w:rPr>
          <w:sz w:val="16"/>
        </w:rPr>
        <w:t xml:space="preserve"> </w:t>
      </w:r>
      <w:r w:rsidRPr="009C4A5A">
        <w:rPr>
          <w:sz w:val="16"/>
        </w:rPr>
        <w:t>Consider again the example of smoking. The habit is now found mainly among the poor segments of the population. Once the median voter does not smoke anymore and obsesses about his "complete physical, mental, and social well-being," he will be tempted to ask government to impede the competing lifestyles that annoy him—for example, to forbid private venues from catering to smokers. Smoking prohibitions combine with zoning regulations to exclude the poor from places where the median voter hangs out. And they may be the same places that the public health experts sometimes patronize too.</w:t>
      </w:r>
      <w:r w:rsidR="00274B8B" w:rsidRPr="009C4A5A">
        <w:rPr>
          <w:sz w:val="16"/>
        </w:rPr>
        <w:t xml:space="preserve"> </w:t>
      </w:r>
      <w:r w:rsidRPr="009C4A5A">
        <w:rPr>
          <w:sz w:val="16"/>
        </w:rPr>
        <w:t xml:space="preserve">These lifestyle demands are the contemporary version of the temperance movement that gathered speed after the Civil War. Despised lifestyles are now identified as noncontagious </w:t>
      </w:r>
      <w:r w:rsidRPr="00DD2D90">
        <w:rPr>
          <w:rStyle w:val="StyleUnderline"/>
        </w:rPr>
        <w:t>epidemics.</w:t>
      </w:r>
      <w:r w:rsidR="00274B8B" w:rsidRPr="00DD2D90">
        <w:rPr>
          <w:rStyle w:val="StyleUnderline"/>
        </w:rPr>
        <w:t xml:space="preserve"> </w:t>
      </w:r>
      <w:r w:rsidRPr="00DD2D90">
        <w:rPr>
          <w:rStyle w:val="StyleUnderline"/>
        </w:rPr>
        <w:t>In a society lacking a strong concern for individual liberty, a generalized demand for security will also be addressed to the state.</w:t>
      </w:r>
      <w:r w:rsidRPr="009C4A5A">
        <w:rPr>
          <w:sz w:val="16"/>
        </w:rPr>
        <w:t xml:space="preserve"> A large proportion of the </w:t>
      </w:r>
      <w:r w:rsidRPr="00DD2D90">
        <w:rPr>
          <w:rStyle w:val="StyleUnderline"/>
          <w:highlight w:val="green"/>
        </w:rPr>
        <w:t xml:space="preserve">people </w:t>
      </w:r>
      <w:r w:rsidRPr="00DD2D90">
        <w:rPr>
          <w:rStyle w:val="StyleUnderline"/>
        </w:rPr>
        <w:t xml:space="preserve">will </w:t>
      </w:r>
      <w:r w:rsidRPr="00DD2D90">
        <w:rPr>
          <w:rStyle w:val="StyleUnderline"/>
          <w:highlight w:val="green"/>
        </w:rPr>
        <w:t>want their health</w:t>
      </w:r>
      <w:r w:rsidRPr="009C4A5A">
        <w:rPr>
          <w:sz w:val="16"/>
        </w:rPr>
        <w:t>—in the general WHO sense—</w:t>
      </w:r>
      <w:r w:rsidRPr="00DD2D90">
        <w:rPr>
          <w:rStyle w:val="StyleUnderline"/>
          <w:highlight w:val="green"/>
        </w:rPr>
        <w:t>to be taken care of</w:t>
      </w:r>
      <w:r w:rsidRPr="009C4A5A">
        <w:rPr>
          <w:sz w:val="16"/>
        </w:rPr>
        <w:t xml:space="preserve">. They want to be guaranteed "a state of complete physical, mental, and social well-being." James </w:t>
      </w:r>
      <w:r w:rsidRPr="00DD2D90">
        <w:rPr>
          <w:rStyle w:val="StyleUnderline"/>
        </w:rPr>
        <w:t>Buchanan</w:t>
      </w:r>
      <w:r w:rsidRPr="009C4A5A">
        <w:rPr>
          <w:sz w:val="16"/>
        </w:rPr>
        <w:t xml:space="preserve">, the 1986 Nobel economics laureate, </w:t>
      </w:r>
      <w:r w:rsidRPr="00DD2D90">
        <w:rPr>
          <w:rStyle w:val="StyleUnderline"/>
        </w:rPr>
        <w:t>calls "</w:t>
      </w:r>
      <w:r w:rsidRPr="00DD2D90">
        <w:rPr>
          <w:rStyle w:val="Emphasis"/>
        </w:rPr>
        <w:t>parentalism</w:t>
      </w:r>
      <w:r w:rsidRPr="00DD2D90">
        <w:rPr>
          <w:rStyle w:val="StyleUnderline"/>
        </w:rPr>
        <w:t xml:space="preserve">" this desire of the people to be taken care of </w:t>
      </w:r>
      <w:r w:rsidRPr="00DD2D90">
        <w:rPr>
          <w:rStyle w:val="StyleUnderline"/>
          <w:highlight w:val="green"/>
        </w:rPr>
        <w:t>like children by the state</w:t>
      </w:r>
      <w:r w:rsidRPr="00DD2D90">
        <w:rPr>
          <w:rStyle w:val="StyleUnderline"/>
        </w:rPr>
        <w:t xml:space="preserve">. Paternalism then finds </w:t>
      </w:r>
      <w:r w:rsidRPr="00DD2D90">
        <w:rPr>
          <w:rStyle w:val="Emphasis"/>
        </w:rPr>
        <w:t>consenting victims</w:t>
      </w:r>
      <w:r w:rsidRPr="009C4A5A">
        <w:rPr>
          <w:sz w:val="16"/>
        </w:rPr>
        <w:t>.</w:t>
      </w:r>
      <w:r w:rsidR="00274B8B" w:rsidRPr="009C4A5A">
        <w:rPr>
          <w:sz w:val="16"/>
        </w:rPr>
        <w:t xml:space="preserve"> </w:t>
      </w:r>
      <w:r w:rsidRPr="009C4A5A">
        <w:rPr>
          <w:sz w:val="16"/>
        </w:rPr>
        <w:t>Supply / In order to understand how government will respond to these demands, one needs to have at least an implicit model of the state. The implicit model of the government action privileged by public health is rather simple—some would say naive. The state is conceived as an accounting machine that aggregates individual preferences into collective choices, and then moves efficiently to implement them. Public choice theory proposes a more realistic model in which public health measures are supplied by the interaction of politicians and bureaucrats, in response mainly to the demands of organized interests and important electoral clienteles. The interests of politicians and bureaucrats play a big role.</w:t>
      </w:r>
      <w:r w:rsidR="00274B8B" w:rsidRPr="009C4A5A">
        <w:rPr>
          <w:sz w:val="16"/>
        </w:rPr>
        <w:t xml:space="preserve"> </w:t>
      </w:r>
      <w:r w:rsidRPr="009C4A5A">
        <w:rPr>
          <w:sz w:val="16"/>
        </w:rPr>
        <w:t>This second model explains why the state uses public health as a fundraiser. The paradigmatic case of tobacco is interesting. In a 1998 out-of-court settlement following a suit launched by state governments, the states obtained some $243 billion in future payments from tobacco manufacturers for costs that the states claimed smokers foisted on the taxpayers. In fact, those costs didn't exist on net. That smokers do not receive a net subsidy from the government (for the simple reason that they die earlier) is a fact that has been established by an important literature (and is acknowledged in the Encyclopedia of Philosophy entry).</w:t>
      </w:r>
      <w:r w:rsidR="00274B8B" w:rsidRPr="009C4A5A">
        <w:rPr>
          <w:sz w:val="16"/>
        </w:rPr>
        <w:t xml:space="preserve"> </w:t>
      </w:r>
      <w:r w:rsidRPr="009C4A5A">
        <w:rPr>
          <w:sz w:val="16"/>
        </w:rPr>
        <w:t>The ink was barely dry on the 1998 Master Settlement Agreement before many state governments rushed to securitize their future tobacco money in order to spend it immediately on their pet projects. According to Vanderbilt law and economics professor Kip Viscusi, 90 percent of the money collected was allocated to projects such as roads, bridges, parks, and jails—not tobacco-related programs or public health.</w:t>
      </w:r>
      <w:r w:rsidR="00274B8B" w:rsidRPr="009C4A5A">
        <w:rPr>
          <w:sz w:val="16"/>
        </w:rPr>
        <w:t xml:space="preserve"> </w:t>
      </w:r>
      <w:r w:rsidRPr="009C4A5A">
        <w:rPr>
          <w:sz w:val="16"/>
        </w:rPr>
        <w:t>Science and Choice</w:t>
      </w:r>
      <w:r w:rsidR="00274B8B" w:rsidRPr="009C4A5A">
        <w:rPr>
          <w:sz w:val="16"/>
        </w:rPr>
        <w:t xml:space="preserve"> </w:t>
      </w:r>
      <w:r w:rsidRPr="009C4A5A">
        <w:rPr>
          <w:sz w:val="16"/>
        </w:rPr>
        <w:t>The less anti-market public health supporters argue that public health policy choices will not be arbitrary but instead reflect cost-benefit analysis. The main problem with this argument, long recognized by welfare economists, is that the benefits usually go to different people than those who are forced to support the costs. And there is no scientific way to compare subjective costs and benefits, ultimately defined in terms of utility, among different individuals. De Jasay summarizes the problem:</w:t>
      </w:r>
      <w:r w:rsidR="00274B8B" w:rsidRPr="009C4A5A">
        <w:rPr>
          <w:sz w:val="16"/>
        </w:rPr>
        <w:t xml:space="preserve"> </w:t>
      </w:r>
      <w:r w:rsidRPr="009C4A5A">
        <w:rPr>
          <w:sz w:val="16"/>
        </w:rPr>
        <w:t>The long and short of it is that objective and procedurally defined interpersonal comparisons of utility … are merely a roundabout route all the way back to the irreducible arbitrariness to be exercised by authority.</w:t>
      </w:r>
      <w:r w:rsidR="00274B8B" w:rsidRPr="009C4A5A">
        <w:rPr>
          <w:sz w:val="16"/>
        </w:rPr>
        <w:t xml:space="preserve"> </w:t>
      </w:r>
      <w:r w:rsidRPr="009C4A5A">
        <w:rPr>
          <w:sz w:val="16"/>
        </w:rPr>
        <w:t>… The two statements "the state found that increasing group P's utility and decreasing that of group R would result in a net increase of utility" and "the state chose to favor group P over group R" are descriptions of the same reality. [Emphasis in original]</w:t>
      </w:r>
      <w:r w:rsidR="00274B8B" w:rsidRPr="009C4A5A">
        <w:rPr>
          <w:sz w:val="16"/>
        </w:rPr>
        <w:t xml:space="preserve"> </w:t>
      </w:r>
      <w:r w:rsidRPr="009C4A5A">
        <w:rPr>
          <w:sz w:val="16"/>
        </w:rPr>
        <w:t>The fundamental reason for the arbitrariness of public health goes back to the fact that only a small part of its mission is concerned with public goods. Most public health intervention amounts to a redistribution of private goods and privileges.</w:t>
      </w:r>
      <w:r w:rsidR="00274B8B" w:rsidRPr="009C4A5A">
        <w:rPr>
          <w:sz w:val="16"/>
        </w:rPr>
        <w:t xml:space="preserve"> </w:t>
      </w:r>
      <w:r w:rsidRPr="009C4A5A">
        <w:rPr>
          <w:sz w:val="16"/>
        </w:rPr>
        <w:t>Yet, even cost-benefit analysis is too restrictive for most public health experts because it does, however imperfectly, determine whether policies have the potential to improve welfare. To avoid this mild constraint, they prefer other methods, like cost-effectiveness analysis or cost-utility analysis, that have fuzzier methodologies and more arbitrary foundations. Ultimately, they invoke "social justice," which is essentially a way to justify the tradeoffs they favor.</w:t>
      </w:r>
      <w:r w:rsidR="00274B8B" w:rsidRPr="009C4A5A">
        <w:rPr>
          <w:sz w:val="16"/>
        </w:rPr>
        <w:t xml:space="preserve"> </w:t>
      </w:r>
      <w:r w:rsidRPr="009C4A5A">
        <w:rPr>
          <w:sz w:val="16"/>
        </w:rPr>
        <w:t>The activist fringe of the movement is even less scientific. A rule of thumb often proposed for public health interventions, notably in the case of gun control, is the mantra, "If it saves only one life…" Even Barack Obama and Joe Biden have used that incantation. This rule will not do because saving one life here may condemn another one there—for example, the life of the person who is prevented from defending himself. The killing of Eric Garner while he was being arrested for selling illegal cigarettes reminds us that even the war on smoking takes lives. And only the crudest and least scientific utilitarianism would find the political solution in counting the corpses on each side.</w:t>
      </w:r>
      <w:r w:rsidR="00274B8B" w:rsidRPr="009C4A5A">
        <w:rPr>
          <w:sz w:val="16"/>
        </w:rPr>
        <w:t xml:space="preserve"> </w:t>
      </w:r>
      <w:r w:rsidRPr="009C4A5A">
        <w:rPr>
          <w:sz w:val="16"/>
        </w:rPr>
        <w:t>The fundamental reason for the arbitrariness of public health is that only a small part of its mission is concerned with public goods. Most public health interventions amount to redistribution of private goods and privileges.</w:t>
      </w:r>
      <w:r w:rsidR="00274B8B" w:rsidRPr="009C4A5A">
        <w:rPr>
          <w:sz w:val="16"/>
        </w:rPr>
        <w:t xml:space="preserve"> </w:t>
      </w:r>
      <w:r w:rsidRPr="00DD2D90">
        <w:rPr>
          <w:rStyle w:val="StyleUnderline"/>
        </w:rPr>
        <w:t xml:space="preserve">Public health experts and activists are prone to invoke "science" as an ex cathedra criterion for </w:t>
      </w:r>
      <w:r w:rsidRPr="00DD2D90">
        <w:rPr>
          <w:rStyle w:val="Emphasis"/>
        </w:rPr>
        <w:t xml:space="preserve">forcing choices </w:t>
      </w:r>
      <w:r w:rsidRPr="00DD2D90">
        <w:rPr>
          <w:rStyle w:val="StyleUnderline"/>
        </w:rPr>
        <w:t>on others</w:t>
      </w:r>
      <w:r w:rsidRPr="009C4A5A">
        <w:rPr>
          <w:sz w:val="16"/>
        </w:rPr>
        <w:t xml:space="preserve">. Paradoxically, they generally ignore public choice analysis, welfare economics, and social choice theory, three fields of social science that would be most scientifically helpful to them. More fundamentally perhaps, they confuse science and preferences, apparently </w:t>
      </w:r>
      <w:r w:rsidRPr="00DD2D90">
        <w:rPr>
          <w:rStyle w:val="StyleUnderline"/>
        </w:rPr>
        <w:t>believing</w:t>
      </w:r>
      <w:r w:rsidRPr="009C4A5A">
        <w:rPr>
          <w:sz w:val="16"/>
        </w:rPr>
        <w:t xml:space="preserve"> that </w:t>
      </w:r>
      <w:r w:rsidRPr="00DD2D90">
        <w:rPr>
          <w:rStyle w:val="StyleUnderline"/>
        </w:rPr>
        <w:t>scientific</w:t>
      </w:r>
      <w:r w:rsidRPr="009C4A5A">
        <w:rPr>
          <w:sz w:val="16"/>
        </w:rPr>
        <w:t xml:space="preserve"> (provisional) </w:t>
      </w:r>
      <w:r w:rsidRPr="00DD2D90">
        <w:rPr>
          <w:rStyle w:val="StyleUnderline"/>
        </w:rPr>
        <w:t>conclusions justify overruling individual preferences</w:t>
      </w:r>
      <w:r w:rsidRPr="009C4A5A">
        <w:rPr>
          <w:sz w:val="16"/>
        </w:rPr>
        <w:t xml:space="preserve"> that they think conflict with science. In other words, they confuse the positive with the normative.</w:t>
      </w:r>
      <w:r w:rsidR="00274B8B" w:rsidRPr="009C4A5A">
        <w:rPr>
          <w:sz w:val="16"/>
        </w:rPr>
        <w:t xml:space="preserve"> </w:t>
      </w:r>
      <w:r w:rsidRPr="009C4A5A">
        <w:rPr>
          <w:sz w:val="16"/>
        </w:rPr>
        <w:t>Instead, much can be said for an enlightened libertarian approach that combines the recognition of positive science with a moral presumption for the primacy of individual preferences. Even if science establishes that something carries some elevated level of risk for you, you should still be the one making the necessary tradeoffs in your own life. For example, one can admit the statistical evidence that smoking has negative health effects (as shown in Frank Sloan et al.'s The Price of Smoking) and still believe that the decision to smoke or not is each individual's choice. Similarly, one can admit the medical efficacy of vaccines and oppose overriding the preferences of those who refuse them. One can admit that, other things equal, it is better not to be fat, but believe that lifestyle choices leading to obesity should be left to each individual, with whatever advice that he may want to receive or that his friends and family may volunteer.</w:t>
      </w:r>
      <w:r w:rsidR="00274B8B" w:rsidRPr="009C4A5A">
        <w:rPr>
          <w:sz w:val="16"/>
        </w:rPr>
        <w:t xml:space="preserve"> </w:t>
      </w:r>
      <w:r w:rsidRPr="009C4A5A">
        <w:rPr>
          <w:sz w:val="16"/>
        </w:rPr>
        <w:t>Slippery Slopes</w:t>
      </w:r>
      <w:r w:rsidR="00274B8B" w:rsidRPr="009C4A5A">
        <w:rPr>
          <w:sz w:val="16"/>
        </w:rPr>
        <w:t xml:space="preserve"> </w:t>
      </w:r>
      <w:r w:rsidRPr="009C4A5A">
        <w:rPr>
          <w:sz w:val="16"/>
        </w:rPr>
        <w:t>Today's wide concept of public health carries huge implications for regulation. One is that much regulation, if not outright prohibition, of "unhealthy" behaviors and products is required. As public health extends its reach, more foods, drugs, plants, and activities must be controlled.</w:t>
      </w:r>
      <w:r w:rsidR="00274B8B" w:rsidRPr="009C4A5A">
        <w:rPr>
          <w:sz w:val="16"/>
        </w:rPr>
        <w:t xml:space="preserve"> </w:t>
      </w:r>
      <w:r w:rsidRPr="009C4A5A">
        <w:rPr>
          <w:sz w:val="16"/>
        </w:rPr>
        <w:t>Regulation and control have consequences, not all of which are good. Just consider the fact that many products, such as wine, that carry health risks apparently also bring health benefits along with their subjective benefits. Whether to release drugs sooner or wait until they are deemed "safe enough" trades off some lives for others. And this is not counting the fact that some uncertainty always attends these tradeoffs; even scientists change their minds on the health effects of food, as the recent reversal on consumption of fat illustrates.</w:t>
      </w:r>
      <w:r w:rsidR="00274B8B" w:rsidRPr="009C4A5A">
        <w:rPr>
          <w:sz w:val="16"/>
        </w:rPr>
        <w:t xml:space="preserve"> </w:t>
      </w:r>
      <w:r w:rsidRPr="009C4A5A">
        <w:rPr>
          <w:sz w:val="16"/>
        </w:rPr>
        <w:t xml:space="preserve">Slippery slopes are another implication. Some people don't believe in slippery slopes, often because they don't understand the logic of institutions. </w:t>
      </w:r>
      <w:r w:rsidRPr="00DD2D90">
        <w:rPr>
          <w:rStyle w:val="StyleUnderline"/>
        </w:rPr>
        <w:t xml:space="preserve">Government intervention calls for more intervention. </w:t>
      </w:r>
      <w:r w:rsidRPr="00DD2D90">
        <w:rPr>
          <w:rStyle w:val="StyleUnderline"/>
          <w:highlight w:val="green"/>
        </w:rPr>
        <w:t>Consumers become more</w:t>
      </w:r>
      <w:r w:rsidRPr="00DD2D90">
        <w:rPr>
          <w:rStyle w:val="StyleUnderline"/>
        </w:rPr>
        <w:t xml:space="preserve"> and more </w:t>
      </w:r>
      <w:r w:rsidRPr="00DD2D90">
        <w:rPr>
          <w:rStyle w:val="StyleUnderline"/>
          <w:highlight w:val="green"/>
        </w:rPr>
        <w:t>dependent on coercive organizations like the FDA</w:t>
      </w:r>
      <w:r w:rsidRPr="00DD2D90">
        <w:rPr>
          <w:rStyle w:val="StyleUnderline"/>
        </w:rPr>
        <w:t>. The whole process creates and feeds a constituency of subsidized public health experts who will make sure that more bans and regulations are requested and enacted</w:t>
      </w:r>
      <w:r w:rsidRPr="009C4A5A">
        <w:rPr>
          <w:sz w:val="16"/>
        </w:rPr>
        <w:t>. A good example is the current push for banning electronic cigarettes. Even from the point of view of medical science, such a ban appears about as scientific as smoking bans for parks and beaches.</w:t>
      </w:r>
      <w:r w:rsidR="00274B8B" w:rsidRPr="009C4A5A">
        <w:rPr>
          <w:sz w:val="16"/>
        </w:rPr>
        <w:t xml:space="preserve"> </w:t>
      </w:r>
      <w:r w:rsidRPr="009C4A5A">
        <w:rPr>
          <w:sz w:val="16"/>
        </w:rPr>
        <w:t>Interestingly, public health itself can be seen as the product of a slippery political slope. It is barely enumerated powers that have allowed the federal government to enter this field. Since "health" is not mentioned a single time in the U.S. Constitution, the federal government's intervention in public health has been justified by citing the general welfare and commerce clauses.</w:t>
      </w:r>
      <w:r w:rsidR="00274B8B" w:rsidRPr="009C4A5A">
        <w:rPr>
          <w:sz w:val="16"/>
        </w:rPr>
        <w:t xml:space="preserve"> </w:t>
      </w:r>
      <w:r w:rsidRPr="009C4A5A">
        <w:rPr>
          <w:sz w:val="16"/>
        </w:rPr>
        <w:t xml:space="preserve">The public health slope remains very slippery. For example, </w:t>
      </w:r>
      <w:r w:rsidRPr="00DD2D90">
        <w:rPr>
          <w:rStyle w:val="StyleUnderline"/>
        </w:rPr>
        <w:t>some public health advocates have argued for a parenting license scheme</w:t>
      </w:r>
      <w:r w:rsidRPr="009C4A5A">
        <w:rPr>
          <w:sz w:val="16"/>
        </w:rPr>
        <w:t>. Sir Roy Calne, a famous British surgeon, writes:</w:t>
      </w:r>
      <w:r w:rsidR="00274B8B" w:rsidRPr="009C4A5A">
        <w:rPr>
          <w:sz w:val="16"/>
        </w:rPr>
        <w:t xml:space="preserve"> </w:t>
      </w:r>
      <w:r w:rsidRPr="009C4A5A">
        <w:rPr>
          <w:sz w:val="16"/>
        </w:rPr>
        <w:t>It would not be unreasonable, by analogy with a motor vehicle license, that a permit to reproduce should also be needed with a minimum age of, for example, twenty-five, and a proof required that the parents are of sufficient maturity and financial resource to take proper care of the child.</w:t>
      </w:r>
      <w:r w:rsidR="00274B8B" w:rsidRPr="009C4A5A">
        <w:rPr>
          <w:sz w:val="16"/>
        </w:rPr>
        <w:t xml:space="preserve"> </w:t>
      </w:r>
      <w:r w:rsidRPr="009C4A5A">
        <w:rPr>
          <w:sz w:val="16"/>
        </w:rPr>
        <w:t>Jack Westman, a professor at the University of Wisconsin School of Medicine and Public Health, explains:</w:t>
      </w:r>
      <w:r w:rsidR="00274B8B" w:rsidRPr="009C4A5A">
        <w:rPr>
          <w:sz w:val="16"/>
        </w:rPr>
        <w:t xml:space="preserve"> </w:t>
      </w:r>
      <w:r w:rsidRPr="009C4A5A">
        <w:rPr>
          <w:sz w:val="16"/>
        </w:rPr>
        <w:t>The denial or revocation of a parenting license would be expected to be a painful experience, particularly for mothers. … The overall importance of protecting innocent children from incompetent parenting justifies the inconvenience to a few parents and the inevitable imperfections of a licensing system.</w:t>
      </w:r>
      <w:r w:rsidR="00274B8B" w:rsidRPr="009C4A5A">
        <w:rPr>
          <w:sz w:val="16"/>
        </w:rPr>
        <w:t xml:space="preserve"> </w:t>
      </w:r>
      <w:r w:rsidRPr="009C4A5A">
        <w:rPr>
          <w:sz w:val="16"/>
        </w:rPr>
        <w:t>Duty to be healthy? / Depending on the political system, the rulers, their preferences, and the constraints they face, the results of the public health regulatory agenda can be very troubling from both an economic and a moral viewpoint.</w:t>
      </w:r>
      <w:r w:rsidR="00274B8B" w:rsidRPr="009C4A5A">
        <w:rPr>
          <w:sz w:val="16"/>
        </w:rPr>
        <w:t xml:space="preserve"> </w:t>
      </w:r>
      <w:r w:rsidRPr="009C4A5A">
        <w:rPr>
          <w:sz w:val="16"/>
        </w:rPr>
        <w:t xml:space="preserve">In his remarkable book The Nazi War on Cancer, Robert Proctor shows how </w:t>
      </w:r>
      <w:r w:rsidRPr="00DD2D90">
        <w:rPr>
          <w:rStyle w:val="Emphasis"/>
          <w:highlight w:val="green"/>
        </w:rPr>
        <w:t>Nazi Germany</w:t>
      </w:r>
      <w:r w:rsidRPr="00DD2D90">
        <w:rPr>
          <w:rStyle w:val="StyleUnderline"/>
          <w:highlight w:val="green"/>
        </w:rPr>
        <w:t xml:space="preserve"> was</w:t>
      </w:r>
      <w:r w:rsidRPr="00DD2D90">
        <w:rPr>
          <w:rStyle w:val="StyleUnderline"/>
        </w:rPr>
        <w:t xml:space="preserve"> as close to </w:t>
      </w:r>
      <w:r w:rsidRPr="00DD2D90">
        <w:rPr>
          <w:rStyle w:val="StyleUnderline"/>
          <w:highlight w:val="green"/>
        </w:rPr>
        <w:t>a public health utopia</w:t>
      </w:r>
      <w:r w:rsidRPr="00DD2D90">
        <w:rPr>
          <w:rStyle w:val="StyleUnderline"/>
        </w:rPr>
        <w:t xml:space="preserve"> as could be imagined</w:t>
      </w:r>
      <w:r w:rsidRPr="009C4A5A">
        <w:rPr>
          <w:sz w:val="16"/>
        </w:rPr>
        <w:t xml:space="preserve">—except of course for the persecuted Jews and other victims who were on the cost side of the cost-benefit balance. </w:t>
      </w:r>
      <w:r w:rsidRPr="00DD2D90">
        <w:rPr>
          <w:rStyle w:val="Emphasis"/>
        </w:rPr>
        <w:t>Nazi slogans</w:t>
      </w:r>
      <w:r w:rsidRPr="009C4A5A">
        <w:rPr>
          <w:sz w:val="16"/>
        </w:rPr>
        <w:t xml:space="preserve"> expressed in stark terms the collectivist and statist drift of public health: "</w:t>
      </w:r>
      <w:r w:rsidRPr="00DD2D90">
        <w:rPr>
          <w:rStyle w:val="StyleUnderline"/>
          <w:highlight w:val="green"/>
        </w:rPr>
        <w:t>Your body belongs to the nation</w:t>
      </w:r>
      <w:r w:rsidRPr="00DD2D90">
        <w:rPr>
          <w:rStyle w:val="StyleUnderline"/>
        </w:rPr>
        <w:t>." "</w:t>
      </w:r>
      <w:r w:rsidRPr="00DD2D90">
        <w:rPr>
          <w:rStyle w:val="StyleUnderline"/>
          <w:highlight w:val="green"/>
        </w:rPr>
        <w:t>Food is not a private matter</w:t>
      </w:r>
      <w:r w:rsidRPr="00DD2D90">
        <w:rPr>
          <w:rStyle w:val="StyleUnderline"/>
        </w:rPr>
        <w:t>." "</w:t>
      </w:r>
      <w:r w:rsidRPr="00DD2D90">
        <w:rPr>
          <w:rStyle w:val="StyleUnderline"/>
          <w:highlight w:val="green"/>
        </w:rPr>
        <w:t>You have the duty to be healthy</w:t>
      </w:r>
      <w:r w:rsidRPr="009C4A5A">
        <w:rPr>
          <w:sz w:val="16"/>
        </w:rPr>
        <w:t xml:space="preserve">." The Nazis were the first to mount a government campaign against smoking. They were the first to </w:t>
      </w:r>
      <w:r w:rsidRPr="00DD2D90">
        <w:rPr>
          <w:rStyle w:val="StyleUnderline"/>
          <w:highlight w:val="green"/>
        </w:rPr>
        <w:t>ban smoking</w:t>
      </w:r>
      <w:r w:rsidRPr="009C4A5A">
        <w:rPr>
          <w:sz w:val="16"/>
        </w:rPr>
        <w:t xml:space="preserve"> on a university campus, at the University of Jena, presided by Karl Astel, a Nazi official who committed suicide before the Allies entered Berlin.</w:t>
      </w:r>
      <w:r w:rsidR="00274B8B" w:rsidRPr="009C4A5A">
        <w:rPr>
          <w:sz w:val="16"/>
        </w:rPr>
        <w:t xml:space="preserve"> </w:t>
      </w:r>
      <w:r w:rsidRPr="009C4A5A">
        <w:rPr>
          <w:sz w:val="16"/>
        </w:rPr>
        <w:t xml:space="preserve">Those who govern today's </w:t>
      </w:r>
      <w:r w:rsidRPr="00DD2D90">
        <w:rPr>
          <w:rStyle w:val="StyleUnderline"/>
          <w:highlight w:val="green"/>
        </w:rPr>
        <w:t>western countries are</w:t>
      </w:r>
      <w:r w:rsidRPr="009C4A5A">
        <w:rPr>
          <w:sz w:val="16"/>
        </w:rPr>
        <w:t xml:space="preserve"> not wicked like the Nazis, but nice and </w:t>
      </w:r>
      <w:r w:rsidRPr="00DD2D90">
        <w:rPr>
          <w:rStyle w:val="StyleUnderline"/>
          <w:highlight w:val="green"/>
        </w:rPr>
        <w:t>paternalistic</w:t>
      </w:r>
      <w:r w:rsidRPr="009C4A5A">
        <w:rPr>
          <w:sz w:val="16"/>
        </w:rPr>
        <w:t xml:space="preserve">. </w:t>
      </w:r>
      <w:r w:rsidRPr="00DD2D90">
        <w:rPr>
          <w:rStyle w:val="StyleUnderline"/>
          <w:highlight w:val="green"/>
        </w:rPr>
        <w:t>They</w:t>
      </w:r>
      <w:r w:rsidRPr="00DD2D90">
        <w:rPr>
          <w:rStyle w:val="StyleUnderline"/>
        </w:rPr>
        <w:t xml:space="preserve"> still </w:t>
      </w:r>
      <w:r w:rsidRPr="00DD2D90">
        <w:rPr>
          <w:rStyle w:val="StyleUnderline"/>
          <w:highlight w:val="green"/>
        </w:rPr>
        <w:t>impose</w:t>
      </w:r>
      <w:r w:rsidRPr="00DD2D90">
        <w:rPr>
          <w:rStyle w:val="StyleUnderline"/>
        </w:rPr>
        <w:t xml:space="preserve">, albeit much less </w:t>
      </w:r>
      <w:r w:rsidRPr="00DD2D90">
        <w:rPr>
          <w:rStyle w:val="StyleUnderline"/>
          <w:highlight w:val="green"/>
        </w:rPr>
        <w:t>cruelly</w:t>
      </w:r>
      <w:r w:rsidRPr="00DD2D90">
        <w:rPr>
          <w:rStyle w:val="StyleUnderline"/>
        </w:rPr>
        <w:t xml:space="preserve">, their </w:t>
      </w:r>
      <w:r w:rsidRPr="00DD2D90">
        <w:rPr>
          <w:rStyle w:val="StyleUnderline"/>
          <w:highlight w:val="green"/>
        </w:rPr>
        <w:t>preferences</w:t>
      </w:r>
      <w:r w:rsidRPr="009C4A5A">
        <w:rPr>
          <w:sz w:val="16"/>
        </w:rPr>
        <w:t>—or the preferences of their electoral clienteles—</w:t>
      </w:r>
      <w:r w:rsidRPr="00DD2D90">
        <w:rPr>
          <w:rStyle w:val="StyleUnderline"/>
          <w:highlight w:val="green"/>
        </w:rPr>
        <w:t>on nonconformists</w:t>
      </w:r>
      <w:r w:rsidRPr="00DD2D90">
        <w:rPr>
          <w:rStyle w:val="StyleUnderline"/>
        </w:rPr>
        <w:t>. The results are not blissful for those who do not share those preferences</w:t>
      </w:r>
      <w:r w:rsidRPr="009C4A5A">
        <w:rPr>
          <w:sz w:val="16"/>
        </w:rPr>
        <w:t>.</w:t>
      </w:r>
      <w:r w:rsidR="00274B8B" w:rsidRPr="009C4A5A">
        <w:rPr>
          <w:sz w:val="16"/>
        </w:rPr>
        <w:t xml:space="preserve"> </w:t>
      </w:r>
      <w:r w:rsidRPr="009C4A5A">
        <w:rPr>
          <w:sz w:val="16"/>
        </w:rPr>
        <w:t xml:space="preserve">How ideology interfaces with public health is an interesting question. Peter Jacobson recognizes that "most health law/policy scholars would identify as being on the political left." Most of the rest are probably also statists. At least in America, </w:t>
      </w:r>
      <w:r w:rsidRPr="00DD2D90">
        <w:rPr>
          <w:rStyle w:val="StyleUnderline"/>
        </w:rPr>
        <w:t>public health experts may be carrying over some the coercive values of the nation's Puritan ancestors</w:t>
      </w:r>
      <w:r w:rsidRPr="009C4A5A">
        <w:rPr>
          <w:sz w:val="16"/>
        </w:rPr>
        <w:t>. To paraphrase H. L. Mencken's characterization of Puritanism, public health experts are subject to the haunting fear that someone, somewhere, is having fun.</w:t>
      </w:r>
      <w:r w:rsidR="00274B8B" w:rsidRPr="009C4A5A">
        <w:rPr>
          <w:sz w:val="16"/>
        </w:rPr>
        <w:t xml:space="preserve"> </w:t>
      </w:r>
      <w:r w:rsidRPr="009C4A5A">
        <w:rPr>
          <w:sz w:val="16"/>
        </w:rPr>
        <w:t>Whether the motivations presiding over public health policies are nice or nasty, public health regulations will not necessarily be consistent with scientific requirements. It is not only that scientific evidence is often uncertain and always evolving, but also that public health regulation responds to the preferences and values of the ruling public health experts and their political masters, as mediated by political and bureaucratic processes. And like ordinary people, all the involved officials have cognitive limitations and biases.</w:t>
      </w:r>
      <w:r w:rsidR="00274B8B" w:rsidRPr="009C4A5A">
        <w:rPr>
          <w:sz w:val="16"/>
        </w:rPr>
        <w:t xml:space="preserve"> </w:t>
      </w:r>
      <w:r w:rsidRPr="009C4A5A">
        <w:rPr>
          <w:sz w:val="16"/>
        </w:rPr>
        <w:t xml:space="preserve">This may explain why, for example, </w:t>
      </w:r>
      <w:r w:rsidRPr="00DD2D90">
        <w:rPr>
          <w:rStyle w:val="StyleUnderline"/>
        </w:rPr>
        <w:t>the public health establishment campaigns more against guns than against swimming</w:t>
      </w:r>
      <w:r w:rsidRPr="009C4A5A">
        <w:rPr>
          <w:sz w:val="16"/>
        </w:rPr>
        <w:t xml:space="preserve"> (and swimming pools), although accidental drowning and submersion accidents kill four times more people than gun accidents. </w:t>
      </w:r>
      <w:r w:rsidRPr="00DD2D90">
        <w:rPr>
          <w:rStyle w:val="StyleUnderline"/>
        </w:rPr>
        <w:t>They also campaign more against guns than against motor vehicles</w:t>
      </w:r>
      <w:r w:rsidRPr="009C4A5A">
        <w:rPr>
          <w:sz w:val="16"/>
        </w:rPr>
        <w:t xml:space="preserve">, which kill 13 percent more people than guns (homicides and suicides combined). Similarly, </w:t>
      </w:r>
      <w:r w:rsidRPr="00DD2D90">
        <w:rPr>
          <w:rStyle w:val="StyleUnderline"/>
        </w:rPr>
        <w:t>alcohol, which is known to impose a "social cost" much higher than tobacco, is probably better accepted because the ruling classes like it</w:t>
      </w:r>
      <w:r w:rsidRPr="009C4A5A">
        <w:rPr>
          <w:sz w:val="16"/>
        </w:rPr>
        <w:t>. Perhaps the same reasoning applies to recreational drugs, which public health currently seems to tolerate better than tobacco. Today's push toward decriminalization of some recreational drugs is an encouraging break in public health's disturbing long-run trend.</w:t>
      </w:r>
      <w:r w:rsidR="00274B8B" w:rsidRPr="009C4A5A">
        <w:rPr>
          <w:sz w:val="16"/>
        </w:rPr>
        <w:t xml:space="preserve"> </w:t>
      </w:r>
      <w:r w:rsidRPr="009C4A5A">
        <w:rPr>
          <w:sz w:val="16"/>
        </w:rPr>
        <w:t>A Sanitary Utopia</w:t>
      </w:r>
      <w:r w:rsidR="00274B8B" w:rsidRPr="009C4A5A">
        <w:rPr>
          <w:sz w:val="16"/>
        </w:rPr>
        <w:t xml:space="preserve"> </w:t>
      </w:r>
      <w:r w:rsidRPr="00DD2D90">
        <w:rPr>
          <w:rStyle w:val="StyleUnderline"/>
        </w:rPr>
        <w:t>The public health movement</w:t>
      </w:r>
      <w:r w:rsidRPr="009C4A5A">
        <w:rPr>
          <w:sz w:val="16"/>
        </w:rPr>
        <w:t xml:space="preserve"> naturally </w:t>
      </w:r>
      <w:r w:rsidRPr="00DD2D90">
        <w:rPr>
          <w:rStyle w:val="StyleUnderline"/>
        </w:rPr>
        <w:t>wants to undermine</w:t>
      </w:r>
      <w:r w:rsidRPr="009C4A5A">
        <w:rPr>
          <w:sz w:val="16"/>
        </w:rPr>
        <w:t xml:space="preserve"> institutions that favor resistance to its regulatory agenda. </w:t>
      </w:r>
      <w:r w:rsidRPr="00DD2D90">
        <w:rPr>
          <w:rStyle w:val="StyleUnderline"/>
        </w:rPr>
        <w:t>Private property</w:t>
      </w:r>
      <w:r w:rsidRPr="009C4A5A">
        <w:rPr>
          <w:sz w:val="16"/>
        </w:rPr>
        <w:t xml:space="preserve"> is one such institution, for it can solve many externality problems without resorting to public health experts and government coercion.</w:t>
      </w:r>
      <w:r w:rsidR="00274B8B" w:rsidRPr="009C4A5A">
        <w:rPr>
          <w:sz w:val="16"/>
        </w:rPr>
        <w:t xml:space="preserve"> </w:t>
      </w:r>
      <w:r w:rsidRPr="009C4A5A">
        <w:rPr>
          <w:sz w:val="16"/>
        </w:rPr>
        <w:t>The standard example is smoking in so-called "public" places. Assume (even if it strains credulity) that minimal exposure to secondhand tobacco smoke carries real health risks. In a free society, one would expect private entrepreneurs to open private venues (restaurants, bars, etc.) on private property in order to welcome smokers and other patrons who are unconcerned about secondhand smoke or believe the benefits of patronizing a given smoking-allowed establishment outweighs the risk. (See "The Case Against Smoking Bans," Winter 2006–2007.) Or a non-smoker may just want to be nice to a smoking friend he will have lunch with. Similarly, workers would make their own choices between working in a smoking or non-smoking environment. To prevent this diversity, the public health movement has contributed to the redefinition of "public place" as any private place where the public is admitted, a redefinition that amounts to a nationalization of the air in private businesses.</w:t>
      </w:r>
      <w:r w:rsidR="00274B8B" w:rsidRPr="009C4A5A">
        <w:rPr>
          <w:sz w:val="16"/>
        </w:rPr>
        <w:t xml:space="preserve"> </w:t>
      </w:r>
      <w:r w:rsidRPr="009C4A5A">
        <w:rPr>
          <w:sz w:val="16"/>
        </w:rPr>
        <w:t>Illustrating further the logic of regulatory institutions, one new trend is to ban smoking in private cars where children are present, bulldozing the rather straightforward idea that private cars are private spaces like the family living room. The state should, no doubt, protect children against criminal aggressions and egregious neglect, but what we have here is another step in the usurpation of the parent's role. The exploitation of children by the public health movement is troubling, as if it were not in most children's interest to inherit a world where individual liberty and private property are respected.</w:t>
      </w:r>
      <w:r w:rsidR="00274B8B" w:rsidRPr="009C4A5A">
        <w:rPr>
          <w:sz w:val="16"/>
        </w:rPr>
        <w:t xml:space="preserve"> </w:t>
      </w:r>
      <w:r w:rsidRPr="009C4A5A">
        <w:rPr>
          <w:sz w:val="16"/>
        </w:rPr>
        <w:t xml:space="preserve">Some public health experts and activists openly oppose capitalism and the free market. In a 2006 American Journal of Public Health article, "Public Health and the Anticorporate Movement: Rationale and Recommendations," William Hist argues that "the field of public health needs to address the corporate entity as a distal, structural, societal factor that causes disease and injury." A 2012 BMJ (formerly British Medical Journal) article titled "Why Corporate Power Is a Public Health Priority" by Gerard Hastings argues that "lethal though tobacco is, the harm done to public health by our economic system is far greater." </w:t>
      </w:r>
      <w:r w:rsidRPr="00DD2D90">
        <w:rPr>
          <w:rStyle w:val="StyleUnderline"/>
        </w:rPr>
        <w:t>Marketing</w:t>
      </w:r>
      <w:r w:rsidRPr="009C4A5A">
        <w:rPr>
          <w:sz w:val="16"/>
        </w:rPr>
        <w:t>, he claimed, "</w:t>
      </w:r>
      <w:r w:rsidRPr="00DD2D90">
        <w:rPr>
          <w:rStyle w:val="StyleUnderline"/>
        </w:rPr>
        <w:t>undermines our mental as well as our physical well-being</w:t>
      </w:r>
      <w:r w:rsidRPr="009C4A5A">
        <w:rPr>
          <w:sz w:val="16"/>
        </w:rPr>
        <w:t>," and marketing by multinationals presents "a major threat to public health."</w:t>
      </w:r>
      <w:r w:rsidR="00274B8B" w:rsidRPr="009C4A5A">
        <w:rPr>
          <w:sz w:val="16"/>
        </w:rPr>
        <w:t xml:space="preserve"> </w:t>
      </w:r>
      <w:r w:rsidRPr="00DD2D90">
        <w:rPr>
          <w:rStyle w:val="StyleUnderline"/>
        </w:rPr>
        <w:t>The prohibition of fracking</w:t>
      </w:r>
      <w:r w:rsidRPr="009C4A5A">
        <w:rPr>
          <w:sz w:val="16"/>
        </w:rPr>
        <w:t xml:space="preserve"> in the state of New York recently </w:t>
      </w:r>
      <w:r w:rsidRPr="00DD2D90">
        <w:rPr>
          <w:rStyle w:val="StyleUnderline"/>
        </w:rPr>
        <w:t xml:space="preserve">provided another interesting example of </w:t>
      </w:r>
      <w:r w:rsidRPr="00DD2D90">
        <w:rPr>
          <w:rStyle w:val="StyleUnderline"/>
          <w:highlight w:val="green"/>
        </w:rPr>
        <w:t xml:space="preserve">public health's </w:t>
      </w:r>
      <w:r w:rsidRPr="00DD2D90">
        <w:rPr>
          <w:rStyle w:val="Emphasis"/>
          <w:highlight w:val="green"/>
        </w:rPr>
        <w:t>regulatory imperialism</w:t>
      </w:r>
      <w:r w:rsidRPr="009C4A5A">
        <w:rPr>
          <w:sz w:val="16"/>
        </w:rPr>
        <w:t>. The state's acting health commissioner declared that fracking raises "red flags" and should be forbidden. "I consider the people of New York as my patients," he explained (quoted in The Telegraph, December 24, 2014).</w:t>
      </w:r>
      <w:r w:rsidR="00274B8B" w:rsidRPr="009C4A5A">
        <w:rPr>
          <w:sz w:val="16"/>
        </w:rPr>
        <w:t xml:space="preserve"> </w:t>
      </w:r>
      <w:r w:rsidRPr="009C4A5A">
        <w:rPr>
          <w:sz w:val="16"/>
        </w:rPr>
        <w:t xml:space="preserve">Public health theorists, even enlightened ones, argue for creating a "public health culture." The idea is to lead people, by propaganda and habit-creating laws, to espouse the public health priorities decided by the experts. </w:t>
      </w:r>
      <w:r w:rsidRPr="00DD2D90">
        <w:rPr>
          <w:rStyle w:val="StyleUnderline"/>
        </w:rPr>
        <w:t xml:space="preserve">It </w:t>
      </w:r>
      <w:r w:rsidRPr="00DD2D90">
        <w:rPr>
          <w:rStyle w:val="StyleUnderline"/>
          <w:highlight w:val="green"/>
        </w:rPr>
        <w:t>amounts to social engineering society</w:t>
      </w:r>
      <w:r w:rsidRPr="009C4A5A">
        <w:rPr>
          <w:sz w:val="16"/>
        </w:rPr>
        <w:t xml:space="preserve"> so that individuals voluntarily pursue what the state wants them to pursue.</w:t>
      </w:r>
      <w:r w:rsidR="00274B8B" w:rsidRPr="009C4A5A">
        <w:rPr>
          <w:sz w:val="16"/>
        </w:rPr>
        <w:t xml:space="preserve"> </w:t>
      </w:r>
      <w:r w:rsidRPr="009C4A5A">
        <w:rPr>
          <w:sz w:val="16"/>
        </w:rPr>
        <w:t>Conclusion</w:t>
      </w:r>
      <w:r w:rsidR="00274B8B" w:rsidRPr="009C4A5A">
        <w:rPr>
          <w:sz w:val="16"/>
        </w:rPr>
        <w:t xml:space="preserve"> </w:t>
      </w:r>
      <w:r w:rsidRPr="009C4A5A">
        <w:rPr>
          <w:sz w:val="16"/>
        </w:rPr>
        <w:t xml:space="preserve">Public health today is not a field of science but a political movement with a regulatory agenda. "In many respects," writes Turnock, "it is more reasonable to view public health as a movement than as a profession." "Public health," the Encyclopedia of Philosophy tells us, "is focused on regulation and public policy." </w:t>
      </w:r>
      <w:r w:rsidRPr="00DD2D90">
        <w:rPr>
          <w:rStyle w:val="StyleUnderline"/>
          <w:highlight w:val="green"/>
        </w:rPr>
        <w:t>Public health experts claim a jurisdiction that covers anything</w:t>
      </w:r>
      <w:r w:rsidRPr="009C4A5A">
        <w:rPr>
          <w:sz w:val="16"/>
        </w:rPr>
        <w:t xml:space="preserve"> related to welfare, little of which consists of genuine public goods.</w:t>
      </w:r>
      <w:r w:rsidR="00274B8B" w:rsidRPr="009C4A5A">
        <w:rPr>
          <w:sz w:val="16"/>
        </w:rPr>
        <w:t xml:space="preserve"> </w:t>
      </w:r>
      <w:r w:rsidRPr="00DD2D90">
        <w:rPr>
          <w:rStyle w:val="StyleUnderline"/>
          <w:highlight w:val="green"/>
        </w:rPr>
        <w:t>The</w:t>
      </w:r>
      <w:r w:rsidRPr="009C4A5A">
        <w:rPr>
          <w:sz w:val="16"/>
        </w:rPr>
        <w:t xml:space="preserve"> basic </w:t>
      </w:r>
      <w:r w:rsidRPr="00DD2D90">
        <w:rPr>
          <w:rStyle w:val="StyleUnderline"/>
          <w:highlight w:val="green"/>
        </w:rPr>
        <w:t>thrust</w:t>
      </w:r>
      <w:r w:rsidRPr="00DD2D90">
        <w:rPr>
          <w:rStyle w:val="StyleUnderline"/>
        </w:rPr>
        <w:t xml:space="preserve"> of public health </w:t>
      </w:r>
      <w:r w:rsidRPr="00DD2D90">
        <w:rPr>
          <w:rStyle w:val="StyleUnderline"/>
          <w:highlight w:val="green"/>
        </w:rPr>
        <w:t>is to remove decisions from</w:t>
      </w:r>
      <w:r w:rsidRPr="00DD2D90">
        <w:rPr>
          <w:rStyle w:val="StyleUnderline"/>
        </w:rPr>
        <w:t xml:space="preserve"> the domain of </w:t>
      </w:r>
      <w:r w:rsidRPr="00DD2D90">
        <w:rPr>
          <w:rStyle w:val="StyleUnderline"/>
          <w:highlight w:val="green"/>
        </w:rPr>
        <w:t>individual choice</w:t>
      </w:r>
      <w:r w:rsidRPr="009C4A5A">
        <w:rPr>
          <w:sz w:val="16"/>
        </w:rPr>
        <w:t>. For example, public health experts believe that driving is a privilege, not a right, and probably extend this characterization to any activity that they don't like or for which they think they would easily qualify (like parenting rights).</w:t>
      </w:r>
      <w:r w:rsidR="00274B8B" w:rsidRPr="009C4A5A">
        <w:rPr>
          <w:sz w:val="16"/>
        </w:rPr>
        <w:t xml:space="preserve"> </w:t>
      </w:r>
      <w:r w:rsidRPr="00DD2D90">
        <w:rPr>
          <w:rStyle w:val="StyleUnderline"/>
        </w:rPr>
        <w:t xml:space="preserve">Slippery slopes mar the whole history of public health, from the eugenics movement's </w:t>
      </w:r>
      <w:r w:rsidRPr="00DD2D90">
        <w:rPr>
          <w:rStyle w:val="Emphasis"/>
        </w:rPr>
        <w:t>forced sterilization</w:t>
      </w:r>
      <w:r w:rsidRPr="00DD2D90">
        <w:rPr>
          <w:rStyle w:val="StyleUnderline"/>
        </w:rPr>
        <w:t xml:space="preserve"> to the Nazi drift or</w:t>
      </w:r>
      <w:r w:rsidRPr="009C4A5A">
        <w:rPr>
          <w:sz w:val="16"/>
        </w:rPr>
        <w:t xml:space="preserve">, if one wishes softer examples, from </w:t>
      </w:r>
      <w:r w:rsidRPr="00DD2D90">
        <w:rPr>
          <w:rStyle w:val="StyleUnderline"/>
        </w:rPr>
        <w:t>the treatment of the insane to Prohibition</w:t>
      </w:r>
      <w:r w:rsidRPr="009C4A5A">
        <w:rPr>
          <w:sz w:val="16"/>
        </w:rPr>
        <w:t>, to the current harassment of smokers, and to the partial nationalization of "public" places. Despite some reversals, the slope is as slippery as it ever was.</w:t>
      </w:r>
      <w:r w:rsidR="00274B8B" w:rsidRPr="009C4A5A">
        <w:rPr>
          <w:sz w:val="16"/>
        </w:rPr>
        <w:t xml:space="preserve"> </w:t>
      </w:r>
      <w:r w:rsidRPr="009C4A5A">
        <w:rPr>
          <w:sz w:val="16"/>
        </w:rPr>
        <w:t>Twentieth-century literature presents us with two main models of dystopias, depending on the wickedness or niceness of those who control the state. George Orwell's 1984 is dominated by an egoistic, totalitarian, and cruel tyrant. Adlous Huxley's Brave New World labors under a more impersonal and paternalistic, but still totalitarian, tyrant: people can be happy provided they stay within the official definition of happiness and take their pills. One variant of the Huxley model is George Lucas's movie THX-1138: "Work hard, increase production, prevent accidents and be happy. … Blessings of the state, blessings of the masses…. We are here to help you.… You're in violation. I'm gonna have to report you to the authorities." The sanitary utopia of today's public health looks like the Huxley–Lucas dystopia.</w:t>
      </w:r>
      <w:r w:rsidR="00274B8B" w:rsidRPr="009C4A5A">
        <w:rPr>
          <w:sz w:val="16"/>
        </w:rPr>
        <w:t xml:space="preserve"> </w:t>
      </w:r>
    </w:p>
    <w:p w14:paraId="0C300EB6" w14:textId="77777777" w:rsidR="00F81E93" w:rsidRPr="009C4A5A" w:rsidRDefault="00F81E93">
      <w:pPr>
        <w:rPr>
          <w:rFonts w:eastAsiaTheme="majorEastAsia" w:cstheme="majorBidi"/>
          <w:b/>
          <w:iCs/>
          <w:sz w:val="16"/>
        </w:rPr>
      </w:pPr>
      <w:r w:rsidRPr="009C4A5A">
        <w:rPr>
          <w:sz w:val="16"/>
        </w:rPr>
        <w:br w:type="page"/>
      </w:r>
    </w:p>
    <w:p w14:paraId="4CF7B436" w14:textId="261EF1D4" w:rsidR="008732A1" w:rsidRPr="009C4A5A" w:rsidRDefault="00536CC5" w:rsidP="008732A1">
      <w:pPr>
        <w:pStyle w:val="Heading4"/>
        <w:rPr>
          <w:szCs w:val="26"/>
        </w:rPr>
      </w:pPr>
      <w:r w:rsidRPr="009C4A5A">
        <w:rPr>
          <w:szCs w:val="26"/>
        </w:rPr>
        <w:t xml:space="preserve">Central planning in a sector </w:t>
      </w:r>
      <w:r w:rsidR="008732A1" w:rsidRPr="009C4A5A">
        <w:rPr>
          <w:szCs w:val="26"/>
        </w:rPr>
        <w:t>causes fascism and totalitarianism – history proves</w:t>
      </w:r>
    </w:p>
    <w:p w14:paraId="55C96950" w14:textId="77777777" w:rsidR="008732A1" w:rsidRPr="00DD2D90" w:rsidRDefault="008732A1" w:rsidP="008732A1">
      <w:proofErr w:type="spellStart"/>
      <w:r w:rsidRPr="009C4A5A">
        <w:rPr>
          <w:b/>
          <w:bCs/>
          <w:sz w:val="26"/>
          <w:szCs w:val="26"/>
        </w:rPr>
        <w:t>Boettke</w:t>
      </w:r>
      <w:proofErr w:type="spellEnd"/>
      <w:r w:rsidRPr="009C4A5A">
        <w:rPr>
          <w:b/>
          <w:bCs/>
          <w:sz w:val="26"/>
          <w:szCs w:val="26"/>
        </w:rPr>
        <w:t xml:space="preserve"> et al. 10</w:t>
      </w:r>
      <w:r w:rsidRPr="00DD2D90">
        <w:t xml:space="preserve"> [Peter J. Boettke, researcher at George Mason University (GMU) Department of Economics, Christopher J. Coyne, researcher at GMU Department of Economics, and Peter T. Leeson, researcher at GMU Department of Economics, 2010, “The Continuing Relevance of F.A. Hayek’s Political Economy,” Advances in Austrian Economics, https://papers.ssrn.com/sol3/papers.cfm?abstract_id=1696102]/Kankee</w:t>
      </w:r>
    </w:p>
    <w:p w14:paraId="2AD9F8E8" w14:textId="77777777" w:rsidR="008732A1" w:rsidRPr="009C4A5A" w:rsidRDefault="008732A1" w:rsidP="00536CC5">
      <w:pPr>
        <w:rPr>
          <w:sz w:val="16"/>
        </w:rPr>
      </w:pPr>
      <w:r w:rsidRPr="009C4A5A">
        <w:rPr>
          <w:sz w:val="16"/>
        </w:rPr>
        <w:t xml:space="preserve">The Great Depression, which by popular interpretation of the time demonstrated that not only was capitalism unjust but that it was also unstable, contributed to the critique of laissez- faire liberalism. The collapse of the US and UK economies shook an entire generation’s faith in the capitalist system. It was argued that if the capitalist system was to survive in the world of the 1930s, it had to be subject to democratic political forces of control. Continual government intervention was necessary to tame its operation and protect the populace from unscrupulous business and irresponsible speculation. Rational planning came to be viewed as not only a viable alternative to be debated, but also the only alternative to chaos. In The Road to Serfdom, Hayek’s aim was to demonstrate that </w:t>
      </w:r>
      <w:r w:rsidRPr="00DD2D90">
        <w:rPr>
          <w:rStyle w:val="StyleUnderline"/>
          <w:highlight w:val="green"/>
        </w:rPr>
        <w:t>Nazi Germany</w:t>
      </w:r>
      <w:r w:rsidRPr="009C4A5A">
        <w:rPr>
          <w:sz w:val="16"/>
        </w:rPr>
        <w:t xml:space="preserve"> was not a result of inconsistencies in the capitalist system. Rather, the Nazi movement </w:t>
      </w:r>
      <w:r w:rsidRPr="00DD2D90">
        <w:rPr>
          <w:rStyle w:val="StyleUnderline"/>
          <w:highlight w:val="green"/>
        </w:rPr>
        <w:t>was a result of socialist ideology</w:t>
      </w:r>
      <w:r w:rsidRPr="009C4A5A">
        <w:rPr>
          <w:sz w:val="16"/>
        </w:rPr>
        <w:t xml:space="preserve"> of the pre-World War I period that had been embraced by many intellectuals in both Great Britain and the United States. Hayek argued that this occurrence was not particular to Germany. Indeed, </w:t>
      </w:r>
      <w:r w:rsidRPr="00DD2D90">
        <w:rPr>
          <w:rStyle w:val="StyleUnderline"/>
        </w:rPr>
        <w:t>implementing socialist policies</w:t>
      </w:r>
      <w:r w:rsidRPr="009C4A5A">
        <w:rPr>
          <w:sz w:val="16"/>
        </w:rPr>
        <w:t xml:space="preserve"> anywhere in the world </w:t>
      </w:r>
      <w:r w:rsidRPr="00DD2D90">
        <w:rPr>
          <w:rStyle w:val="StyleUnderline"/>
        </w:rPr>
        <w:t>could</w:t>
      </w:r>
      <w:r w:rsidRPr="009C4A5A">
        <w:rPr>
          <w:sz w:val="16"/>
        </w:rPr>
        <w:t xml:space="preserve"> potentially </w:t>
      </w:r>
      <w:r w:rsidRPr="00DD2D90">
        <w:rPr>
          <w:rStyle w:val="StyleUnderline"/>
        </w:rPr>
        <w:t xml:space="preserve">lead to political </w:t>
      </w:r>
      <w:r w:rsidRPr="00DD2D90">
        <w:rPr>
          <w:rStyle w:val="Emphasis"/>
        </w:rPr>
        <w:t>tyranny</w:t>
      </w:r>
      <w:r w:rsidRPr="009C4A5A">
        <w:rPr>
          <w:sz w:val="16"/>
        </w:rPr>
        <w:t xml:space="preserve">. It was Hayek’s goal to explain how </w:t>
      </w:r>
      <w:r w:rsidRPr="00DD2D90">
        <w:rPr>
          <w:rStyle w:val="StyleUnderline"/>
        </w:rPr>
        <w:t>socialist ideas change the demands on democratic institutions and how these institutions are then transformed into tools of totalitarian rule.</w:t>
      </w:r>
      <w:r w:rsidRPr="009C4A5A">
        <w:rPr>
          <w:sz w:val="16"/>
        </w:rPr>
        <w:t xml:space="preserve"> This transformation, Hayek argues, is due to the fact that democratic institutions are unable to meet these changing demands in a manner consistent with democratic principles. As Hayek summarizes the argument: “Is there a greater tragedy imaginable than that, in our endeavor to consciously to shape our future in accordance with high ideals, we should in fact unwittingly produce the very opposite of what we haven been striving for?” (1944: 5). Keeping in mind both the historical context in which Hayek wrote, as well as his main goals, we now turn to an overview of the main arguments in The Road to Serfdom. 3. The Road to Serfdom: The Central Arguments The Road to Serfdom is broken into sixteen concise chapters that combine theory, intellectual history, and historical observation. The main focus of the book was to demonstrate the social consequences of ideas. Hayek envisions ideas as the motive force in history. Bad ideas are undesirable because they permit the rule of privileged interests over the common interest. Ideas provide a social infrastructure within which individuals pursue their own interests. In order to avoid political tyranny and economic servitude, these ideas must constrain the self-seeking behavior of individuals appropriately. To understand the theoretical core of Hayek’s argument, one has to look at the previous work of his teacher and mentor, Ludwig von Mises, regarding the feasibility of socialism as an economic system. In Socialism, (1922) Mises argued that “rational” economic calculation was impossible under a socialist system. Economic calculation is “rational” if decision-makers can efficiently allocate scarce capital resources among competing uses. Acting people must mentally process the alternatives available to them and to do so they must have some guide for comparing inputs and outputs. Mises’ contribution was to establish that this decision-making ability (i.e., rational economic calculation) is dependent on the institutional context of private property. Mises reasoned as follows: 1. Without private production in the means of production, there will be no market for the means of production. 2. Without a market for a means of production, there will be no money prices established for the means of production. 3. Without money prices, reflecting the relative scarcity of capital goods, economic decision-makers will be unable to rationally calculate the alternative uses of capital goods. In short, without private property in the means of production, rational economic calculation is not possible. Under institutional regimes that attempt to abolish private ownership in the means of production, decision makers will be in the dark with no guide as how to best allocate resources. In the world in which we live, economic decision-makers are confronted with many possible projects and economic calculation provides a guide for selecting the best project from an economic standpoint. In the absence of well-defined property rights in the means of production, decision-makers will have no guide for deciding which projects to pursue. In his writings that preceded The Road to Serfdom, Hayek’s contribution to Mises’ argument was to elaborate the precise role that the price system played in providing information required for complex plan coordination. The Mises-Hayek argument demonstrated that the socialist system could not replicate what the private property and price system provided. No one mind or group of minds could possibly possess the knowledge necessary to coordinate a complex industrial economic system. In stark contrast, the private property and price system economizes on the information needed by economic actors to properly allocate resources. Hayek proceeds in The Road to Serfdom under the assumption that this Misesean- Hayekian theoretical argument has been established and accepted in the technical economic literature. Hayek’s aim was not to establish that socialist planning could not achieve the efficiency that the capitalist system could. Rather, it was to demonstrate what would emerge from the failure of socialist planning to achieve its desired results. In other words, the Mises- Hayek technical economic calculation argument showed why socialism would fail; in The Road to Serfdom, Hayek showed what would result from that failure. In the intellectual history provided in the first three chapters, Hayek’s goal was to demonstrate that despite the Mises-Hayek critique of socialism, the socialist criticism of competition had effectively undermined the legitimacy of liberal institutions among the general public and especially among the intellectual elite. Liberalism, Hayek argued, imparted a “healthy suspicion” of any argument that demanded restrictions on market competition. With its critique of the competitive system, </w:t>
      </w:r>
      <w:r w:rsidRPr="00DD2D90">
        <w:rPr>
          <w:rStyle w:val="StyleUnderline"/>
        </w:rPr>
        <w:t>socialist theory had swept away the liberal constraints against special pleading and opened the door for interest groups demanding protection from competition under the flag of socialist planning</w:t>
      </w:r>
      <w:r w:rsidRPr="009C4A5A">
        <w:rPr>
          <w:sz w:val="16"/>
        </w:rPr>
        <w:t xml:space="preserve"> (Hayek 1944: 40). Hayek not only highlighted the economic issues with socialism, but also the political difficulties of planning. Indeed, Hayek’s discussion of the delegitimation of the need for constraints on democratic government and the rule of law are one of the main arguments in The Road to Serfdom (1944: 56-87). In order for planning to be implemented, </w:t>
      </w:r>
      <w:r w:rsidRPr="00DD2D90">
        <w:rPr>
          <w:rStyle w:val="StyleUnderline"/>
        </w:rPr>
        <w:t xml:space="preserve">government </w:t>
      </w:r>
      <w:r w:rsidRPr="00DD2D90">
        <w:rPr>
          <w:rStyle w:val="StyleUnderline"/>
          <w:highlight w:val="green"/>
        </w:rPr>
        <w:t>officials cannot be constrained by formal rules but must be entrusted with discretionary</w:t>
      </w:r>
      <w:r w:rsidRPr="00DD2D90">
        <w:rPr>
          <w:rStyle w:val="StyleUnderline"/>
        </w:rPr>
        <w:t xml:space="preserve"> </w:t>
      </w:r>
      <w:r w:rsidRPr="00DD2D90">
        <w:rPr>
          <w:rStyle w:val="StyleUnderline"/>
          <w:highlight w:val="green"/>
        </w:rPr>
        <w:t>power</w:t>
      </w:r>
      <w:r w:rsidRPr="009C4A5A">
        <w:rPr>
          <w:sz w:val="16"/>
        </w:rPr>
        <w:t xml:space="preserve">. Additionally, planning requires widespread agreement, and democracy is only capable of producing a certain level of agreement. Hayek argued: That </w:t>
      </w:r>
      <w:r w:rsidRPr="00DD2D90">
        <w:rPr>
          <w:rStyle w:val="StyleUnderline"/>
        </w:rPr>
        <w:t xml:space="preserve">planning creates a situation in which it is necessary for us to agree on a much larger number of topics than we have been used to, and that in </w:t>
      </w:r>
      <w:r w:rsidRPr="00DD2D90">
        <w:rPr>
          <w:rStyle w:val="StyleUnderline"/>
          <w:highlight w:val="green"/>
        </w:rPr>
        <w:t>a planned system we cannot confine collective action to</w:t>
      </w:r>
      <w:r w:rsidRPr="00DD2D90">
        <w:rPr>
          <w:rStyle w:val="StyleUnderline"/>
        </w:rPr>
        <w:t xml:space="preserve"> the </w:t>
      </w:r>
      <w:r w:rsidRPr="00DD2D90">
        <w:rPr>
          <w:rStyle w:val="StyleUnderline"/>
          <w:highlight w:val="green"/>
        </w:rPr>
        <w:t>tasks</w:t>
      </w:r>
      <w:r w:rsidRPr="00DD2D90">
        <w:rPr>
          <w:rStyle w:val="StyleUnderline"/>
        </w:rPr>
        <w:t xml:space="preserve"> </w:t>
      </w:r>
      <w:r w:rsidRPr="00DD2D90">
        <w:rPr>
          <w:rStyle w:val="StyleUnderline"/>
          <w:highlight w:val="green"/>
        </w:rPr>
        <w:t>on which we can agree</w:t>
      </w:r>
      <w:r w:rsidRPr="00DD2D90">
        <w:rPr>
          <w:rStyle w:val="StyleUnderline"/>
        </w:rPr>
        <w:t xml:space="preserve"> but are forced to produce agreement on everything in order</w:t>
      </w:r>
      <w:r w:rsidRPr="009C4A5A">
        <w:rPr>
          <w:sz w:val="16"/>
        </w:rPr>
        <w:t xml:space="preserve"> </w:t>
      </w:r>
      <w:r w:rsidRPr="00DD2D90">
        <w:rPr>
          <w:rStyle w:val="StyleUnderline"/>
        </w:rPr>
        <w:t>that</w:t>
      </w:r>
      <w:r w:rsidRPr="009C4A5A">
        <w:rPr>
          <w:sz w:val="16"/>
        </w:rPr>
        <w:t xml:space="preserve"> any </w:t>
      </w:r>
      <w:r w:rsidRPr="00DD2D90">
        <w:rPr>
          <w:rStyle w:val="StyleUnderline"/>
        </w:rPr>
        <w:t>action</w:t>
      </w:r>
      <w:r w:rsidRPr="009C4A5A">
        <w:rPr>
          <w:sz w:val="16"/>
        </w:rPr>
        <w:t xml:space="preserve"> </w:t>
      </w:r>
      <w:r w:rsidRPr="00DD2D90">
        <w:rPr>
          <w:rStyle w:val="StyleUnderline"/>
        </w:rPr>
        <w:t>can be taken</w:t>
      </w:r>
      <w:r w:rsidRPr="009C4A5A">
        <w:rPr>
          <w:sz w:val="16"/>
        </w:rPr>
        <w:t xml:space="preserve"> at all, is one of the features which contributes more than most to determining the character of a planned system (1944: 62). What is the result of the need for widespread agreement? …</w:t>
      </w:r>
      <w:r w:rsidRPr="00DD2D90">
        <w:rPr>
          <w:rStyle w:val="StyleUnderline"/>
          <w:highlight w:val="green"/>
        </w:rPr>
        <w:t xml:space="preserve">planning leads to dictatorship because dictatorship is the most effective instrument of coercion and the enforcement of </w:t>
      </w:r>
      <w:r w:rsidRPr="00DD2D90">
        <w:rPr>
          <w:rStyle w:val="StyleUnderline"/>
        </w:rPr>
        <w:t>ideals</w:t>
      </w:r>
      <w:r w:rsidRPr="009C4A5A">
        <w:rPr>
          <w:sz w:val="16"/>
        </w:rPr>
        <w:t xml:space="preserve"> </w:t>
      </w:r>
      <w:r w:rsidRPr="00DD2D90">
        <w:rPr>
          <w:rStyle w:val="StyleUnderline"/>
        </w:rPr>
        <w:t>and</w:t>
      </w:r>
      <w:r w:rsidRPr="009C4A5A">
        <w:rPr>
          <w:sz w:val="16"/>
        </w:rPr>
        <w:t xml:space="preserve">, as such, </w:t>
      </w:r>
      <w:r w:rsidRPr="00DD2D90">
        <w:rPr>
          <w:rStyle w:val="StyleUnderline"/>
        </w:rPr>
        <w:t xml:space="preserve">essential if </w:t>
      </w:r>
      <w:r w:rsidRPr="00DD2D90">
        <w:rPr>
          <w:rStyle w:val="StyleUnderline"/>
          <w:highlight w:val="green"/>
        </w:rPr>
        <w:t>central</w:t>
      </w:r>
      <w:r w:rsidRPr="009C4A5A">
        <w:rPr>
          <w:sz w:val="16"/>
          <w:highlight w:val="green"/>
        </w:rPr>
        <w:t xml:space="preserve"> </w:t>
      </w:r>
      <w:r w:rsidRPr="00DD2D90">
        <w:rPr>
          <w:rStyle w:val="StyleUnderline"/>
          <w:highlight w:val="green"/>
        </w:rPr>
        <w:t>planning</w:t>
      </w:r>
      <w:r w:rsidRPr="009C4A5A">
        <w:rPr>
          <w:sz w:val="16"/>
        </w:rPr>
        <w:t xml:space="preserve"> on a large scale </w:t>
      </w:r>
      <w:r w:rsidRPr="00DD2D90">
        <w:rPr>
          <w:rStyle w:val="StyleUnderline"/>
        </w:rPr>
        <w:t>is to be possible</w:t>
      </w:r>
      <w:r w:rsidRPr="009C4A5A">
        <w:rPr>
          <w:sz w:val="16"/>
        </w:rPr>
        <w:t xml:space="preserve">. The clash between planning and democracy arises simply from the fact that the latter is an obstacle to the suppression of freedom which the direction of economic activity requires. By its very nature, </w:t>
      </w:r>
      <w:r w:rsidRPr="00DD2D90">
        <w:rPr>
          <w:rStyle w:val="StyleUnderline"/>
        </w:rPr>
        <w:t>attempts at central planning will tend toward dictatorship because this is the only effective means of making the necessary decisions required by central planning</w:t>
      </w:r>
      <w:r w:rsidRPr="009C4A5A">
        <w:rPr>
          <w:sz w:val="16"/>
        </w:rPr>
        <w:t xml:space="preserve">. Yet another key point Hayek makes in The Road to Serfdom is the liberal proposition that economic freedom and political freedom are linked. He argues that </w:t>
      </w:r>
      <w:r w:rsidRPr="00DD2D90">
        <w:rPr>
          <w:rStyle w:val="StyleUnderline"/>
          <w:highlight w:val="green"/>
        </w:rPr>
        <w:t>economic control</w:t>
      </w:r>
      <w:r w:rsidRPr="00DD2D90">
        <w:rPr>
          <w:rStyle w:val="StyleUnderline"/>
        </w:rPr>
        <w:t xml:space="preserve"> does not control merely a sector of human life which can be separated from the rest; it </w:t>
      </w:r>
      <w:r w:rsidRPr="00DD2D90">
        <w:rPr>
          <w:rStyle w:val="StyleUnderline"/>
          <w:highlight w:val="green"/>
        </w:rPr>
        <w:t>is the control of the means for all ends</w:t>
      </w:r>
      <w:r w:rsidRPr="009C4A5A">
        <w:rPr>
          <w:sz w:val="16"/>
        </w:rPr>
        <w:t xml:space="preserve">. And </w:t>
      </w:r>
      <w:r w:rsidRPr="00DD2D90">
        <w:rPr>
          <w:rStyle w:val="StyleUnderline"/>
        </w:rPr>
        <w:t>whoever has some control of the means must also determine which ends are to be served</w:t>
      </w:r>
      <w:r w:rsidRPr="009C4A5A">
        <w:rPr>
          <w:sz w:val="16"/>
        </w:rPr>
        <w:t xml:space="preserve">, which values are to be rated higher and which lower – in short, what men should believe and strive for. Central planning means that the economic problem is to be solved by the community instead of by the individual; but this involves that it must be the community, or rather its representatives, who must decide the relative importance of the different needs (1944: 92). </w:t>
      </w:r>
      <w:r w:rsidRPr="00DD2D90">
        <w:rPr>
          <w:rStyle w:val="StyleUnderline"/>
        </w:rPr>
        <w:t>Economic choices cannot be separated from the other choices made by individuals</w:t>
      </w:r>
      <w:r w:rsidRPr="009C4A5A">
        <w:rPr>
          <w:sz w:val="16"/>
        </w:rPr>
        <w:t xml:space="preserve">. As such, </w:t>
      </w:r>
      <w:r w:rsidRPr="00DD2D90">
        <w:rPr>
          <w:rStyle w:val="StyleUnderline"/>
          <w:highlight w:val="green"/>
        </w:rPr>
        <w:t>as planning increases</w:t>
      </w:r>
      <w:r w:rsidRPr="00DD2D90">
        <w:rPr>
          <w:rStyle w:val="StyleUnderline"/>
        </w:rPr>
        <w:t xml:space="preserve">, the freedoms and </w:t>
      </w:r>
      <w:r w:rsidRPr="00DD2D90">
        <w:rPr>
          <w:rStyle w:val="StyleUnderline"/>
          <w:highlight w:val="green"/>
        </w:rPr>
        <w:t>choices available to individual</w:t>
      </w:r>
      <w:r w:rsidRPr="00DD2D90">
        <w:rPr>
          <w:rStyle w:val="StyleUnderline"/>
        </w:rPr>
        <w:t xml:space="preserve"> members of the populace </w:t>
      </w:r>
      <w:r w:rsidRPr="00DD2D90">
        <w:rPr>
          <w:rStyle w:val="StyleUnderline"/>
          <w:highlight w:val="green"/>
        </w:rPr>
        <w:t>will decrease.</w:t>
      </w:r>
      <w:r w:rsidRPr="009C4A5A">
        <w:rPr>
          <w:sz w:val="16"/>
        </w:rPr>
        <w:t xml:space="preserve"> </w:t>
      </w:r>
      <w:r w:rsidRPr="00DD2D90">
        <w:rPr>
          <w:rStyle w:val="StyleUnderline"/>
        </w:rPr>
        <w:t>When the government decides what products are to be produced, there is little choice left to the individual citizen</w:t>
      </w:r>
      <w:r w:rsidRPr="009C4A5A">
        <w:rPr>
          <w:sz w:val="16"/>
        </w:rPr>
        <w:t xml:space="preserve">. </w:t>
      </w:r>
      <w:r w:rsidRPr="00DD2D90">
        <w:rPr>
          <w:rStyle w:val="StyleUnderline"/>
          <w:highlight w:val="green"/>
        </w:rPr>
        <w:t xml:space="preserve">The diverse preferences of the populace must be </w:t>
      </w:r>
      <w:r w:rsidRPr="00DD2D90">
        <w:rPr>
          <w:rStyle w:val="Emphasis"/>
          <w:highlight w:val="green"/>
        </w:rPr>
        <w:t>homogenized</w:t>
      </w:r>
      <w:r w:rsidRPr="00DD2D90">
        <w:rPr>
          <w:rStyle w:val="StyleUnderline"/>
          <w:highlight w:val="green"/>
        </w:rPr>
        <w:t xml:space="preserve"> so that they conform to the central plan</w:t>
      </w:r>
      <w:r w:rsidRPr="009C4A5A">
        <w:rPr>
          <w:sz w:val="16"/>
        </w:rPr>
        <w:t xml:space="preserve">. In addition to the highlighting the connection between economic and political freedom, Hayek also pointed out the organizational logic implied in the substitution of central decision- making for the private decisions of the citizenry in the marketplace. His analysis includes both an examination of the incentives faced by representatives creating the central plan, and the evolutionary process engendered by these institutions for the selection of leaders. Recall that Hayek assumed that the Mises-Hayek critique of socialism was widely accepted. Using this assumption as a starting point, he analyzed the organizational logic of central planning and what societal/institutional transformation would occur in response to the failure of the socialist system to achieve its stated ends. Hayek took as a given that due to the inability of central planners to engage in rational economic calculation, they would ultimately fail to achieve their desired purpose. When faced with this failure, one potential option would be for government officials to reverse course and adopt liberal economic policies. Hayek argued that </w:t>
      </w:r>
      <w:r w:rsidRPr="00DD2D90">
        <w:rPr>
          <w:rStyle w:val="StyleUnderline"/>
        </w:rPr>
        <w:t>in a context where liberalism had been undermined by the socialist critique, government officials were unlikely to face sufficient incentives that would cause them to reverse course</w:t>
      </w:r>
      <w:r w:rsidRPr="009C4A5A">
        <w:rPr>
          <w:sz w:val="16"/>
        </w:rPr>
        <w:t xml:space="preserve">. As such, we should expect more interventions in the attempt to correct these past failures. This is the basis for the “slippery slope” argument whereby </w:t>
      </w:r>
      <w:r w:rsidRPr="00DD2D90">
        <w:rPr>
          <w:rStyle w:val="StyleUnderline"/>
        </w:rPr>
        <w:t>some initial intervention leads to an increasing number of future interventions in the attempt to remedy past failures</w:t>
      </w:r>
      <w:r w:rsidRPr="009C4A5A">
        <w:rPr>
          <w:sz w:val="16"/>
        </w:rPr>
        <w:t xml:space="preserve">. Hayek’s analysis of organizational planning under socialism is evident in Chapter 10, “Why the Worst Get on Top.” Hayek warns the reader that </w:t>
      </w:r>
      <w:r w:rsidRPr="00DD2D90">
        <w:rPr>
          <w:rStyle w:val="StyleUnderline"/>
          <w:highlight w:val="green"/>
        </w:rPr>
        <w:t>since</w:t>
      </w:r>
      <w:r w:rsidRPr="00DD2D90">
        <w:rPr>
          <w:rStyle w:val="StyleUnderline"/>
        </w:rPr>
        <w:t xml:space="preserve"> the </w:t>
      </w:r>
      <w:r w:rsidRPr="00DD2D90">
        <w:rPr>
          <w:rStyle w:val="StyleUnderline"/>
          <w:highlight w:val="green"/>
        </w:rPr>
        <w:t>economic knowledge necessary to plan the economy</w:t>
      </w:r>
      <w:r w:rsidRPr="00DD2D90">
        <w:rPr>
          <w:rStyle w:val="StyleUnderline"/>
        </w:rPr>
        <w:t xml:space="preserve"> rationally </w:t>
      </w:r>
      <w:r w:rsidRPr="00DD2D90">
        <w:rPr>
          <w:rStyle w:val="StyleUnderline"/>
          <w:highlight w:val="green"/>
        </w:rPr>
        <w:t>will</w:t>
      </w:r>
      <w:r w:rsidRPr="00DD2D90">
        <w:rPr>
          <w:rStyle w:val="StyleUnderline"/>
        </w:rPr>
        <w:t xml:space="preserve"> </w:t>
      </w:r>
      <w:r w:rsidRPr="00DD2D90">
        <w:rPr>
          <w:rStyle w:val="StyleUnderline"/>
          <w:highlight w:val="green"/>
        </w:rPr>
        <w:t>not be available to planners</w:t>
      </w:r>
      <w:r w:rsidRPr="00DD2D90">
        <w:rPr>
          <w:rStyle w:val="StyleUnderline"/>
        </w:rPr>
        <w:t xml:space="preserve">, these </w:t>
      </w:r>
      <w:r w:rsidRPr="00DD2D90">
        <w:rPr>
          <w:rStyle w:val="StyleUnderline"/>
          <w:highlight w:val="green"/>
        </w:rPr>
        <w:t>decision-makers</w:t>
      </w:r>
      <w:r w:rsidRPr="00DD2D90">
        <w:rPr>
          <w:rStyle w:val="StyleUnderline"/>
        </w:rPr>
        <w:t xml:space="preserve"> will be forced to </w:t>
      </w:r>
      <w:r w:rsidRPr="00DD2D90">
        <w:rPr>
          <w:rStyle w:val="StyleUnderline"/>
          <w:highlight w:val="green"/>
        </w:rPr>
        <w:t>rely on</w:t>
      </w:r>
      <w:r w:rsidRPr="00DD2D90">
        <w:rPr>
          <w:rStyle w:val="StyleUnderline"/>
        </w:rPr>
        <w:t xml:space="preserve"> </w:t>
      </w:r>
      <w:r w:rsidRPr="009C4A5A">
        <w:rPr>
          <w:sz w:val="16"/>
        </w:rPr>
        <w:t xml:space="preserve">the forms of information that are readily available. In the context of central planning, this comes in the form of incentives to exercise </w:t>
      </w:r>
      <w:r w:rsidRPr="00DD2D90">
        <w:rPr>
          <w:rStyle w:val="StyleUnderline"/>
          <w:highlight w:val="green"/>
        </w:rPr>
        <w:t>political</w:t>
      </w:r>
      <w:r w:rsidRPr="00DD2D90">
        <w:rPr>
          <w:rStyle w:val="StyleUnderline"/>
        </w:rPr>
        <w:t xml:space="preserve"> power</w:t>
      </w:r>
      <w:r w:rsidRPr="009C4A5A">
        <w:rPr>
          <w:sz w:val="16"/>
        </w:rPr>
        <w:t xml:space="preserve">. Hayek’s argument is that just as we should expect those with superior skills in any industry to rise to the top, </w:t>
      </w:r>
      <w:r w:rsidRPr="00DD2D90">
        <w:rPr>
          <w:rStyle w:val="StyleUnderline"/>
        </w:rPr>
        <w:t xml:space="preserve">we should also expect those who have superior skills in exercising political power and </w:t>
      </w:r>
      <w:r w:rsidRPr="00DD2D90">
        <w:rPr>
          <w:rStyle w:val="StyleUnderline"/>
          <w:highlight w:val="green"/>
        </w:rPr>
        <w:t>coercion</w:t>
      </w:r>
      <w:r w:rsidRPr="00DD2D90">
        <w:rPr>
          <w:rStyle w:val="StyleUnderline"/>
        </w:rPr>
        <w:t xml:space="preserve"> to advance within the political apparatus of planning</w:t>
      </w:r>
      <w:r w:rsidRPr="009C4A5A">
        <w:rPr>
          <w:sz w:val="16"/>
        </w:rPr>
        <w:t xml:space="preserve">. In pointing this out, Hayek was challenging the claim that experiments in real existing planning were tainted by “historical accident” and/or “bad” people and therefore could not be used to illustrate the difficulties associated with central planning. Hayek’s counterargument was that it was not true that if only “good” people controlled the planning bureau, then the results would be harmonious with liberal democratic values. As Hayek wrote: </w:t>
      </w:r>
      <w:r w:rsidRPr="00DD2D90">
        <w:rPr>
          <w:rStyle w:val="StyleUnderline"/>
        </w:rPr>
        <w:t>There are strong reasons for believing that what to us appears the worst features of the existing totalitarian systems are not accidental by-products but phenomena which totalitarianism is certain sooner or later to produce</w:t>
      </w:r>
      <w:r w:rsidRPr="009C4A5A">
        <w:rPr>
          <w:sz w:val="16"/>
        </w:rPr>
        <w:t xml:space="preserve">. Just as the democratic statesman who sets out to plan economic life will soon be confronted with the alternative of assuming dictorial powers or abandoning his plans, so the totalitarian dictator would soon have to choose between disregard of ordinary morals and failure. It is for this reason that </w:t>
      </w:r>
      <w:r w:rsidRPr="00DD2D90">
        <w:rPr>
          <w:rStyle w:val="StyleUnderline"/>
        </w:rPr>
        <w:t>the unscrupulous</w:t>
      </w:r>
      <w:r w:rsidRPr="009C4A5A">
        <w:rPr>
          <w:sz w:val="16"/>
        </w:rPr>
        <w:t xml:space="preserve"> and uninhibited </w:t>
      </w:r>
      <w:r w:rsidRPr="00DD2D90">
        <w:rPr>
          <w:rStyle w:val="StyleUnderline"/>
        </w:rPr>
        <w:t>are likely to be more successful in a society tending toward totalitarianism</w:t>
      </w:r>
      <w:r w:rsidRPr="009C4A5A">
        <w:rPr>
          <w:sz w:val="16"/>
        </w:rPr>
        <w:t xml:space="preserve"> (1944: 135). In this context, success requires a skill set including the talent for “unscrupulous” and “uninhibited” moral behavior with respect to humanity. </w:t>
      </w:r>
      <w:r w:rsidRPr="00DD2D90">
        <w:rPr>
          <w:rStyle w:val="Emphasis"/>
          <w:highlight w:val="green"/>
        </w:rPr>
        <w:t>Totalitarianism</w:t>
      </w:r>
      <w:r w:rsidRPr="009C4A5A">
        <w:rPr>
          <w:sz w:val="16"/>
        </w:rPr>
        <w:t xml:space="preserve"> </w:t>
      </w:r>
      <w:r w:rsidRPr="00DD2D90">
        <w:rPr>
          <w:rStyle w:val="StyleUnderline"/>
          <w:highlight w:val="green"/>
        </w:rPr>
        <w:t>is</w:t>
      </w:r>
      <w:r w:rsidRPr="009C4A5A">
        <w:rPr>
          <w:sz w:val="16"/>
        </w:rPr>
        <w:t xml:space="preserve"> neither a consequence of “corruption” not “historical accident,” but rather </w:t>
      </w:r>
      <w:r w:rsidRPr="00DD2D90">
        <w:rPr>
          <w:rStyle w:val="StyleUnderline"/>
          <w:highlight w:val="green"/>
        </w:rPr>
        <w:t xml:space="preserve">a logical consequence of the institutional incentive </w:t>
      </w:r>
      <w:r w:rsidRPr="00DD2D90">
        <w:rPr>
          <w:rStyle w:val="StyleUnderline"/>
        </w:rPr>
        <w:t>of the attempt to centrally plan an economy</w:t>
      </w:r>
      <w:r w:rsidRPr="009C4A5A">
        <w:rPr>
          <w:sz w:val="16"/>
        </w:rPr>
        <w:t xml:space="preserve">. Throughout The Road to Serfdom, Hayek tells the tragic story of the consequences of central planning. It is not just that a band of thugs takes control of the coercive apparatus of the state and employs it to oppress the mass of citizens for their own benefit. Instead, </w:t>
      </w:r>
      <w:r w:rsidRPr="00DD2D90">
        <w:rPr>
          <w:rStyle w:val="StyleUnderline"/>
        </w:rPr>
        <w:t xml:space="preserve">the arbitrary employment of power is a consequence, and not a cause, of the desire </w:t>
      </w:r>
      <w:r w:rsidRPr="00DD2D90">
        <w:rPr>
          <w:rStyle w:val="StyleUnderline"/>
          <w:highlight w:val="green"/>
        </w:rPr>
        <w:t>to plan the economy</w:t>
      </w:r>
      <w:r w:rsidRPr="00DD2D90">
        <w:rPr>
          <w:rStyle w:val="StyleUnderline"/>
        </w:rPr>
        <w:t xml:space="preserve"> scientifically</w:t>
      </w:r>
      <w:r w:rsidRPr="009C4A5A">
        <w:rPr>
          <w:sz w:val="16"/>
        </w:rPr>
        <w:t xml:space="preserve">. </w:t>
      </w:r>
      <w:r w:rsidRPr="00DD2D90">
        <w:rPr>
          <w:rStyle w:val="StyleUnderline"/>
          <w:highlight w:val="green"/>
        </w:rPr>
        <w:t>In order “to achieve their end, collectivists must create power</w:t>
      </w:r>
      <w:r w:rsidRPr="00DD2D90">
        <w:rPr>
          <w:rStyle w:val="StyleUnderline"/>
        </w:rPr>
        <w:t xml:space="preserve"> – power over men wielded by other men – </w:t>
      </w:r>
      <w:r w:rsidRPr="00DD2D90">
        <w:rPr>
          <w:rStyle w:val="StyleUnderline"/>
          <w:highlight w:val="green"/>
        </w:rPr>
        <w:t xml:space="preserve">of a magnitude </w:t>
      </w:r>
      <w:r w:rsidRPr="00DD2D90">
        <w:rPr>
          <w:rStyle w:val="Emphasis"/>
          <w:highlight w:val="green"/>
        </w:rPr>
        <w:t>never before known</w:t>
      </w:r>
      <w:r w:rsidRPr="00DD2D90">
        <w:rPr>
          <w:rStyle w:val="StyleUnderline"/>
        </w:rPr>
        <w:t>, and…their success will depend on the extent to which they achieve such power</w:t>
      </w:r>
      <w:r w:rsidRPr="009C4A5A">
        <w:rPr>
          <w:sz w:val="16"/>
        </w:rPr>
        <w:t xml:space="preserve">” (1944: 144). Even liberal socialists, as opposed to collectivists, in their desire to plan the economy, must establish institutions of discretionary planning and grant authority to the planners to exercise their political power in order to accomplish the task entrusted to them. The </w:t>
      </w:r>
      <w:r w:rsidRPr="00DD2D90">
        <w:rPr>
          <w:rStyle w:val="StyleUnderline"/>
        </w:rPr>
        <w:t>complexity</w:t>
      </w:r>
      <w:r w:rsidRPr="009C4A5A">
        <w:rPr>
          <w:sz w:val="16"/>
        </w:rPr>
        <w:t xml:space="preserve"> of the task implied in planning an economic system </w:t>
      </w:r>
      <w:r w:rsidRPr="00DD2D90">
        <w:rPr>
          <w:rStyle w:val="StyleUnderline"/>
        </w:rPr>
        <w:t xml:space="preserve">would require that planners be granted </w:t>
      </w:r>
      <w:r w:rsidRPr="009C4A5A">
        <w:rPr>
          <w:sz w:val="16"/>
        </w:rPr>
        <w:t>almost</w:t>
      </w:r>
      <w:r w:rsidRPr="00DD2D90">
        <w:rPr>
          <w:rStyle w:val="StyleUnderline"/>
        </w:rPr>
        <w:t xml:space="preserve"> </w:t>
      </w:r>
      <w:r w:rsidRPr="00DD2D90">
        <w:rPr>
          <w:rStyle w:val="Emphasis"/>
        </w:rPr>
        <w:t>unlimited discretion</w:t>
      </w:r>
      <w:r w:rsidRPr="009C4A5A">
        <w:rPr>
          <w:sz w:val="16"/>
        </w:rPr>
        <w:t xml:space="preserve">. As a result, we should expect that only those that possess superior talent in exercising discretionary power would survive. 4. Hayek on the State, Individual &amp; Economic Freedom and the Law </w:t>
      </w:r>
    </w:p>
    <w:p w14:paraId="1B6EC955" w14:textId="77777777" w:rsidR="00B0589A" w:rsidRPr="009C4A5A" w:rsidRDefault="00B0589A">
      <w:pPr>
        <w:rPr>
          <w:rFonts w:eastAsiaTheme="majorEastAsia" w:cstheme="majorBidi"/>
          <w:b/>
          <w:iCs/>
          <w:sz w:val="16"/>
        </w:rPr>
      </w:pPr>
      <w:r w:rsidRPr="009C4A5A">
        <w:rPr>
          <w:sz w:val="16"/>
        </w:rPr>
        <w:br w:type="page"/>
      </w:r>
    </w:p>
    <w:p w14:paraId="793B7696" w14:textId="3986D5A1" w:rsidR="0053268C" w:rsidRPr="009C4A5A" w:rsidRDefault="00BE6D1E" w:rsidP="0053268C">
      <w:pPr>
        <w:pStyle w:val="Heading4"/>
        <w:rPr>
          <w:szCs w:val="26"/>
        </w:rPr>
      </w:pPr>
      <w:r w:rsidRPr="009C4A5A">
        <w:rPr>
          <w:szCs w:val="26"/>
        </w:rPr>
        <w:t>Central planning</w:t>
      </w:r>
      <w:r w:rsidR="00536CC5" w:rsidRPr="009C4A5A">
        <w:rPr>
          <w:szCs w:val="26"/>
        </w:rPr>
        <w:t xml:space="preserve"> universalizes morality, creating a moral hazard for individuals and destroying freedom. </w:t>
      </w:r>
    </w:p>
    <w:p w14:paraId="79414728" w14:textId="77777777" w:rsidR="0053268C" w:rsidRPr="00DD2D90" w:rsidRDefault="0053268C" w:rsidP="0053268C">
      <w:r w:rsidRPr="009C4A5A">
        <w:rPr>
          <w:b/>
          <w:bCs/>
          <w:sz w:val="26"/>
          <w:szCs w:val="26"/>
        </w:rPr>
        <w:t>Pesut et al. 12</w:t>
      </w:r>
      <w:r w:rsidRPr="00DD2D90">
        <w:t xml:space="preserve"> [Barbara Pesut, Assistant Professor and RN with a PhD, Frances Beswick, RN and Infection Prevention and Control Practitioner at the Northern Health Authority, Carole A. Robinson, Associate Professor and RN with a PhD, and Joan L. Bottorf, Professor at the School of Nursing and Director at the Institute for Healthy Living and Chronic Disease Prevention at the University of British Columbia, 2012, “Philosophizing social justice in rural palliative care: Hayek’s moral stone?” Nursing Philosophy, https://sci-hub.ru/10.1111/j.1466-769X.2011.00519.x]/Kankee</w:t>
      </w:r>
    </w:p>
    <w:p w14:paraId="5853D4AC" w14:textId="77777777" w:rsidR="0053268C" w:rsidRPr="009C4A5A" w:rsidRDefault="0053268C" w:rsidP="0053268C">
      <w:pPr>
        <w:rPr>
          <w:sz w:val="16"/>
        </w:rPr>
      </w:pPr>
      <w:r w:rsidRPr="009C4A5A">
        <w:rPr>
          <w:sz w:val="16"/>
        </w:rPr>
        <w:t xml:space="preserve">Hayek’s arguments surrounding social justice Friedrich A. Hayek (born 1899, Vienna, Austria- Hungary; died 1992, Friedburg, Germany) came of age in the build-up to World War I, and joined the Austro-Hungarian Army’s artillery regiment in 1917. He travelled extensively throughout the 1920s and 1930s, largely to the USA and England; ultimately settling in London and joining the London School of Economics. Refusing to return to Austria after it fell under the control of Nazi Germany in 1938, Hayek became a British subject, keeping that citizenship for the rest of his life (although he did not live in Britain after the 1950s). Hayek (1976) wrote extensively on the topic of social philosophy; and in particular, against the notion of social justice. Although it is important to note that his ideas of social justice are closely aligned with current ideas of distributive justice, and some would argue that understandings of social justice have evolved since Hayek’s time, in this paper we argue that Hayek’s astute critiques of the potential risks of social justice have not lost their relevance. Central to his argument against social justice is his assertion that, </w:t>
      </w:r>
      <w:r w:rsidRPr="00DD2D90">
        <w:rPr>
          <w:rStyle w:val="StyleUnderline"/>
        </w:rPr>
        <w:t>while an individual may act in ways that are just or unjust, society is imper- sonal and therefore cannot be</w:t>
      </w:r>
      <w:r w:rsidRPr="009C4A5A">
        <w:rPr>
          <w:sz w:val="16"/>
        </w:rPr>
        <w:t xml:space="preserve"> just or </w:t>
      </w:r>
      <w:r w:rsidRPr="00DD2D90">
        <w:rPr>
          <w:rStyle w:val="StyleUnderline"/>
        </w:rPr>
        <w:t>unjust</w:t>
      </w:r>
      <w:r w:rsidRPr="009C4A5A">
        <w:rPr>
          <w:sz w:val="16"/>
        </w:rPr>
        <w:t xml:space="preserve">. Social justice is likened to a moral stone (Hayek, 1976). Hayek (1976) foresaw social justice claims as having risks. First, he argued that </w:t>
      </w:r>
      <w:r w:rsidRPr="00DD2D90">
        <w:rPr>
          <w:rStyle w:val="StyleUnderline"/>
        </w:rPr>
        <w:t xml:space="preserve">the most appropri- ate role for the state is to serve as a ‘piece of utilitar- ian machinery’ the sole purpose of which is to support members of society to develop on their own. </w:t>
      </w:r>
      <w:r w:rsidRPr="00DD2D90">
        <w:rPr>
          <w:rStyle w:val="StyleUnderline"/>
          <w:highlight w:val="green"/>
        </w:rPr>
        <w:t>When the state</w:t>
      </w:r>
      <w:r w:rsidRPr="00DD2D90">
        <w:rPr>
          <w:rStyle w:val="StyleUnderline"/>
        </w:rPr>
        <w:t xml:space="preserve"> </w:t>
      </w:r>
      <w:r w:rsidRPr="00DD2D90">
        <w:rPr>
          <w:rStyle w:val="StyleUnderline"/>
          <w:highlight w:val="green"/>
        </w:rPr>
        <w:t>expands</w:t>
      </w:r>
      <w:r w:rsidRPr="00DD2D90">
        <w:rPr>
          <w:rStyle w:val="StyleUnderline"/>
        </w:rPr>
        <w:t xml:space="preserve"> beyond that role to dictate what is just</w:t>
      </w:r>
      <w:r w:rsidRPr="009C4A5A">
        <w:rPr>
          <w:sz w:val="16"/>
        </w:rPr>
        <w:t xml:space="preserve"> or unjust </w:t>
      </w:r>
      <w:r w:rsidRPr="00DD2D90">
        <w:rPr>
          <w:rStyle w:val="StyleUnderline"/>
          <w:highlight w:val="green"/>
        </w:rPr>
        <w:t>it becomes a moral institution</w:t>
      </w:r>
      <w:r w:rsidRPr="009C4A5A">
        <w:rPr>
          <w:sz w:val="16"/>
        </w:rPr>
        <w:t xml:space="preserve"> (Cald- well, 1997). Once it becomes a moral institution </w:t>
      </w:r>
      <w:r w:rsidRPr="00DD2D90">
        <w:rPr>
          <w:rStyle w:val="StyleUnderline"/>
        </w:rPr>
        <w:t>it has the authority to impose morality</w:t>
      </w:r>
      <w:r w:rsidRPr="009C4A5A">
        <w:rPr>
          <w:sz w:val="16"/>
        </w:rPr>
        <w:t xml:space="preserve"> from a legitimized and centralized social power, </w:t>
      </w:r>
      <w:r w:rsidRPr="00DD2D90">
        <w:rPr>
          <w:rStyle w:val="StyleUnderline"/>
        </w:rPr>
        <w:t xml:space="preserve">but </w:t>
      </w:r>
      <w:r w:rsidRPr="00DD2D90">
        <w:rPr>
          <w:rStyle w:val="StyleUnderline"/>
          <w:highlight w:val="green"/>
        </w:rPr>
        <w:t>it has no capability to act justly</w:t>
      </w:r>
      <w:r w:rsidRPr="009C4A5A">
        <w:rPr>
          <w:sz w:val="16"/>
        </w:rPr>
        <w:t xml:space="preserve">. Just acts can only be performed by citi- zens of the state. Hayek (1976) did make allowances for state intervention in the interest of preventing the most extreme forms of deprivation in society. However, he asserted that </w:t>
      </w:r>
      <w:r w:rsidRPr="00DD2D90">
        <w:rPr>
          <w:rStyle w:val="StyleUnderline"/>
        </w:rPr>
        <w:t>state intervention</w:t>
      </w:r>
      <w:r w:rsidRPr="009C4A5A">
        <w:rPr>
          <w:sz w:val="16"/>
        </w:rPr>
        <w:t xml:space="preserve"> beyond this </w:t>
      </w:r>
      <w:r w:rsidRPr="00DD2D90">
        <w:rPr>
          <w:rStyle w:val="StyleUnderline"/>
        </w:rPr>
        <w:t xml:space="preserve">was </w:t>
      </w:r>
      <w:r w:rsidRPr="00DD2D90">
        <w:rPr>
          <w:rStyle w:val="Emphasis"/>
        </w:rPr>
        <w:t>dangerous</w:t>
      </w:r>
      <w:r w:rsidRPr="00DD2D90">
        <w:rPr>
          <w:rStyle w:val="StyleUnderline"/>
        </w:rPr>
        <w:t xml:space="preserve">, </w:t>
      </w:r>
      <w:r w:rsidRPr="00DD2D90">
        <w:rPr>
          <w:rStyle w:val="StyleUnderline"/>
          <w:highlight w:val="green"/>
        </w:rPr>
        <w:t xml:space="preserve">creating a </w:t>
      </w:r>
      <w:r w:rsidRPr="00DD2D90">
        <w:rPr>
          <w:rStyle w:val="Emphasis"/>
          <w:highlight w:val="green"/>
        </w:rPr>
        <w:t>self-propelling</w:t>
      </w:r>
      <w:r w:rsidRPr="00DD2D90">
        <w:rPr>
          <w:rStyle w:val="StyleUnderline"/>
        </w:rPr>
        <w:t xml:space="preserve">, ever- expanding </w:t>
      </w:r>
      <w:r w:rsidRPr="00DD2D90">
        <w:rPr>
          <w:rStyle w:val="StyleUnderline"/>
          <w:highlight w:val="green"/>
        </w:rPr>
        <w:t>intervention</w:t>
      </w:r>
      <w:r w:rsidRPr="009C4A5A">
        <w:rPr>
          <w:sz w:val="16"/>
        </w:rPr>
        <w:t xml:space="preserve">. Hayek contended that </w:t>
      </w:r>
      <w:r w:rsidRPr="00DD2D90">
        <w:rPr>
          <w:rStyle w:val="StyleUnderline"/>
        </w:rPr>
        <w:t xml:space="preserve">it was impossible to foresee the consequences of state inter- vention and that state </w:t>
      </w:r>
      <w:r w:rsidRPr="00DD2D90">
        <w:rPr>
          <w:rStyle w:val="StyleUnderline"/>
          <w:highlight w:val="green"/>
        </w:rPr>
        <w:t>interference</w:t>
      </w:r>
      <w:r w:rsidRPr="00DD2D90">
        <w:rPr>
          <w:rStyle w:val="StyleUnderline"/>
        </w:rPr>
        <w:t xml:space="preserve"> </w:t>
      </w:r>
      <w:r w:rsidRPr="00DD2D90">
        <w:rPr>
          <w:rStyle w:val="StyleUnderline"/>
          <w:highlight w:val="green"/>
        </w:rPr>
        <w:t>in</w:t>
      </w:r>
      <w:r w:rsidRPr="00DD2D90">
        <w:rPr>
          <w:rStyle w:val="StyleUnderline"/>
        </w:rPr>
        <w:t xml:space="preserve"> the </w:t>
      </w:r>
      <w:r w:rsidRPr="00DD2D90">
        <w:rPr>
          <w:rStyle w:val="StyleUnderline"/>
          <w:highlight w:val="green"/>
        </w:rPr>
        <w:t xml:space="preserve">pursuit of fairness would </w:t>
      </w:r>
      <w:r w:rsidRPr="00DD2D90">
        <w:rPr>
          <w:rStyle w:val="Emphasis"/>
          <w:highlight w:val="green"/>
        </w:rPr>
        <w:t>inevitably</w:t>
      </w:r>
      <w:r w:rsidRPr="00DD2D90">
        <w:rPr>
          <w:rStyle w:val="StyleUnderline"/>
          <w:highlight w:val="green"/>
        </w:rPr>
        <w:t xml:space="preserve"> harm some subgroups</w:t>
      </w:r>
      <w:r w:rsidRPr="009C4A5A">
        <w:rPr>
          <w:sz w:val="16"/>
        </w:rPr>
        <w:t xml:space="preserve">. Assigning responsibility for justice to </w:t>
      </w:r>
      <w:r w:rsidRPr="00DD2D90">
        <w:rPr>
          <w:rStyle w:val="StyleUnderline"/>
        </w:rPr>
        <w:t>an impersonal institution</w:t>
      </w:r>
      <w:r w:rsidRPr="009C4A5A">
        <w:rPr>
          <w:sz w:val="16"/>
        </w:rPr>
        <w:t xml:space="preserve">, governed by a few individuals behind the scenes, removes direct responsibility for moral acts. Worse, it </w:t>
      </w:r>
      <w:r w:rsidRPr="00DD2D90">
        <w:rPr>
          <w:rStyle w:val="StyleUnderline"/>
        </w:rPr>
        <w:t>allows a mechanism by which to enact some- one’s idea of social justice, the outcome of which cannot be predicted and for which no one will be accountable</w:t>
      </w:r>
      <w:r w:rsidRPr="009C4A5A">
        <w:rPr>
          <w:sz w:val="16"/>
        </w:rPr>
        <w:t xml:space="preserve">. Second, </w:t>
      </w:r>
      <w:r w:rsidRPr="00DD2D90">
        <w:rPr>
          <w:rStyle w:val="StyleUnderline"/>
          <w:highlight w:val="green"/>
        </w:rPr>
        <w:t>Hayek</w:t>
      </w:r>
      <w:r w:rsidRPr="009C4A5A">
        <w:rPr>
          <w:sz w:val="16"/>
        </w:rPr>
        <w:t xml:space="preserve"> (1989) also </w:t>
      </w:r>
      <w:r w:rsidRPr="00DD2D90">
        <w:rPr>
          <w:rStyle w:val="StyleUnderline"/>
          <w:highlight w:val="green"/>
        </w:rPr>
        <w:t>saw</w:t>
      </w:r>
      <w:r w:rsidRPr="009C4A5A">
        <w:rPr>
          <w:sz w:val="16"/>
        </w:rPr>
        <w:t xml:space="preserve"> this </w:t>
      </w:r>
      <w:r w:rsidRPr="00DD2D90">
        <w:rPr>
          <w:rStyle w:val="StyleUnderline"/>
          <w:highlight w:val="green"/>
        </w:rPr>
        <w:t>interference as disrupting</w:t>
      </w:r>
      <w:r w:rsidRPr="009C4A5A">
        <w:rPr>
          <w:sz w:val="16"/>
        </w:rPr>
        <w:t xml:space="preserve"> the natural process of societal develop- ment, or </w:t>
      </w:r>
      <w:r w:rsidRPr="00DD2D90">
        <w:rPr>
          <w:rStyle w:val="StyleUnderline"/>
        </w:rPr>
        <w:t>spontaneous order</w:t>
      </w:r>
      <w:r w:rsidRPr="009C4A5A">
        <w:rPr>
          <w:sz w:val="16"/>
        </w:rPr>
        <w:t xml:space="preserve">. The idea of spontaneous order comes out of his free market economic theories, but goes beyond economic structure and ties into con- cepts of </w:t>
      </w:r>
      <w:r w:rsidRPr="00DD2D90">
        <w:rPr>
          <w:rStyle w:val="StyleUnderline"/>
          <w:highlight w:val="green"/>
        </w:rPr>
        <w:t>liberalism and individual freedom</w:t>
      </w:r>
      <w:r w:rsidRPr="009C4A5A">
        <w:rPr>
          <w:sz w:val="16"/>
        </w:rPr>
        <w:t xml:space="preserve">. Hayek argued that social structure comes about not from purposeful design, but through spontaneous order – in other words, society develops naturally, based on the needs of the group. As such, society – as seen by Hayek – is almost entirely self-regulating. Left to its own devices, society will be shaped by free market social forces to meet the demands of the social group as a whole. Within spontaneous order Hayek included the development of informal groupings of individuals coming together to support their fellow community members (aka: individual moral acts). Hayek (1973) used the term ‘catallaxy’ to describe a self-organizing system of voluntary cooperation occurring organi- cally and determined by the needs of the group. One of the great potential losses of the adoption of a social justice perspective as foreseen by Hayek (1976) was that of morality and just action on the part of the individual. </w:t>
      </w:r>
      <w:r w:rsidRPr="00DD2D90">
        <w:rPr>
          <w:rStyle w:val="StyleUnderline"/>
          <w:highlight w:val="green"/>
        </w:rPr>
        <w:t>When the central authority becomes accountable for dictating the moral position</w:t>
      </w:r>
      <w:r w:rsidRPr="00DD2D90">
        <w:rPr>
          <w:rStyle w:val="StyleUnderline"/>
        </w:rPr>
        <w:t xml:space="preserve"> of the population, </w:t>
      </w:r>
      <w:r w:rsidRPr="00DD2D90">
        <w:rPr>
          <w:rStyle w:val="StyleUnderline"/>
          <w:highlight w:val="green"/>
        </w:rPr>
        <w:t>there is less need for the individual to develop</w:t>
      </w:r>
      <w:r w:rsidRPr="00DD2D90">
        <w:rPr>
          <w:rStyle w:val="StyleUnderline"/>
        </w:rPr>
        <w:t xml:space="preserve"> </w:t>
      </w:r>
      <w:r w:rsidRPr="00DD2D90">
        <w:rPr>
          <w:rStyle w:val="StyleUnderline"/>
          <w:highlight w:val="green"/>
        </w:rPr>
        <w:t>his</w:t>
      </w:r>
      <w:r w:rsidRPr="00DD2D90">
        <w:rPr>
          <w:rStyle w:val="StyleUnderline"/>
        </w:rPr>
        <w:t xml:space="preserve"> or her </w:t>
      </w:r>
      <w:r w:rsidRPr="00DD2D90">
        <w:rPr>
          <w:rStyle w:val="StyleUnderline"/>
          <w:highlight w:val="green"/>
        </w:rPr>
        <w:t>own moral compass</w:t>
      </w:r>
      <w:r w:rsidRPr="00DD2D90">
        <w:rPr>
          <w:rStyle w:val="StyleUnderline"/>
        </w:rPr>
        <w:t xml:space="preserve">, as </w:t>
      </w:r>
      <w:r w:rsidRPr="00DD2D90">
        <w:rPr>
          <w:rStyle w:val="StyleUnderline"/>
          <w:highlight w:val="green"/>
        </w:rPr>
        <w:t>the state</w:t>
      </w:r>
      <w:r w:rsidRPr="00DD2D90">
        <w:rPr>
          <w:rStyle w:val="StyleUnderline"/>
        </w:rPr>
        <w:t xml:space="preserve"> not only does so, but </w:t>
      </w:r>
      <w:r w:rsidRPr="00DD2D90">
        <w:rPr>
          <w:rStyle w:val="StyleUnderline"/>
          <w:highlight w:val="green"/>
        </w:rPr>
        <w:t>asserts</w:t>
      </w:r>
      <w:r w:rsidRPr="00DD2D90">
        <w:rPr>
          <w:rStyle w:val="StyleUnderline"/>
        </w:rPr>
        <w:t xml:space="preserve"> that </w:t>
      </w:r>
      <w:r w:rsidRPr="00DD2D90">
        <w:rPr>
          <w:rStyle w:val="StyleUnderline"/>
          <w:highlight w:val="green"/>
        </w:rPr>
        <w:t>its ability</w:t>
      </w:r>
      <w:r w:rsidRPr="00DD2D90">
        <w:rPr>
          <w:rStyle w:val="StyleUnderline"/>
        </w:rPr>
        <w:t xml:space="preserve"> to do so </w:t>
      </w:r>
      <w:r w:rsidRPr="00DD2D90">
        <w:rPr>
          <w:rStyle w:val="StyleUnderline"/>
          <w:highlight w:val="green"/>
        </w:rPr>
        <w:t>is superior to</w:t>
      </w:r>
      <w:r w:rsidRPr="00DD2D90">
        <w:rPr>
          <w:rStyle w:val="StyleUnderline"/>
        </w:rPr>
        <w:t xml:space="preserve"> that of any </w:t>
      </w:r>
      <w:r w:rsidRPr="00DD2D90">
        <w:rPr>
          <w:rStyle w:val="StyleUnderline"/>
          <w:highlight w:val="green"/>
        </w:rPr>
        <w:t>individual</w:t>
      </w:r>
      <w:r w:rsidRPr="009C4A5A">
        <w:rPr>
          <w:sz w:val="16"/>
        </w:rPr>
        <w:t xml:space="preserve">. On an individual level, </w:t>
      </w:r>
      <w:r w:rsidRPr="00DD2D90">
        <w:rPr>
          <w:rStyle w:val="StyleUnderline"/>
          <w:highlight w:val="green"/>
        </w:rPr>
        <w:t>this</w:t>
      </w:r>
      <w:r w:rsidRPr="009C4A5A">
        <w:rPr>
          <w:sz w:val="16"/>
          <w:highlight w:val="green"/>
        </w:rPr>
        <w:t xml:space="preserve"> </w:t>
      </w:r>
      <w:r w:rsidRPr="00DD2D90">
        <w:rPr>
          <w:rStyle w:val="StyleUnderline"/>
          <w:highlight w:val="green"/>
        </w:rPr>
        <w:t>places a restriction on the freedom to decide how one might choose to think morally</w:t>
      </w:r>
      <w:r w:rsidRPr="00DD2D90">
        <w:rPr>
          <w:rStyle w:val="StyleUnderline"/>
        </w:rPr>
        <w:t xml:space="preserve"> and act justly</w:t>
      </w:r>
      <w:r w:rsidRPr="009C4A5A">
        <w:rPr>
          <w:sz w:val="16"/>
        </w:rPr>
        <w:t xml:space="preserve">. On a broader level, </w:t>
      </w:r>
      <w:r w:rsidRPr="00DD2D90">
        <w:rPr>
          <w:rStyle w:val="StyleUnderline"/>
        </w:rPr>
        <w:t>the reliance on the state for determining socially just action risks</w:t>
      </w:r>
      <w:r w:rsidRPr="009C4A5A">
        <w:rPr>
          <w:sz w:val="16"/>
        </w:rPr>
        <w:t xml:space="preserve"> the development and implementation of </w:t>
      </w:r>
      <w:r w:rsidRPr="00DD2D90">
        <w:rPr>
          <w:rStyle w:val="StyleUnderline"/>
        </w:rPr>
        <w:t>programming that does not function</w:t>
      </w:r>
      <w:r w:rsidRPr="009C4A5A">
        <w:rPr>
          <w:sz w:val="16"/>
        </w:rPr>
        <w:t xml:space="preserve"> as </w:t>
      </w:r>
      <w:r w:rsidRPr="00DD2D90">
        <w:rPr>
          <w:rStyle w:val="StyleUnderline"/>
        </w:rPr>
        <w:t>well in some contexts</w:t>
      </w:r>
      <w:r w:rsidRPr="009C4A5A">
        <w:rPr>
          <w:sz w:val="16"/>
        </w:rPr>
        <w:t xml:space="preserve"> as others. </w:t>
      </w:r>
      <w:r w:rsidRPr="00DD2D90">
        <w:rPr>
          <w:rStyle w:val="StyleUnderline"/>
        </w:rPr>
        <w:t xml:space="preserve">When one perception of morality is believed to be appropriate for all, the state is inclined to impose universal poli- cies and practices, regardless of context. </w:t>
      </w:r>
      <w:r w:rsidRPr="00DD2D90">
        <w:rPr>
          <w:rStyle w:val="StyleUnderline"/>
          <w:highlight w:val="green"/>
        </w:rPr>
        <w:t xml:space="preserve">Having </w:t>
      </w:r>
      <w:r w:rsidRPr="00DD2D90">
        <w:rPr>
          <w:rStyle w:val="Emphasis"/>
          <w:highlight w:val="green"/>
        </w:rPr>
        <w:t>immobilized</w:t>
      </w:r>
      <w:r w:rsidRPr="00DD2D90">
        <w:rPr>
          <w:rStyle w:val="StyleUnderline"/>
          <w:highlight w:val="green"/>
        </w:rPr>
        <w:t xml:space="preserve"> the individual by taking responsibility for the determination of right action, the state</w:t>
      </w:r>
      <w:r w:rsidRPr="00DD2D90">
        <w:rPr>
          <w:rStyle w:val="StyleUnderline"/>
        </w:rPr>
        <w:t xml:space="preserve"> ulti- mately </w:t>
      </w:r>
      <w:r w:rsidRPr="00DD2D90">
        <w:rPr>
          <w:rStyle w:val="StyleUnderline"/>
          <w:highlight w:val="green"/>
        </w:rPr>
        <w:t>prevents individual action from modifying</w:t>
      </w:r>
      <w:r w:rsidRPr="00DD2D90">
        <w:rPr>
          <w:rStyle w:val="StyleUnderline"/>
        </w:rPr>
        <w:t xml:space="preserve"> those </w:t>
      </w:r>
      <w:r w:rsidRPr="00DD2D90">
        <w:rPr>
          <w:rStyle w:val="StyleUnderline"/>
          <w:highlight w:val="green"/>
        </w:rPr>
        <w:t>policies</w:t>
      </w:r>
      <w:r w:rsidRPr="00DD2D90">
        <w:rPr>
          <w:rStyle w:val="StyleUnderline"/>
        </w:rPr>
        <w:t xml:space="preserve"> and programmes to better suit the needs </w:t>
      </w:r>
      <w:r w:rsidRPr="009C4A5A">
        <w:rPr>
          <w:sz w:val="16"/>
        </w:rPr>
        <w:t xml:space="preserve">of those various contexts. In summary, Hayek begins with the assumption that while social justice may provide an outlet for moral emotion, assigning moral responsibility at a societal level is not only vacuous but it may have unintended negative consequences. Chief of these consequences is that the </w:t>
      </w:r>
      <w:r w:rsidRPr="00DD2D90">
        <w:rPr>
          <w:rStyle w:val="StyleUnderline"/>
        </w:rPr>
        <w:t>government will create a monolithic structure that dictates a morality that is really centred in the ideas of a few</w:t>
      </w:r>
      <w:r w:rsidRPr="009C4A5A">
        <w:rPr>
          <w:sz w:val="16"/>
        </w:rPr>
        <w:t xml:space="preserve">. While slogans of social justice mobilize sympathy they also remove the burden of responsibility for just actions from the citizen which in turn deadens real participation by the citizens and inhibits spontaneous growth. We would like to turn now to illustrate how some of this dynamic has played out in the social justice com- mitment to palliative care. We will illustrate how this commitment, driven by a powerful moral idea of pal- liative care, has resulted in macro-level commitments and a call for system-wide frameworks for interven- tion to ensure this ideal is met. We will show how these system-wide frameworks have the potential to inhibit moral responsibility and to work against organic and context-specific solutions that might better meet the needs of palliative individuals in rural communities. The palliative care movement: who is responsible and what is the ideal? </w:t>
      </w:r>
    </w:p>
    <w:p w14:paraId="2312B02A" w14:textId="77777777" w:rsidR="0053268C" w:rsidRPr="009C4A5A" w:rsidRDefault="0053268C" w:rsidP="0053268C">
      <w:pPr>
        <w:rPr>
          <w:rFonts w:eastAsiaTheme="majorEastAsia" w:cstheme="majorBidi"/>
          <w:b/>
          <w:iCs/>
          <w:sz w:val="16"/>
        </w:rPr>
      </w:pPr>
      <w:r w:rsidRPr="009C4A5A">
        <w:rPr>
          <w:sz w:val="16"/>
        </w:rPr>
        <w:br w:type="page"/>
      </w:r>
    </w:p>
    <w:p w14:paraId="5A9B1B6E" w14:textId="533B64CC" w:rsidR="008732A1" w:rsidRPr="009C4A5A" w:rsidRDefault="00BE6D1E" w:rsidP="008732A1">
      <w:pPr>
        <w:pStyle w:val="Heading4"/>
        <w:rPr>
          <w:szCs w:val="26"/>
        </w:rPr>
      </w:pPr>
      <w:r w:rsidRPr="009C4A5A">
        <w:rPr>
          <w:szCs w:val="26"/>
        </w:rPr>
        <w:t>A government monopoly on healthcare destroys freedom of choice</w:t>
      </w:r>
    </w:p>
    <w:p w14:paraId="0B7830CB" w14:textId="77777777" w:rsidR="008732A1" w:rsidRPr="00DD2D90" w:rsidRDefault="008732A1" w:rsidP="008732A1">
      <w:r w:rsidRPr="009C4A5A">
        <w:rPr>
          <w:b/>
          <w:bCs/>
          <w:sz w:val="26"/>
          <w:szCs w:val="26"/>
        </w:rPr>
        <w:t>Mingardi 15</w:t>
      </w:r>
      <w:r w:rsidRPr="00DD2D90">
        <w:t xml:space="preserve"> [Alberto Mingardi, researcher with a PhD at the University of Milan, 2015, “Healthcare and the Slippery Slope of State Growth: Lessons </w:t>
      </w:r>
      <w:proofErr w:type="gramStart"/>
      <w:r w:rsidRPr="00DD2D90">
        <w:t>From</w:t>
      </w:r>
      <w:proofErr w:type="gramEnd"/>
      <w:r w:rsidRPr="00DD2D90">
        <w:t xml:space="preserve"> the Past,” Journal of Medicine and Philosophy, https://sci-hub.ru/10.1093/jmp/jhu074]/Kankee</w:t>
      </w:r>
    </w:p>
    <w:p w14:paraId="1CF48974" w14:textId="77777777" w:rsidR="008732A1" w:rsidRPr="009C4A5A" w:rsidRDefault="008732A1" w:rsidP="00BE6D1E">
      <w:pPr>
        <w:rPr>
          <w:sz w:val="16"/>
        </w:rPr>
      </w:pPr>
      <w:r w:rsidRPr="009C4A5A">
        <w:rPr>
          <w:sz w:val="16"/>
        </w:rPr>
        <w:t xml:space="preserve">i. introdUCtion government provision of healthcare is a typical feature of european social democracies (and of countries like Canada, which follow the european model). it also appears to be one of the less controversial features of such a system. Although state pension schemes have been challenged on the grounds of lacking efficiency (fully funded systems were proposed as alter- natives, following the Chilean lead) or on the grounds of lacking equity (extensive waste and privileges accorded to politically powerful groups have been the focus of public opinion campaigns in different countries), govern- ment provision of healthcare is seldom challenged either as inefficient or (despite appearances and rhetoric to the contrary) as unjust. Social democracies finance healthcare services either against the payment of social contributions, or out of revenues from general taxation. Although financing strategies differ, the result was an ever greater increase of state interventionism in healthcare. However, it is quite apparent—at least to a dispassionate eye—that the system is far from working in a satisfactory way. From the perspective of the individual citizen, </w:t>
      </w:r>
      <w:r w:rsidRPr="00DD2D90">
        <w:rPr>
          <w:rStyle w:val="StyleUnderline"/>
          <w:highlight w:val="green"/>
        </w:rPr>
        <w:t xml:space="preserve">the monopolization of healthcare </w:t>
      </w:r>
      <w:r w:rsidRPr="00DD2D90">
        <w:rPr>
          <w:rStyle w:val="StyleUnderline"/>
        </w:rPr>
        <w:t xml:space="preserve">services does not seem to differ from other kinds of monopoly: they all tend to </w:t>
      </w:r>
      <w:r w:rsidRPr="00DD2D90">
        <w:rPr>
          <w:rStyle w:val="StyleUnderline"/>
          <w:highlight w:val="green"/>
        </w:rPr>
        <w:t>reduce the range of individual choice</w:t>
      </w:r>
      <w:r w:rsidRPr="009C4A5A">
        <w:rPr>
          <w:sz w:val="16"/>
        </w:rPr>
        <w:t xml:space="preserve">. </w:t>
      </w:r>
      <w:r w:rsidRPr="00DD2D90">
        <w:rPr>
          <w:rStyle w:val="StyleUnderline"/>
        </w:rPr>
        <w:t xml:space="preserve">the very </w:t>
      </w:r>
      <w:r w:rsidRPr="00DD2D90">
        <w:rPr>
          <w:rStyle w:val="StyleUnderline"/>
          <w:highlight w:val="green"/>
        </w:rPr>
        <w:t>aim</w:t>
      </w:r>
      <w:r w:rsidRPr="00DD2D90">
        <w:rPr>
          <w:rStyle w:val="StyleUnderline"/>
        </w:rPr>
        <w:t xml:space="preserve"> to pub- licly </w:t>
      </w:r>
      <w:r w:rsidRPr="00DD2D90">
        <w:rPr>
          <w:rStyle w:val="StyleUnderline"/>
          <w:highlight w:val="green"/>
        </w:rPr>
        <w:t>supply</w:t>
      </w:r>
      <w:r w:rsidRPr="00DD2D90">
        <w:rPr>
          <w:rStyle w:val="StyleUnderline"/>
        </w:rPr>
        <w:t xml:space="preserve"> </w:t>
      </w:r>
      <w:r w:rsidRPr="00DD2D90">
        <w:rPr>
          <w:rStyle w:val="StyleUnderline"/>
          <w:highlight w:val="green"/>
        </w:rPr>
        <w:t>everybody</w:t>
      </w:r>
      <w:r w:rsidRPr="00DD2D90">
        <w:rPr>
          <w:rStyle w:val="StyleUnderline"/>
        </w:rPr>
        <w:t xml:space="preserve"> with healthcare both </w:t>
      </w:r>
      <w:r w:rsidRPr="00DD2D90">
        <w:rPr>
          <w:rStyle w:val="StyleUnderline"/>
          <w:highlight w:val="green"/>
        </w:rPr>
        <w:t>imposes</w:t>
      </w:r>
      <w:r w:rsidRPr="00DD2D90">
        <w:rPr>
          <w:rStyle w:val="StyleUnderline"/>
        </w:rPr>
        <w:t xml:space="preserve"> and implies </w:t>
      </w:r>
      <w:r w:rsidRPr="00DD2D90">
        <w:rPr>
          <w:rStyle w:val="StyleUnderline"/>
          <w:highlight w:val="green"/>
        </w:rPr>
        <w:t>a stand- ardized definition of</w:t>
      </w:r>
      <w:r w:rsidRPr="00DD2D90">
        <w:rPr>
          <w:rStyle w:val="StyleUnderline"/>
        </w:rPr>
        <w:t xml:space="preserve"> </w:t>
      </w:r>
      <w:r w:rsidRPr="009C4A5A">
        <w:rPr>
          <w:sz w:val="16"/>
        </w:rPr>
        <w:t xml:space="preserve">healthcare needs, and therefore an a priori decision on </w:t>
      </w:r>
      <w:r w:rsidRPr="00DD2D90">
        <w:rPr>
          <w:rStyle w:val="StyleUnderline"/>
          <w:highlight w:val="green"/>
        </w:rPr>
        <w:t>what should</w:t>
      </w:r>
      <w:r w:rsidRPr="009C4A5A">
        <w:rPr>
          <w:sz w:val="16"/>
        </w:rPr>
        <w:t xml:space="preserve"> or should not </w:t>
      </w:r>
      <w:r w:rsidRPr="00DD2D90">
        <w:rPr>
          <w:rStyle w:val="StyleUnderline"/>
          <w:highlight w:val="green"/>
        </w:rPr>
        <w:t>be supplied</w:t>
      </w:r>
      <w:r w:rsidRPr="00DD2D90">
        <w:rPr>
          <w:rStyle w:val="StyleUnderline"/>
        </w:rPr>
        <w:t xml:space="preserve"> at the expense of taxpayers</w:t>
      </w:r>
      <w:r w:rsidRPr="009C4A5A">
        <w:rPr>
          <w:sz w:val="16"/>
        </w:rPr>
        <w:t xml:space="preserve">. Such </w:t>
      </w:r>
      <w:r w:rsidRPr="00DD2D90">
        <w:rPr>
          <w:rStyle w:val="StyleUnderline"/>
          <w:highlight w:val="green"/>
        </w:rPr>
        <w:t>a decision</w:t>
      </w:r>
      <w:r w:rsidRPr="00DD2D90">
        <w:rPr>
          <w:rStyle w:val="StyleUnderline"/>
        </w:rPr>
        <w:t xml:space="preserve"> </w:t>
      </w:r>
      <w:r w:rsidRPr="009C4A5A">
        <w:rPr>
          <w:sz w:val="16"/>
        </w:rPr>
        <w:t xml:space="preserve">can involve very broad guidelines (e.g., the decision to rely on conventional—as opposed to alternative—medicine), but it </w:t>
      </w:r>
      <w:r w:rsidRPr="00DD2D90">
        <w:rPr>
          <w:rStyle w:val="StyleUnderline"/>
          <w:highlight w:val="green"/>
        </w:rPr>
        <w:t>can</w:t>
      </w:r>
      <w:r w:rsidRPr="009C4A5A">
        <w:rPr>
          <w:sz w:val="16"/>
        </w:rPr>
        <w:t xml:space="preserve"> also </w:t>
      </w:r>
      <w:r w:rsidRPr="00DD2D90">
        <w:rPr>
          <w:rStyle w:val="StyleUnderline"/>
          <w:highlight w:val="green"/>
        </w:rPr>
        <w:t>set</w:t>
      </w:r>
      <w:r w:rsidRPr="009C4A5A">
        <w:rPr>
          <w:sz w:val="16"/>
        </w:rPr>
        <w:t xml:space="preserve"> </w:t>
      </w:r>
      <w:r w:rsidRPr="00DD2D90">
        <w:rPr>
          <w:rStyle w:val="StyleUnderline"/>
        </w:rPr>
        <w:t>the stage for</w:t>
      </w:r>
      <w:r w:rsidRPr="009C4A5A">
        <w:rPr>
          <w:sz w:val="16"/>
        </w:rPr>
        <w:t xml:space="preserve"> </w:t>
      </w:r>
      <w:r w:rsidRPr="00DD2D90">
        <w:rPr>
          <w:rStyle w:val="Emphasis"/>
          <w:highlight w:val="green"/>
        </w:rPr>
        <w:t>micromanagement</w:t>
      </w:r>
      <w:r w:rsidRPr="009C4A5A">
        <w:rPr>
          <w:sz w:val="16"/>
        </w:rPr>
        <w:t xml:space="preserve">, picking this or that treatment because of any assortment of reasons </w:t>
      </w:r>
      <w:r w:rsidRPr="00DD2D90">
        <w:rPr>
          <w:rStyle w:val="StyleUnderline"/>
        </w:rPr>
        <w:t xml:space="preserve">which </w:t>
      </w:r>
      <w:r w:rsidRPr="00DD2D90">
        <w:rPr>
          <w:rStyle w:val="Emphasis"/>
        </w:rPr>
        <w:t>disregard</w:t>
      </w:r>
      <w:r w:rsidRPr="00DD2D90">
        <w:rPr>
          <w:rStyle w:val="StyleUnderline"/>
        </w:rPr>
        <w:t xml:space="preserve"> individual preferences</w:t>
      </w:r>
      <w:r w:rsidRPr="009C4A5A">
        <w:rPr>
          <w:sz w:val="16"/>
        </w:rPr>
        <w:t xml:space="preserve">. the idea of </w:t>
      </w:r>
      <w:r w:rsidRPr="00DD2D90">
        <w:rPr>
          <w:rStyle w:val="StyleUnderline"/>
          <w:highlight w:val="green"/>
        </w:rPr>
        <w:t>free choice does not sit well with</w:t>
      </w:r>
      <w:r w:rsidRPr="00DD2D90">
        <w:rPr>
          <w:rStyle w:val="StyleUnderline"/>
        </w:rPr>
        <w:t xml:space="preserve"> </w:t>
      </w:r>
      <w:r w:rsidRPr="00DD2D90">
        <w:rPr>
          <w:rStyle w:val="StyleUnderline"/>
          <w:highlight w:val="green"/>
        </w:rPr>
        <w:t>government</w:t>
      </w:r>
      <w:r w:rsidRPr="00DD2D90">
        <w:rPr>
          <w:rStyle w:val="StyleUnderline"/>
        </w:rPr>
        <w:t xml:space="preserve">-managed </w:t>
      </w:r>
      <w:r w:rsidRPr="00DD2D90">
        <w:rPr>
          <w:rStyle w:val="StyleUnderline"/>
          <w:highlight w:val="green"/>
        </w:rPr>
        <w:t>healthcare</w:t>
      </w:r>
      <w:r w:rsidRPr="00DD2D90">
        <w:rPr>
          <w:rStyle w:val="StyleUnderline"/>
        </w:rPr>
        <w:t xml:space="preserve"> systems</w:t>
      </w:r>
      <w:r w:rsidRPr="009C4A5A">
        <w:rPr>
          <w:sz w:val="16"/>
        </w:rPr>
        <w:t xml:space="preserve">. Contemporary european public opinion seems to be biased against a multitier healthcare system. Yet </w:t>
      </w:r>
      <w:r w:rsidRPr="00DD2D90">
        <w:rPr>
          <w:rStyle w:val="StyleUnderline"/>
          <w:highlight w:val="green"/>
        </w:rPr>
        <w:t>without</w:t>
      </w:r>
      <w:r w:rsidRPr="00DD2D90">
        <w:rPr>
          <w:rStyle w:val="StyleUnderline"/>
        </w:rPr>
        <w:t xml:space="preserve"> </w:t>
      </w:r>
      <w:r w:rsidRPr="009C4A5A">
        <w:rPr>
          <w:sz w:val="16"/>
        </w:rPr>
        <w:t>a wider</w:t>
      </w:r>
      <w:r w:rsidRPr="00DD2D90">
        <w:rPr>
          <w:rStyle w:val="StyleUnderline"/>
        </w:rPr>
        <w:t xml:space="preserve"> </w:t>
      </w:r>
      <w:r w:rsidRPr="00DD2D90">
        <w:rPr>
          <w:rStyle w:val="StyleUnderline"/>
          <w:highlight w:val="green"/>
        </w:rPr>
        <w:t>diversification</w:t>
      </w:r>
      <w:r w:rsidRPr="009C4A5A">
        <w:rPr>
          <w:sz w:val="16"/>
        </w:rPr>
        <w:t xml:space="preserve"> of both the supply and the demand side, </w:t>
      </w:r>
      <w:r w:rsidRPr="00DD2D90">
        <w:rPr>
          <w:rStyle w:val="StyleUnderline"/>
          <w:highlight w:val="green"/>
        </w:rPr>
        <w:t>it seems</w:t>
      </w:r>
      <w:r w:rsidRPr="00DD2D90">
        <w:rPr>
          <w:rStyle w:val="StyleUnderline"/>
        </w:rPr>
        <w:t xml:space="preserve"> increasingly </w:t>
      </w:r>
      <w:r w:rsidRPr="00DD2D90">
        <w:rPr>
          <w:rStyle w:val="StyleUnderline"/>
          <w:highlight w:val="green"/>
        </w:rPr>
        <w:t>difficult to allow for</w:t>
      </w:r>
      <w:r w:rsidRPr="00DD2D90">
        <w:rPr>
          <w:rStyle w:val="StyleUnderline"/>
        </w:rPr>
        <w:t xml:space="preserve"> </w:t>
      </w:r>
      <w:r w:rsidRPr="00DD2D90">
        <w:rPr>
          <w:rStyle w:val="StyleUnderline"/>
          <w:highlight w:val="green"/>
        </w:rPr>
        <w:t>free- dom of choice at the patient level</w:t>
      </w:r>
      <w:r w:rsidRPr="009C4A5A">
        <w:rPr>
          <w:sz w:val="16"/>
        </w:rPr>
        <w:t xml:space="preserve">. From the perspective of the system, </w:t>
      </w:r>
      <w:r w:rsidRPr="00DD2D90">
        <w:rPr>
          <w:rStyle w:val="StyleUnderline"/>
        </w:rPr>
        <w:t>rationing is more a necessity than an ideological choice</w:t>
      </w:r>
      <w:r w:rsidRPr="009C4A5A">
        <w:rPr>
          <w:sz w:val="16"/>
        </w:rPr>
        <w:t xml:space="preserve">. the demographic trends in Western europe are ren- dering the promise of lifelong care very expensive. the welfare state was born at a time when medicine was, by and large, a traditional craft, and life expectancy was significantly lower. today the welfare state faces a truly “industrial” healthcare provision. improvements in technology have resulted in ever further extensions of life expectancy. A relatively older population needs treatment for chronic diseases and is now looking forward to ever more advanced treatments that may make life with chronic diseases more bearable. there are proportionately less young workers whose taxes can finance those treatments. </w:t>
      </w:r>
      <w:r w:rsidRPr="00DD2D90">
        <w:rPr>
          <w:rStyle w:val="StyleUnderline"/>
        </w:rPr>
        <w:t>the result is a severe pressure on costs</w:t>
      </w:r>
      <w:r w:rsidRPr="009C4A5A">
        <w:rPr>
          <w:sz w:val="16"/>
        </w:rPr>
        <w:t xml:space="preserve">. the tradi- tional way of unavowed rationing—rationing by waiting list—does not seem practical any more in an age where information flows rapidly among voters and patients. the method of restraining access by means of queues may seri- ously compromise the reputation of public healthcare. on the other hand, european states’ overwhelming public debt2 makes it very difficult, if not impossible, to forgo the limitation of health services that are publicly funded. From a historical perspective, this state of affairs should come as no sur- prise. it is worth remembering that the Austrian economists ludwig von Mises (1881–1973) and Friedrich A. von Hayek (1899–1992), in a series of penetrating essays written in the 1920s and 1930s, demonstrated that </w:t>
      </w:r>
      <w:r w:rsidRPr="00DD2D90">
        <w:rPr>
          <w:rStyle w:val="StyleUnderline"/>
        </w:rPr>
        <w:t>effi- cient economic planning was impossible in the absence of a price system such as only free markets provide</w:t>
      </w:r>
      <w:r w:rsidRPr="009C4A5A">
        <w:rPr>
          <w:sz w:val="16"/>
        </w:rPr>
        <w:t xml:space="preserve">. </w:t>
      </w:r>
      <w:r w:rsidRPr="00DD2D90">
        <w:rPr>
          <w:rStyle w:val="StyleUnderline"/>
        </w:rPr>
        <w:t>in the absence of prices that reflect in an accurate way people’s preferences for various goods and services, state control</w:t>
      </w:r>
      <w:r w:rsidRPr="009C4A5A">
        <w:rPr>
          <w:sz w:val="16"/>
        </w:rPr>
        <w:t xml:space="preserve"> and direction of the economy </w:t>
      </w:r>
      <w:r w:rsidRPr="00DD2D90">
        <w:rPr>
          <w:rStyle w:val="StyleUnderline"/>
        </w:rPr>
        <w:t xml:space="preserve">can only lead to wrong investment decisions, unbalanced production, and </w:t>
      </w:r>
      <w:r w:rsidRPr="009C4A5A">
        <w:rPr>
          <w:sz w:val="16"/>
        </w:rPr>
        <w:t>therefore</w:t>
      </w:r>
      <w:r w:rsidRPr="00DD2D90">
        <w:rPr>
          <w:rStyle w:val="StyleUnderline"/>
        </w:rPr>
        <w:t xml:space="preserve"> widespread disorder</w:t>
      </w:r>
      <w:r w:rsidRPr="009C4A5A">
        <w:rPr>
          <w:sz w:val="16"/>
        </w:rPr>
        <w:t>. to be sure, such inefficiency may be considered bearable, given the need to pursue social justice. Up to a point, it could be argued that a dysfunctional healthcare system, no matter how bad it works, may still have positive spillo- ver effects on the economy and society as a whole. this paper will briefly examine the tenets of the mainstream approach and will then attempt to present the caveats on socialized medicines that can be traced back to the thought of two distinguished champions of clas- sical liberalism: Herbert Spencer (1820–1903) and F. A. Hayek (1899–1992). i will maintain that, although neither of them was a health economist, their lessons are of critical relevance for today in the crisis of welfare systems and particularly of government-provided healthcare.</w:t>
      </w:r>
    </w:p>
    <w:p w14:paraId="0D39AD74" w14:textId="77777777" w:rsidR="00B0589A" w:rsidRPr="009C4A5A" w:rsidRDefault="00B0589A">
      <w:pPr>
        <w:rPr>
          <w:rFonts w:eastAsiaTheme="majorEastAsia" w:cstheme="majorBidi"/>
          <w:b/>
          <w:iCs/>
          <w:sz w:val="16"/>
        </w:rPr>
      </w:pPr>
      <w:r w:rsidRPr="009C4A5A">
        <w:rPr>
          <w:sz w:val="16"/>
        </w:rPr>
        <w:br w:type="page"/>
      </w:r>
    </w:p>
    <w:p w14:paraId="6C49F956" w14:textId="72367DB1" w:rsidR="008732A1" w:rsidRPr="009C4A5A" w:rsidRDefault="00D61198" w:rsidP="008732A1">
      <w:pPr>
        <w:pStyle w:val="Heading4"/>
        <w:rPr>
          <w:szCs w:val="26"/>
        </w:rPr>
      </w:pPr>
      <w:r w:rsidRPr="009C4A5A">
        <w:rPr>
          <w:szCs w:val="26"/>
        </w:rPr>
        <w:t>Social healthcare undermines property rights and leads to bureaucratic authoritarianism and paternalism</w:t>
      </w:r>
    </w:p>
    <w:p w14:paraId="6CEF3C0B" w14:textId="77777777" w:rsidR="008732A1" w:rsidRPr="00DD2D90" w:rsidRDefault="008732A1" w:rsidP="008732A1">
      <w:r w:rsidRPr="009C4A5A">
        <w:rPr>
          <w:b/>
          <w:bCs/>
          <w:sz w:val="26"/>
          <w:szCs w:val="26"/>
        </w:rPr>
        <w:t>Mingardi 15</w:t>
      </w:r>
      <w:r w:rsidRPr="00DD2D90">
        <w:t xml:space="preserve"> [Alberto Mingardi, researcher with a PhD at the University of Milan, 2015, “Healthcare and the Slippery Slope of State Growth: Lessons </w:t>
      </w:r>
      <w:proofErr w:type="gramStart"/>
      <w:r w:rsidRPr="00DD2D90">
        <w:t>From</w:t>
      </w:r>
      <w:proofErr w:type="gramEnd"/>
      <w:r w:rsidRPr="00DD2D90">
        <w:t xml:space="preserve"> the Past,” Journal of Medicine and Philosophy, https://sci-hub.ru/10.1093/jmp/jhu074]/Kankee</w:t>
      </w:r>
    </w:p>
    <w:p w14:paraId="30DF701A" w14:textId="77777777" w:rsidR="008732A1" w:rsidRPr="009C4A5A" w:rsidRDefault="008732A1" w:rsidP="00BE6D1E">
      <w:pPr>
        <w:rPr>
          <w:sz w:val="16"/>
        </w:rPr>
      </w:pPr>
      <w:r w:rsidRPr="009C4A5A">
        <w:rPr>
          <w:sz w:val="16"/>
        </w:rPr>
        <w:t xml:space="preserve">iii. A gliMPSe At tHe WelFAre StAte: Herbert SPenCer And tHe iMProPer SPHere oF goVernMent the promise of universal access to healthcare entered the political stage when technology was more primitive, and life expectancy substantially shorter than today. life expectancy for men in the industrialized world was 45 years in 1900, and reached 73 in 2000. A variety of factors contributed to this impressive improvement: one may play chicken or egg with the expla- nations, but this success can assuredly be seen as the result of the combined action of ever-increasing per capita incomes, sanitation cum public health measures, and medical progress.9 things looked clearly different at the time Herbert Spencer was writing, a time that roughly coincides with the beginning of successful sanitation prac- tices in europe. reading Spencer today on the subject can help us to better appreciate the root of a long-term problem of healthcare systems: that is, the effect of their architecture on the larger ecosystem of society. Although the last 30 years saw the development of a newer Spencer scholarship (see e.g., Peel, 1971; taylor, 1992; gray, 1996; Weinstein, 1998), his work seems to have been largely ignored by contemporary thinkers. Authors associated with classical liberal or libertarian political philosophy pay lip service to Spencer from time to time,10 but his formerly consider- able influence has faded. this is due to a number of factors: For one thing, Spencer’s overreaching ambitions as a “system-builder” are at odds with the tendency toward specialization which frames the modern academic world. For another, Spencer’s theory of evolution has often been understood as a “social darwinism”—he was both a proponent of the theory of evolution and a staunch champion of laissez-faire. However, i here refer mainly not to the mature political works of Spencer, which are framed in the language of evolutionary thought. instead, my focus is on his first political treatise, a lit- tle book formed by 12 letters and entitled The Proper Sphere of Government (1842–1843), and on what is arguably his first opus magnum, Social Statics (1851). The Proper Sphere of Government brings together a series of letters that are suffused with political economy, the pride of nonconformity (Spencer came from a nonconformist family), and the language of lockean liberalism, with a strong emphasis on the concept of </w:t>
      </w:r>
      <w:r w:rsidRPr="00DD2D90">
        <w:rPr>
          <w:rStyle w:val="StyleUnderline"/>
        </w:rPr>
        <w:t>individual rights</w:t>
      </w:r>
      <w:r w:rsidRPr="009C4A5A">
        <w:rPr>
          <w:sz w:val="16"/>
        </w:rPr>
        <w:t xml:space="preserve">. the subject of this work </w:t>
      </w:r>
      <w:r w:rsidRPr="00DD2D90">
        <w:rPr>
          <w:rStyle w:val="StyleUnderline"/>
        </w:rPr>
        <w:t>is</w:t>
      </w:r>
      <w:r w:rsidRPr="009C4A5A">
        <w:rPr>
          <w:sz w:val="16"/>
        </w:rPr>
        <w:t xml:space="preserve"> indeed the proper </w:t>
      </w:r>
      <w:r w:rsidRPr="00DD2D90">
        <w:rPr>
          <w:rStyle w:val="StyleUnderline"/>
        </w:rPr>
        <w:t>against the improper sphere of government</w:t>
      </w:r>
      <w:r w:rsidRPr="009C4A5A">
        <w:rPr>
          <w:sz w:val="16"/>
        </w:rPr>
        <w:t xml:space="preserve">. For Spencer, </w:t>
      </w:r>
      <w:r w:rsidRPr="00DD2D90">
        <w:rPr>
          <w:rStyle w:val="StyleUnderline"/>
        </w:rPr>
        <w:t>a government is needed</w:t>
      </w:r>
      <w:r w:rsidRPr="009C4A5A">
        <w:rPr>
          <w:sz w:val="16"/>
        </w:rPr>
        <w:t xml:space="preserve">, but not to regulate commerce; not to educate the people; not to teach religion; not to administer charity; not to make roads and railways; but simply </w:t>
      </w:r>
      <w:r w:rsidRPr="00DD2D90">
        <w:rPr>
          <w:rStyle w:val="StyleUnderline"/>
        </w:rPr>
        <w:t>to defend the natural rights of</w:t>
      </w:r>
      <w:r w:rsidRPr="009C4A5A">
        <w:rPr>
          <w:sz w:val="16"/>
        </w:rPr>
        <w:t xml:space="preserve"> man—to protect person and </w:t>
      </w:r>
      <w:r w:rsidRPr="00DD2D90">
        <w:rPr>
          <w:rStyle w:val="StyleUnderline"/>
        </w:rPr>
        <w:t>property</w:t>
      </w:r>
      <w:r w:rsidRPr="009C4A5A">
        <w:rPr>
          <w:sz w:val="16"/>
        </w:rPr>
        <w:t xml:space="preserve">—to prevent the aggressions of the powerful upon the weak—in a word, to administer justice. this is the natural, the original, office of a government. it was not intended to do less: </w:t>
      </w:r>
      <w:r w:rsidRPr="00DD2D90">
        <w:rPr>
          <w:rStyle w:val="StyleUnderline"/>
        </w:rPr>
        <w:t>it ought not to be allowed to do more</w:t>
      </w:r>
      <w:r w:rsidRPr="009C4A5A">
        <w:rPr>
          <w:sz w:val="16"/>
        </w:rPr>
        <w:t>. (</w:t>
      </w:r>
      <w:r w:rsidRPr="00DD2D90">
        <w:rPr>
          <w:rStyle w:val="StyleUnderline"/>
          <w:highlight w:val="green"/>
        </w:rPr>
        <w:t>Spencer</w:t>
      </w:r>
      <w:r w:rsidRPr="009C4A5A">
        <w:rPr>
          <w:sz w:val="16"/>
        </w:rPr>
        <w:t xml:space="preserve">, [1843] 1981a, 187) Accordingly, a government that is strictly limited to the administration of justice, basically an agency that does not go beyond the functions of the judiciary and the police, is the only legitimate one. Spencer knew that this was a narrow definition. He thought that its strength rested on this very nar- rowness. </w:t>
      </w:r>
      <w:r w:rsidRPr="00DD2D90">
        <w:rPr>
          <w:rStyle w:val="StyleUnderline"/>
        </w:rPr>
        <w:t xml:space="preserve">He </w:t>
      </w:r>
      <w:r w:rsidRPr="00DD2D90">
        <w:rPr>
          <w:rStyle w:val="StyleUnderline"/>
          <w:highlight w:val="green"/>
        </w:rPr>
        <w:t>rejected linking</w:t>
      </w:r>
      <w:r w:rsidRPr="00DD2D90">
        <w:rPr>
          <w:rStyle w:val="StyleUnderline"/>
        </w:rPr>
        <w:t xml:space="preserve"> </w:t>
      </w:r>
      <w:r w:rsidRPr="00DD2D90">
        <w:rPr>
          <w:rStyle w:val="StyleUnderline"/>
          <w:highlight w:val="green"/>
        </w:rPr>
        <w:t>government with a “</w:t>
      </w:r>
      <w:r w:rsidRPr="00DD2D90">
        <w:rPr>
          <w:rStyle w:val="Emphasis"/>
          <w:highlight w:val="green"/>
        </w:rPr>
        <w:t>common good</w:t>
      </w:r>
      <w:r w:rsidRPr="00DD2D90">
        <w:rPr>
          <w:rStyle w:val="StyleUnderline"/>
        </w:rPr>
        <w:t xml:space="preserve">,” because he realized that </w:t>
      </w:r>
      <w:r w:rsidRPr="00DD2D90">
        <w:rPr>
          <w:rStyle w:val="StyleUnderline"/>
          <w:highlight w:val="green"/>
        </w:rPr>
        <w:t xml:space="preserve">this concept is </w:t>
      </w:r>
      <w:r w:rsidRPr="00DD2D90">
        <w:rPr>
          <w:rStyle w:val="Emphasis"/>
          <w:highlight w:val="green"/>
        </w:rPr>
        <w:t>too</w:t>
      </w:r>
      <w:r w:rsidRPr="00DD2D90">
        <w:rPr>
          <w:rStyle w:val="StyleUnderline"/>
          <w:highlight w:val="green"/>
        </w:rPr>
        <w:t xml:space="preserve"> </w:t>
      </w:r>
      <w:r w:rsidRPr="00DD2D90">
        <w:rPr>
          <w:rStyle w:val="Emphasis"/>
          <w:highlight w:val="green"/>
        </w:rPr>
        <w:t>vague</w:t>
      </w:r>
      <w:r w:rsidRPr="00DD2D90">
        <w:rPr>
          <w:rStyle w:val="StyleUnderline"/>
          <w:highlight w:val="green"/>
        </w:rPr>
        <w:t xml:space="preserve"> to provide</w:t>
      </w:r>
      <w:r w:rsidRPr="00DD2D90">
        <w:rPr>
          <w:rStyle w:val="StyleUnderline"/>
        </w:rPr>
        <w:t xml:space="preserve"> substantive </w:t>
      </w:r>
      <w:r w:rsidRPr="00DD2D90">
        <w:rPr>
          <w:rStyle w:val="StyleUnderline"/>
          <w:highlight w:val="green"/>
        </w:rPr>
        <w:t>guidance</w:t>
      </w:r>
      <w:r w:rsidRPr="00DD2D90">
        <w:rPr>
          <w:rStyle w:val="StyleUnderline"/>
        </w:rPr>
        <w:t xml:space="preserve"> for concrete implementation</w:t>
      </w:r>
      <w:r w:rsidRPr="009C4A5A">
        <w:rPr>
          <w:sz w:val="16"/>
        </w:rPr>
        <w:t xml:space="preserve">. in the same vein, </w:t>
      </w:r>
      <w:r w:rsidRPr="00DD2D90">
        <w:rPr>
          <w:rStyle w:val="StyleUnderline"/>
          <w:highlight w:val="green"/>
        </w:rPr>
        <w:t>he defined “justice</w:t>
      </w:r>
      <w:r w:rsidRPr="00DD2D90">
        <w:rPr>
          <w:rStyle w:val="StyleUnderline"/>
        </w:rPr>
        <w:t xml:space="preserve">” </w:t>
      </w:r>
      <w:r w:rsidRPr="00DD2D90">
        <w:rPr>
          <w:rStyle w:val="StyleUnderline"/>
          <w:highlight w:val="green"/>
        </w:rPr>
        <w:t>as</w:t>
      </w:r>
      <w:r w:rsidRPr="00DD2D90">
        <w:rPr>
          <w:rStyle w:val="StyleUnderline"/>
        </w:rPr>
        <w:t xml:space="preserve"> com- prehending “only the </w:t>
      </w:r>
      <w:r w:rsidRPr="00DD2D90">
        <w:rPr>
          <w:rStyle w:val="StyleUnderline"/>
          <w:highlight w:val="green"/>
        </w:rPr>
        <w:t>preservation of man’s</w:t>
      </w:r>
      <w:r w:rsidRPr="00DD2D90">
        <w:rPr>
          <w:rStyle w:val="StyleUnderline"/>
        </w:rPr>
        <w:t xml:space="preserve"> </w:t>
      </w:r>
      <w:r w:rsidRPr="00DD2D90">
        <w:rPr>
          <w:rStyle w:val="StyleUnderline"/>
          <w:highlight w:val="green"/>
        </w:rPr>
        <w:t>natural</w:t>
      </w:r>
      <w:r w:rsidRPr="00DD2D90">
        <w:rPr>
          <w:rStyle w:val="StyleUnderline"/>
        </w:rPr>
        <w:t xml:space="preserve"> (i.e., defensive) </w:t>
      </w:r>
      <w:r w:rsidRPr="00DD2D90">
        <w:rPr>
          <w:rStyle w:val="StyleUnderline"/>
          <w:highlight w:val="green"/>
        </w:rPr>
        <w:t>rights</w:t>
      </w:r>
      <w:r w:rsidRPr="00DD2D90">
        <w:rPr>
          <w:rStyle w:val="StyleUnderline"/>
        </w:rPr>
        <w:t>. injustice arises from a violation of those rights</w:t>
      </w:r>
      <w:r w:rsidRPr="009C4A5A">
        <w:rPr>
          <w:sz w:val="16"/>
        </w:rPr>
        <w:t xml:space="preserve">” (Spencer [1843] 1981, 188). this is the reason why, in the later Social Statics, Spencer held </w:t>
      </w:r>
      <w:r w:rsidRPr="00DD2D90">
        <w:rPr>
          <w:rStyle w:val="StyleUnderline"/>
        </w:rPr>
        <w:t xml:space="preserve">any effort of the </w:t>
      </w:r>
      <w:r w:rsidRPr="00DD2D90">
        <w:rPr>
          <w:rStyle w:val="StyleUnderline"/>
          <w:highlight w:val="green"/>
        </w:rPr>
        <w:t>state</w:t>
      </w:r>
      <w:r w:rsidRPr="00DD2D90">
        <w:rPr>
          <w:rStyle w:val="StyleUnderline"/>
        </w:rPr>
        <w:t xml:space="preserve"> to use </w:t>
      </w:r>
      <w:r w:rsidRPr="00DD2D90">
        <w:rPr>
          <w:rStyle w:val="StyleUnderline"/>
          <w:highlight w:val="green"/>
        </w:rPr>
        <w:t>tax money</w:t>
      </w:r>
      <w:r w:rsidRPr="00DD2D90">
        <w:rPr>
          <w:rStyle w:val="StyleUnderline"/>
        </w:rPr>
        <w:t xml:space="preserve"> in order </w:t>
      </w:r>
      <w:r w:rsidRPr="00DD2D90">
        <w:rPr>
          <w:rStyle w:val="StyleUnderline"/>
          <w:highlight w:val="green"/>
        </w:rPr>
        <w:t>to provide</w:t>
      </w:r>
      <w:r w:rsidRPr="00DD2D90">
        <w:rPr>
          <w:rStyle w:val="StyleUnderline"/>
        </w:rPr>
        <w:t xml:space="preserve"> </w:t>
      </w:r>
      <w:r w:rsidRPr="00DD2D90">
        <w:rPr>
          <w:rStyle w:val="Emphasis"/>
          <w:highlight w:val="green"/>
        </w:rPr>
        <w:t>sanitation</w:t>
      </w:r>
      <w:r w:rsidRPr="00DD2D90">
        <w:rPr>
          <w:rStyle w:val="StyleUnderline"/>
        </w:rPr>
        <w:t xml:space="preserve"> measures to be</w:t>
      </w:r>
      <w:r w:rsidRPr="009C4A5A">
        <w:rPr>
          <w:sz w:val="16"/>
        </w:rPr>
        <w:t xml:space="preserve"> necessarily </w:t>
      </w:r>
      <w:r w:rsidRPr="00DD2D90">
        <w:rPr>
          <w:rStyle w:val="StyleUnderline"/>
          <w:highlight w:val="green"/>
        </w:rPr>
        <w:t>illegitimate</w:t>
      </w:r>
      <w:r w:rsidRPr="009C4A5A">
        <w:rPr>
          <w:sz w:val="16"/>
        </w:rPr>
        <w:t xml:space="preserve">: </w:t>
      </w:r>
      <w:r w:rsidRPr="00DD2D90">
        <w:rPr>
          <w:rStyle w:val="StyleUnderline"/>
        </w:rPr>
        <w:t>for a government to take from a citizen more property</w:t>
      </w:r>
      <w:r w:rsidRPr="009C4A5A">
        <w:rPr>
          <w:sz w:val="16"/>
        </w:rPr>
        <w:t xml:space="preserve"> than is needful for the effi- cient defense of that citizen’s rights, is </w:t>
      </w:r>
      <w:r w:rsidRPr="00DD2D90">
        <w:rPr>
          <w:rStyle w:val="StyleUnderline"/>
        </w:rPr>
        <w:t>to infringe his rights</w:t>
      </w:r>
      <w:r w:rsidRPr="009C4A5A">
        <w:rPr>
          <w:sz w:val="16"/>
        </w:rPr>
        <w:t>—</w:t>
      </w:r>
      <w:r w:rsidRPr="00DD2D90">
        <w:rPr>
          <w:rStyle w:val="StyleUnderline"/>
        </w:rPr>
        <w:t>is</w:t>
      </w:r>
      <w:r w:rsidRPr="009C4A5A">
        <w:rPr>
          <w:sz w:val="16"/>
        </w:rPr>
        <w:t xml:space="preserve">, consequently, </w:t>
      </w:r>
      <w:r w:rsidRPr="00DD2D90">
        <w:rPr>
          <w:rStyle w:val="StyleUnderline"/>
        </w:rPr>
        <w:t>to do the opposite of what it, the government, is commissioned to do</w:t>
      </w:r>
      <w:r w:rsidRPr="009C4A5A">
        <w:rPr>
          <w:sz w:val="16"/>
        </w:rPr>
        <w:t xml:space="preserve"> for him—or, in other words, is to do wrong. And hence all taxation for sanitary superintendence coming, as it does, within this category, must be condemned. (Spencer, 1851, 373) the young Spencer (The Proper Sphere of Government was written when he was in his early twenties) had a clear vision of the tendency of the state to monopolize the different realms in which it was entering as an actor. His emphasis on man’s natural rights largely reflected the experience of english subjects who belonged to a non-Anglican denomination. Such subjects were restricted from participation in many sectors of public life and considered ineligible for many forms of public educational and social benefits (including universities: neither Spencer nor J. S. Mill [1806–1873], arguably the leading political thinkers of britain in their time, could have gone to oxford or Cambridge). nonconformists got to know the arrogance of government the hard way: Spencer tried to build on these lessons in devising his libertarian political theory. the reason for a religious dissenter to oppose government intervention- ism as a matter of principle was, for Spencer, clear: </w:t>
      </w:r>
      <w:r w:rsidRPr="00DD2D90">
        <w:rPr>
          <w:rStyle w:val="StyleUnderline"/>
        </w:rPr>
        <w:t>just as the state’s attempt to monopolize religion had caused injustice, so would it be with government involvement in other areas</w:t>
      </w:r>
      <w:r w:rsidRPr="009C4A5A">
        <w:rPr>
          <w:sz w:val="16"/>
        </w:rPr>
        <w:t>. thus, he compared governments monopolizing religion with the first attempts to build a system of government-provided education. Specifically, he wrote, every argument used by religious nonconformists to show the unfairness of calling upon them to uphold doctrines that they cannot countenance, or subscribe towards a ministration which they do not attend, is equally effective in proving the injustice of compelling men to assist in the maintenance of a plan of instruction inconsist- ent with their principles; and forcing them to pay for teaching, from which neither they nor their children derive any benefit. in the one case, the spread of religious knowledge is the object aimed at—in the other the spread of secular knowledge. (Spencer, [1843] 1981a, 240–241) both the government’s monopoly on education and the establishment of the Church of england are built on the idea that the state should “look after the spiritual welfare of the community” (Spencer [1843] 1981, 243). in addition, Spencer likewise rejected the idea there was a positive role for the public sector in promoting the physical welfare of people: “</w:t>
      </w:r>
      <w:r w:rsidRPr="00DD2D90">
        <w:rPr>
          <w:rStyle w:val="StyleUnderline"/>
          <w:highlight w:val="green"/>
        </w:rPr>
        <w:t>there is a</w:t>
      </w:r>
      <w:r w:rsidRPr="00DD2D90">
        <w:rPr>
          <w:rStyle w:val="StyleUnderline"/>
        </w:rPr>
        <w:t xml:space="preserve"> manifest </w:t>
      </w:r>
      <w:r w:rsidRPr="00DD2D90">
        <w:rPr>
          <w:rStyle w:val="StyleUnderline"/>
          <w:highlight w:val="green"/>
        </w:rPr>
        <w:t>anal- ogy between</w:t>
      </w:r>
      <w:r w:rsidRPr="00DD2D90">
        <w:rPr>
          <w:rStyle w:val="StyleUnderline"/>
        </w:rPr>
        <w:t xml:space="preserve"> committing to government-</w:t>
      </w:r>
      <w:r w:rsidRPr="00DD2D90">
        <w:rPr>
          <w:rStyle w:val="StyleUnderline"/>
          <w:highlight w:val="green"/>
        </w:rPr>
        <w:t>guardian</w:t>
      </w:r>
      <w:r w:rsidRPr="00DD2D90">
        <w:rPr>
          <w:rStyle w:val="StyleUnderline"/>
        </w:rPr>
        <w:t xml:space="preserve">ship the </w:t>
      </w:r>
      <w:r w:rsidRPr="00DD2D90">
        <w:rPr>
          <w:rStyle w:val="StyleUnderline"/>
          <w:highlight w:val="green"/>
        </w:rPr>
        <w:t>physical health</w:t>
      </w:r>
      <w:r w:rsidRPr="00DD2D90">
        <w:rPr>
          <w:rStyle w:val="StyleUnderline"/>
        </w:rPr>
        <w:t xml:space="preserve"> of the people, </w:t>
      </w:r>
      <w:r w:rsidRPr="00DD2D90">
        <w:rPr>
          <w:rStyle w:val="StyleUnderline"/>
          <w:highlight w:val="green"/>
        </w:rPr>
        <w:t>and</w:t>
      </w:r>
      <w:r w:rsidRPr="00DD2D90">
        <w:rPr>
          <w:rStyle w:val="StyleUnderline"/>
        </w:rPr>
        <w:t xml:space="preserve"> committing to it their </w:t>
      </w:r>
      <w:r w:rsidRPr="00DD2D90">
        <w:rPr>
          <w:rStyle w:val="StyleUnderline"/>
          <w:highlight w:val="green"/>
        </w:rPr>
        <w:t>moral health</w:t>
      </w:r>
      <w:r w:rsidRPr="009C4A5A">
        <w:rPr>
          <w:sz w:val="16"/>
        </w:rPr>
        <w:t xml:space="preserve">” and the two improper government commitments “must stand or fall together” (Spencer, 1851, 374). He was critical of “medical men endeavoring to establish a monopoly” so as to restrict the supply of drug makers, even if many of the latter might in fact have exploited the credulity of people. in a way, relying on such a guild- system was the equivalent of what nowadays we may achieve by resorting to organizations such as the Food and drug Administration (Spencer, [1843] 1981a, 245). beyond that, it is indeed remarkable that already in 1842, well before anything like the beveridge plan crossed the mind of a politician, Spencer could see that “the doctrine that it is the duty of the state to protect the public health, contains the germ of another gigantic monopoly” (Spencer [1843] 1981a, 245). All this </w:t>
      </w:r>
      <w:r w:rsidRPr="00DD2D90">
        <w:rPr>
          <w:rStyle w:val="StyleUnderline"/>
        </w:rPr>
        <w:t>legislation</w:t>
      </w:r>
      <w:r w:rsidRPr="009C4A5A">
        <w:rPr>
          <w:sz w:val="16"/>
        </w:rPr>
        <w:t xml:space="preserve">, Spencer wrote, </w:t>
      </w:r>
      <w:r w:rsidRPr="00DD2D90">
        <w:rPr>
          <w:rStyle w:val="StyleUnderline"/>
        </w:rPr>
        <w:t>rested on the assumption that “men are not fitted to take care of themselves. it treats them as children</w:t>
      </w:r>
      <w:r w:rsidRPr="009C4A5A">
        <w:rPr>
          <w:sz w:val="16"/>
        </w:rPr>
        <w:t xml:space="preserve">” (Spencer, [1843] 1981a, 247). Spencer here offers a quintessentially classical liberal argument against state provision of healthcare services: </w:t>
      </w:r>
      <w:r w:rsidRPr="00DD2D90">
        <w:rPr>
          <w:rStyle w:val="StyleUnderline"/>
        </w:rPr>
        <w:t>even though human beings can certainly make mistakes, they are the best judges of their own needs</w:t>
      </w:r>
      <w:r w:rsidRPr="009C4A5A">
        <w:rPr>
          <w:sz w:val="16"/>
        </w:rPr>
        <w:t xml:space="preserve"> and should be considered as such. this is the case for a free government that keeps within its proper limits and does not attempt to interfere with people’s lives—not to brainwash them with religious beliefs, not to unduly influence them by providing uniformity in thinking via state education, nor to provide for their cures by depriving them of their personal responsibility. For Spencer, “to do for the people what they are naturally fitted to do for themselves, is to adopt one of the most efficient means of lowering the standard of national character” (Spencer, [1843] 1981a, 252).11 if this formula- tion of his argument may seem rough and uncharitable, what Spencer was expressing here was the idea of welfare dependency: expectations in view of public aid would lower the sense of self-reliance of individuals, mak- ing them increasingly dependent on state help rather than “self-helping” themselves out of poverty. People are “naturally fitted to do for themselves” (Spencer [1843] 1981, 253), but in doing so, they also contribute to social progress at large. they thrive, they adapt, they make attempts, they make mistakes. insuring people against their mistakes cannot but create artificial obstacles to the course of progress, because such a learning process would be fundamentally hampered. As Spencer very clearly wrote, A large class of officiously humane people, can never see any social evil, but they propose to pass some law for its future prevention. it never strikes them that the misfortunes of one are lessons for thousands—that the world generally learns more by its mistakes than by its successes—and that it is by the continual endeavour to avoid errors, difficulties, and dangers, that society is to become wiser. it is not for a moment denied that many individuals have been injured by druggists’ prescriptions, and quack medicines—some temporarily weakened—others permanently debili- tated—and a few perhaps killed outright. but, admitting this, it does not follow that it is not the wisest in the end, to let things take their own course. (</w:t>
      </w:r>
      <w:r w:rsidRPr="00DD2D90">
        <w:rPr>
          <w:rStyle w:val="StyleUnderline"/>
        </w:rPr>
        <w:t>Spencer</w:t>
      </w:r>
      <w:r w:rsidRPr="009C4A5A">
        <w:rPr>
          <w:sz w:val="16"/>
        </w:rPr>
        <w:t xml:space="preserve">, [1843] 1981a, 249) “letting things take their own course” did not imply, for Spencer, a desire to renounce the improvement of the standards of living, let alone standards of public health or the health conditions of individuals. the british philoso- pher simply </w:t>
      </w:r>
      <w:r w:rsidRPr="00DD2D90">
        <w:rPr>
          <w:rStyle w:val="StyleUnderline"/>
        </w:rPr>
        <w:t>did not believe that the betterment of conditions of life could be entrusted to governments, especially because he considered all previous progress to have come about through economic development rather than through state intervention</w:t>
      </w:r>
      <w:r w:rsidRPr="009C4A5A">
        <w:rPr>
          <w:sz w:val="16"/>
        </w:rPr>
        <w:t xml:space="preserve">: Surely the causes which have brought the sewage, the paving and lighting, and the water-supply of our towns, to their present state, have not suddenly ceased. (...) Surely, if all that has been done towards making cities healthy, has been done, not only without government aid, but in spite of government obstructions—in spite, that is, of the heavy expense of local acts of parliament—we may reasonably suppose, that what remains to be done can be done in the same way, especially if the obstruc- tions are removed. one would have thought that less excuse for meddling existed now than ever. now that so much has been effected; now that spontaneous advance is being made at an unparalleled rate; now that the laws of health are beginning to be generally studied; now that people are reforming their habits of living; now that the use of baths is spreading; now that temperance, and ventilation, and due exer- cise are getting thought about—to interfere now, of all times, is surely as rash and uncalled-for a step as was ever taken. And then to think that, in their hot haste to obtain by law healthier homes for the masses, men should not see that the natural process already commenced is the only process which can eventually succeed. (Spencer, 1851, 383) Some 10 years after The Proper Sphere of Government, Spencer was to give to the press one of the most phenomenal rebuttals of interventionism ever written: his essay “over-legislation” (1853), in which he debunks the “stupid- ity” of officialism, that is, bureaucracy. Here again, Spencer argued that while private bodies are enterprising and progressive, </w:t>
      </w:r>
      <w:r w:rsidRPr="00DD2D90">
        <w:rPr>
          <w:rStyle w:val="StyleUnderline"/>
        </w:rPr>
        <w:t xml:space="preserve">public bodies are unchang- ing, and, indeed, </w:t>
      </w:r>
      <w:r w:rsidRPr="00DD2D90">
        <w:rPr>
          <w:rStyle w:val="Emphasis"/>
        </w:rPr>
        <w:t>obstructive</w:t>
      </w:r>
      <w:r w:rsidRPr="009C4A5A">
        <w:rPr>
          <w:sz w:val="16"/>
        </w:rPr>
        <w:t xml:space="preserve">. that officialism should be inventive nobody expects. that it should go out of its easy mechanical routine to introduce improvements, and this at a considerable expense of thought and application, without the pros- pect of profit, is not to be supposed. but it is not simply stationary; it </w:t>
      </w:r>
      <w:r w:rsidRPr="00DD2D90">
        <w:rPr>
          <w:rStyle w:val="StyleUnderline"/>
        </w:rPr>
        <w:t>resists every amendment either in itself or in anything with which it deals</w:t>
      </w:r>
      <w:r w:rsidRPr="009C4A5A">
        <w:rPr>
          <w:sz w:val="16"/>
        </w:rPr>
        <w:t xml:space="preserve">. (Spencer, [1853] 1981b, 292) if </w:t>
      </w:r>
      <w:r w:rsidRPr="00DD2D90">
        <w:rPr>
          <w:rStyle w:val="StyleUnderline"/>
        </w:rPr>
        <w:t xml:space="preserve">the spontaneous interaction of individuals is what allows for </w:t>
      </w:r>
      <w:r w:rsidRPr="00DD2D90">
        <w:rPr>
          <w:rStyle w:val="Emphasis"/>
        </w:rPr>
        <w:t>innovation</w:t>
      </w:r>
      <w:r w:rsidRPr="00DD2D90">
        <w:rPr>
          <w:rStyle w:val="StyleUnderline"/>
        </w:rPr>
        <w:t xml:space="preserve"> to take place</w:t>
      </w:r>
      <w:r w:rsidRPr="009C4A5A">
        <w:rPr>
          <w:sz w:val="16"/>
        </w:rPr>
        <w:t xml:space="preserve">, in a learning process which is certainly long and often uneasy and assuredly marked by a good deal of mistakes, then it follows that once one allows the state to enter one has killed innovation. bureaucracies, so Spencer observed, have characteristics that make them naturally hostile to change: they are centralized, hierarchical, inherently conservative, and allow little room for experimentation. the whole worldview of Spencer, who sees evolution as a march toward progress, was based on the possibility of individuals learning from each other in the course of their interactions with each other. He saw this as being confirmed by medicine as well. on the supply side, competition was necessary to allow for innovation. on the demand side, absence of state involvement was necessary for allowing individual responsibility to flourish, with individuals expressing their true needs in encountering the demand side. Spencer criticized the concept of state-funded—and thus state-admin- istered—healthcare, even before such care had even entered public debate. to the modern reader, his sketch of a critique is amazingly rich: ▪ he pointed out that the </w:t>
      </w:r>
      <w:r w:rsidRPr="00DD2D90">
        <w:rPr>
          <w:rStyle w:val="StyleUnderline"/>
        </w:rPr>
        <w:t xml:space="preserve">involvement of the state in healthcare would be per se inimical to liberty, as it would be </w:t>
      </w:r>
      <w:r w:rsidRPr="00DD2D90">
        <w:rPr>
          <w:rStyle w:val="Emphasis"/>
        </w:rPr>
        <w:t>inevitably</w:t>
      </w:r>
      <w:r w:rsidRPr="00DD2D90">
        <w:rPr>
          <w:rStyle w:val="StyleUnderline"/>
        </w:rPr>
        <w:t xml:space="preserve"> </w:t>
      </w:r>
      <w:r w:rsidRPr="00DD2D90">
        <w:rPr>
          <w:rStyle w:val="Emphasis"/>
        </w:rPr>
        <w:t>paternalistic</w:t>
      </w:r>
      <w:r w:rsidRPr="009C4A5A">
        <w:rPr>
          <w:sz w:val="16"/>
        </w:rPr>
        <w:t xml:space="preserve">; ▪ he underlined that </w:t>
      </w:r>
      <w:r w:rsidRPr="00DD2D90">
        <w:rPr>
          <w:rStyle w:val="StyleUnderline"/>
          <w:highlight w:val="green"/>
        </w:rPr>
        <w:t xml:space="preserve">welfare may create </w:t>
      </w:r>
      <w:r w:rsidRPr="00DD2D90">
        <w:rPr>
          <w:rStyle w:val="Emphasis"/>
          <w:highlight w:val="green"/>
        </w:rPr>
        <w:t>dependency</w:t>
      </w:r>
      <w:r w:rsidRPr="009C4A5A">
        <w:rPr>
          <w:sz w:val="16"/>
        </w:rPr>
        <w:t xml:space="preserve">, a state of mind which nowadays is held in significantly lower moral contempt than at the time of Spencer, but which at any rate influences demand, and expectations, and thus the political vote, and ultimately the very sus- tainability of healthcare; ▪ he stressed, by and large, that health did not fundamentally differ from any other goods in human life insofar as the medical profession and the services it supplies could benefit from innovation, that is, improved through a continuous trial-and-error process. this process would not survive monopolization; ▪ he stressed how the sanitary </w:t>
      </w:r>
      <w:r w:rsidRPr="00DD2D90">
        <w:rPr>
          <w:rStyle w:val="StyleUnderline"/>
        </w:rPr>
        <w:t>conditions</w:t>
      </w:r>
      <w:r w:rsidRPr="009C4A5A">
        <w:rPr>
          <w:sz w:val="16"/>
        </w:rPr>
        <w:t xml:space="preserve"> of the british population </w:t>
      </w:r>
      <w:r w:rsidRPr="00DD2D90">
        <w:rPr>
          <w:rStyle w:val="StyleUnderline"/>
        </w:rPr>
        <w:t>were improved by economic</w:t>
      </w:r>
      <w:r w:rsidRPr="009C4A5A">
        <w:rPr>
          <w:sz w:val="16"/>
        </w:rPr>
        <w:t xml:space="preserve"> and scientific </w:t>
      </w:r>
      <w:r w:rsidRPr="00DD2D90">
        <w:rPr>
          <w:rStyle w:val="StyleUnderline"/>
        </w:rPr>
        <w:t>progress</w:t>
      </w:r>
      <w:r w:rsidRPr="009C4A5A">
        <w:rPr>
          <w:sz w:val="16"/>
        </w:rPr>
        <w:t xml:space="preserve">. </w:t>
      </w:r>
      <w:r w:rsidRPr="00DD2D90">
        <w:rPr>
          <w:rStyle w:val="StyleUnderline"/>
        </w:rPr>
        <w:t>Hindering the</w:t>
      </w:r>
      <w:r w:rsidRPr="009C4A5A">
        <w:rPr>
          <w:sz w:val="16"/>
        </w:rPr>
        <w:t xml:space="preserve"> workings of the market system </w:t>
      </w:r>
      <w:r w:rsidRPr="00DD2D90">
        <w:rPr>
          <w:rStyle w:val="StyleUnderline"/>
        </w:rPr>
        <w:t>was</w:t>
      </w:r>
      <w:r w:rsidRPr="009C4A5A">
        <w:rPr>
          <w:sz w:val="16"/>
        </w:rPr>
        <w:t xml:space="preserve"> thus potentially </w:t>
      </w:r>
      <w:r w:rsidRPr="00DD2D90">
        <w:rPr>
          <w:rStyle w:val="StyleUnderline"/>
        </w:rPr>
        <w:t xml:space="preserve">harmful, for the improvement of </w:t>
      </w:r>
      <w:r w:rsidRPr="00DD2D90">
        <w:rPr>
          <w:rStyle w:val="StyleUnderline"/>
          <w:highlight w:val="green"/>
        </w:rPr>
        <w:t xml:space="preserve">public health </w:t>
      </w:r>
      <w:r w:rsidRPr="00DD2D90">
        <w:rPr>
          <w:rStyle w:val="StyleUnderline"/>
        </w:rPr>
        <w:t>was dependent on innovation</w:t>
      </w:r>
      <w:r w:rsidRPr="009C4A5A">
        <w:rPr>
          <w:sz w:val="16"/>
        </w:rPr>
        <w:t xml:space="preserve"> more than anything else. Such a </w:t>
      </w:r>
      <w:r w:rsidRPr="00DD2D90">
        <w:rPr>
          <w:rStyle w:val="StyleUnderline"/>
        </w:rPr>
        <w:t>monopolization</w:t>
      </w:r>
      <w:r w:rsidRPr="009C4A5A">
        <w:rPr>
          <w:sz w:val="16"/>
        </w:rPr>
        <w:t xml:space="preserve">, so he also pointed out, </w:t>
      </w:r>
      <w:r w:rsidRPr="00DD2D90">
        <w:rPr>
          <w:rStyle w:val="StyleUnderline"/>
          <w:highlight w:val="green"/>
        </w:rPr>
        <w:t>entails</w:t>
      </w:r>
      <w:r w:rsidRPr="00DD2D90">
        <w:rPr>
          <w:rStyle w:val="StyleUnderline"/>
        </w:rPr>
        <w:t xml:space="preserve"> another risk: that of cre- ating </w:t>
      </w:r>
      <w:r w:rsidRPr="00DD2D90">
        <w:rPr>
          <w:rStyle w:val="StyleUnderline"/>
          <w:highlight w:val="green"/>
        </w:rPr>
        <w:t xml:space="preserve">a </w:t>
      </w:r>
      <w:r w:rsidRPr="00DD2D90">
        <w:rPr>
          <w:rStyle w:val="Emphasis"/>
          <w:highlight w:val="green"/>
        </w:rPr>
        <w:t>conflict of interest</w:t>
      </w:r>
      <w:r w:rsidRPr="009C4A5A">
        <w:rPr>
          <w:sz w:val="16"/>
        </w:rPr>
        <w:t xml:space="preserve">. if today’s apologists for the welfare state tend to for- get that a system based on entitlements does imply a bureaucracy charged with administering these entitlements,12 this point was still very clear to Spencer. Quite presciently, in a later essay, Spencer pointed out that monopoliza- tion of healthcare and public health on the part of the state would require the creation of an ad hoc </w:t>
      </w:r>
      <w:r w:rsidRPr="00DD2D90">
        <w:rPr>
          <w:rStyle w:val="StyleUnderline"/>
          <w:highlight w:val="green"/>
        </w:rPr>
        <w:t>bureaucracy</w:t>
      </w:r>
      <w:r w:rsidRPr="009C4A5A">
        <w:rPr>
          <w:sz w:val="16"/>
        </w:rPr>
        <w:t xml:space="preserve"> which in turn </w:t>
      </w:r>
      <w:r w:rsidRPr="00DD2D90">
        <w:rPr>
          <w:rStyle w:val="StyleUnderline"/>
          <w:highlight w:val="green"/>
        </w:rPr>
        <w:t>would give rise to</w:t>
      </w:r>
      <w:r w:rsidRPr="00DD2D90">
        <w:rPr>
          <w:rStyle w:val="StyleUnderline"/>
        </w:rPr>
        <w:t xml:space="preserve"> the problem of </w:t>
      </w:r>
      <w:r w:rsidRPr="00DD2D90">
        <w:rPr>
          <w:rStyle w:val="Emphasis"/>
          <w:highlight w:val="green"/>
        </w:rPr>
        <w:t>rent seeking</w:t>
      </w:r>
      <w:r w:rsidRPr="009C4A5A">
        <w:rPr>
          <w:sz w:val="16"/>
        </w:rPr>
        <w:t xml:space="preserve">. Members of </w:t>
      </w:r>
      <w:r w:rsidRPr="00DD2D90">
        <w:rPr>
          <w:rStyle w:val="StyleUnderline"/>
        </w:rPr>
        <w:t>a bureaucracy have an interest in “insisting upon needless expenses”</w:t>
      </w:r>
      <w:r w:rsidRPr="009C4A5A">
        <w:rPr>
          <w:sz w:val="16"/>
        </w:rPr>
        <w:t xml:space="preserve"> (Spencer, 1902, 222): new sanitary appliances are continually being devised, sanctioned by authority, and required by surveyors; and surveyors may have, and certainly some times do have, personal interest in pushing the use of them; either </w:t>
      </w:r>
      <w:r w:rsidRPr="00DD2D90">
        <w:rPr>
          <w:rStyle w:val="StyleUnderline"/>
        </w:rPr>
        <w:t>as being shareholders in the companies they are manufactured by, or as receiving percentages on the numbers sold thru their recommendations</w:t>
      </w:r>
      <w:r w:rsidRPr="009C4A5A">
        <w:rPr>
          <w:sz w:val="16"/>
        </w:rPr>
        <w:t xml:space="preserve">. in these days when illegitimate commissions are being disclosed, it is folly to suppose that here, where there is an obvious method of obtaining secret profits, it will not be used. (Spencer, 1902, 223) Curiously enough, while today large segments of public opinion tend to be critical of the self-interested motivations of the healthcare industry (e.g., of pharmaceutical manufactures), reflections on the incentives that may allow for improper profit-seeking within the agencies of the welfare state are con- spicuously absent. Proclaiming his allegiance to the principles of free trade in healthcare and public health, Spencer advocated a system in which mar- ket competition provides a check on profit-seeking, as opposed to a system that hinders transparency and allows for and even promotes the pursuit of self-interest by public servants in their public action. these criticisms are not part of the contemporary debate which we briefly examined.13 However, even the most superficial observer of public health and healthcare systems can easily see how relevant they are to the present situation. iV. HAYeK And SoCiAliZed MediCine if Spencer is a neglected figure in current teachings on the history of political thought, Friedrich A. von Hayek has been widely recognized as one of most relevant social scientists of the 20th century. the nobel committee ratified his relevance in 1974. Hayek was the great geographer of the “extended order,” seen not as a top-down plan to be engineered by properly equipped social wizards, but as the spontaneous result of a myriad of social interactions, any and each per- formed irrespective of the others. in this perspective, “order” is the unfore- seen and unforeseeable result of individual actions: a mutual adjustment of the free activities of the individual. reflecting on economic planning, Hayek emphasized the existence of a “knowledge problem” in society: economic life requires coordination of individual planning. the relevant knowledge for economic planning is dispersed rather than concentrated in society. this makes coordination a challenge in a market system. (economics, so Hayek often remarked, is the study of spontaneous orders.) this also makes coordi- nation a virtual impossibility under central planning: the planner could never attain and process all the necessary information to provide detailed guidance to any given development in society. Applied to the inability of state bureau- cracy to adapt to changing circumstances, these arguments present a more refined version of Spencer’s account, as examined in the previous section. Hayek’s stubborn insistence on the dissemination of knowledge should be kept in mind also when one deals with his understanding of healthcare provision and, generally speaking, the welfare state—as detailed mainly in his political masterpiece, The Constitution of Liberty. if Hayek is certainly the foremost critic of socialism, it would be difficult to enlist him (as was the case with Spencer) as an unambiguous opponent of all taxpayer-financed welfare.14 in his world-famous pamphlet The Road to Serfdom, Hayek distin- guished between two kinds of security: the limited one, which can be achieved for all, and which is therefore no privilege but a legitimate object of the desire; and absolute security, which in a free society cannot be achieved. (Hayek, 2007, 147) the first kind of security would consist in “security against severe physical privation, the certainty of a minimum of sustenance for all” (Hayek, 2007, 147). in the same chapter, Hayek mentions health care as part of the accept- able “certainty of a minimum of sustenance for all.” “there can be no doubt,” he writes, that some minimum of food, shelter, and clothing, sufficient to preserve health and the capacity to work, can be assured to everybody. (...) nor is there any reason why the state should not assist the individuals in providing for those common hazards of life against which, because of their uncertainty, few individuals can make adequate provision. Where, as in the case of sickness and accident, neither the desire to avoid such calamities nor the efforts to overcome their consequences are as a rule weakened by the provision of assistance—where, in short, we deal with genuinely insurable risks—the case for the state’s helping to organize a comprehensive system of social insurance is very strong. (Hayek, 2007, 148) The Road to Serfdom was written to warn the West against the risks of indulg- ing in central planning and abandoning the market system on the production side. Hayek’s position was that if these endeavors (i.e., policies directed to minimize uncertainty in illness and old age) are to be successful and are not to destroy individual freedom, security must be provided outside the market and competition be left to function unobstructed. (Hayek, 2007, 156) A minimum safety net for all would have to be provided outside of the work- ings of the market economy. Had Hayek’s reflections stopped with The Road to Serfdom, his work would be indeed be largely irrelevant to today’s debate. Yet his later work, The Constitution of Liberty, was far more perceptive and prescient about the future of welfare provision. Written 16 years after The Road to Serfdom, this grand political work identifies the welfare state as the historical successor to socialism, as “a particular method of achieving social justice” (Hayek, [1961] 2006, 222). From “hot” socialism, social reformers had moved (or as we may say, remembering Spencer’s times: moved back) to a “cooler” socialism, which no longer aims at a complete nationalization of the means of production and comprehensive social planning. nevertheless, Hayek’s emphasis on the knowledge problem in society motivated his warn- ings against the unintended consequences of particular public policies. in The Constitution of Liberty, he persuasively argued that, in pursuing social justice with piecemeal reforms, we may end up with more economic plan- ning than what reformers themselves had originally endorsed: though socialism has been generally abandoned as a goal to be deliberately striven for, it is by no means certain that we shall not still establish it, albeit unintentionally. the reformers who confine themselves to whatever methods appear to be the most effective for their particular purposes and pay no attention to what is necessary to preserve an effective market mechanism are likely to be led to impose more and more social control over economic decisions (though private property may be pre- served in name) until we get that very system of central planning which few now consciously wish to see established. (Hayek, [1961] 2006, 224) this passage paves the way to a very nuanced treatment of the dangers that lie within the framework of the modern welfare state. Hayek remains convinced that the welfare state cannot be opposed with the same vigor as socialism. the welfare state, after all, is not a clearly defined concept, but rather a conglomerate of different policy proposals. the fact that Hayek was writing in the late Fifties, that is, well before the widespread extension of the welfare system all over the West, should be taken into account. Still, Hayek clearly recognized the risk for welfare systems to become “a household state in which a paternalistic power controls most of the income of the commu- nity and allocates it to individuals in the forms and quantities which it thinks they need or deserve” (Hayek, [1961] 2006, 227). this risk was implicit in the very fact that government cannot provide “health care” broadly defined, but healthcare services as defined and conceived by government itself. Just like Spencer, </w:t>
      </w:r>
      <w:r w:rsidRPr="00DD2D90">
        <w:rPr>
          <w:rStyle w:val="StyleUnderline"/>
          <w:highlight w:val="green"/>
        </w:rPr>
        <w:t>Hayek saw</w:t>
      </w:r>
      <w:r w:rsidRPr="00DD2D90">
        <w:rPr>
          <w:rStyle w:val="StyleUnderline"/>
        </w:rPr>
        <w:t xml:space="preserve"> </w:t>
      </w:r>
      <w:r w:rsidRPr="00DD2D90">
        <w:rPr>
          <w:rStyle w:val="StyleUnderline"/>
          <w:highlight w:val="green"/>
        </w:rPr>
        <w:t>n</w:t>
      </w:r>
      <w:r w:rsidRPr="00DD2D90">
        <w:rPr>
          <w:rStyle w:val="StyleUnderline"/>
        </w:rPr>
        <w:t xml:space="preserve">ational </w:t>
      </w:r>
      <w:r w:rsidRPr="00DD2D90">
        <w:rPr>
          <w:rStyle w:val="StyleUnderline"/>
          <w:highlight w:val="green"/>
        </w:rPr>
        <w:t>h</w:t>
      </w:r>
      <w:r w:rsidRPr="00DD2D90">
        <w:rPr>
          <w:rStyle w:val="StyleUnderline"/>
        </w:rPr>
        <w:t xml:space="preserve">ealth </w:t>
      </w:r>
      <w:r w:rsidRPr="00DD2D90">
        <w:rPr>
          <w:rStyle w:val="StyleUnderline"/>
          <w:highlight w:val="green"/>
        </w:rPr>
        <w:t>s</w:t>
      </w:r>
      <w:r w:rsidRPr="00DD2D90">
        <w:rPr>
          <w:rStyle w:val="StyleUnderline"/>
        </w:rPr>
        <w:t xml:space="preserve">ervices </w:t>
      </w:r>
      <w:r w:rsidRPr="00DD2D90">
        <w:rPr>
          <w:rStyle w:val="StyleUnderline"/>
          <w:highlight w:val="green"/>
        </w:rPr>
        <w:t>as paternalistic</w:t>
      </w:r>
      <w:r w:rsidRPr="00DD2D90">
        <w:rPr>
          <w:rStyle w:val="StyleUnderline"/>
        </w:rPr>
        <w:t xml:space="preserve"> </w:t>
      </w:r>
      <w:r w:rsidRPr="009C4A5A">
        <w:rPr>
          <w:sz w:val="16"/>
        </w:rPr>
        <w:t>almost</w:t>
      </w:r>
      <w:r w:rsidRPr="00DD2D90">
        <w:rPr>
          <w:rStyle w:val="StyleUnderline"/>
        </w:rPr>
        <w:t xml:space="preserve"> </w:t>
      </w:r>
      <w:r w:rsidRPr="00DD2D90">
        <w:rPr>
          <w:rStyle w:val="Emphasis"/>
          <w:highlight w:val="green"/>
        </w:rPr>
        <w:t>by definition</w:t>
      </w:r>
      <w:r w:rsidRPr="009C4A5A">
        <w:rPr>
          <w:sz w:val="16"/>
        </w:rPr>
        <w:t xml:space="preserve">. the Hayek of 1960 did not contradict the Hayek of 1944: he still maintained that, in the West, the provision of a “safety net” has “long been accepted as a duty of the community” (Hayek, [1961] 2006, 248). but in The Constitution of Liberty Hayek takes a more historical look at the development of such a safety net: while the existence of such a net is conceived by him as an answer to a profound need of political communities, the means through which such an answer is given can be fine-tuned differently in different ages. Hayek turns to health insurance in the context of a larger inquiry into “social security” (chapter 19). Hayek seems to accept, here too, the idea that governments may provide citizens with some sort of safety net—and still act in accordance with the principles of a liberal state. nevertheless, his criticism focuses on basically three points: ▪ the role of experts in a social security system; ▪ the compulsory nature of social insurance; ▪ the greater complexity and richness of spontaneously evolved insur- ance system, vis-à-vis welfare apparatuses. Just as Hayek debunked economic planning because </w:t>
      </w:r>
      <w:r w:rsidRPr="00DD2D90">
        <w:rPr>
          <w:rStyle w:val="StyleUnderline"/>
        </w:rPr>
        <w:t>a bureaucratic “center</w:t>
      </w:r>
      <w:r w:rsidRPr="009C4A5A">
        <w:rPr>
          <w:sz w:val="16"/>
        </w:rPr>
        <w:t xml:space="preserve">” </w:t>
      </w:r>
      <w:r w:rsidRPr="00DD2D90">
        <w:rPr>
          <w:rStyle w:val="StyleUnderline"/>
        </w:rPr>
        <w:t>could not</w:t>
      </w:r>
      <w:r w:rsidRPr="009C4A5A">
        <w:rPr>
          <w:sz w:val="16"/>
        </w:rPr>
        <w:t xml:space="preserve"> really accumulate and </w:t>
      </w:r>
      <w:r w:rsidRPr="00DD2D90">
        <w:rPr>
          <w:rStyle w:val="StyleUnderline"/>
        </w:rPr>
        <w:t>make efficient use of the knowledge which is dispersed in the system</w:t>
      </w:r>
      <w:r w:rsidRPr="009C4A5A">
        <w:rPr>
          <w:sz w:val="16"/>
        </w:rPr>
        <w:t>, he saw the development of “experts” in social policy as a discouraging development of a centralized welfare system. bureaucratized welfare systems could not do without new kinds of experts, needed because of the intricacies of mastering such complex and ramified organization. However, “</w:t>
      </w:r>
      <w:r w:rsidRPr="00DD2D90">
        <w:rPr>
          <w:rStyle w:val="StyleUnderline"/>
        </w:rPr>
        <w:t>the institutional expert is not necessarily a person who knows all that is needed to enable him to judge the value of the institu- tion, but frequently is the only one who understands its organization fully</w:t>
      </w:r>
      <w:r w:rsidRPr="009C4A5A">
        <w:rPr>
          <w:sz w:val="16"/>
        </w:rPr>
        <w:t xml:space="preserve">” (Hayek, [1961] 2006, 252–253). Such experts, so Hayek observed, would be necessarily fond of the organ- ization and, perversely, a priori its supporter. Since the complexity of the organization—as well as, one may dare to say, its inability to accomplish its self-declared goals before reaching ever further thresholds of complexity—is what makes </w:t>
      </w:r>
      <w:r w:rsidRPr="00DD2D90">
        <w:rPr>
          <w:rStyle w:val="StyleUnderline"/>
          <w:highlight w:val="green"/>
        </w:rPr>
        <w:t>the expert</w:t>
      </w:r>
      <w:r w:rsidRPr="009C4A5A">
        <w:rPr>
          <w:sz w:val="16"/>
        </w:rPr>
        <w:t xml:space="preserve"> needed, he will “invest” in enhancing that complex- ity. Consciously or not, he </w:t>
      </w:r>
      <w:r w:rsidRPr="00DD2D90">
        <w:rPr>
          <w:rStyle w:val="StyleUnderline"/>
          <w:highlight w:val="green"/>
        </w:rPr>
        <w:t>will be</w:t>
      </w:r>
      <w:r w:rsidRPr="00DD2D90">
        <w:rPr>
          <w:rStyle w:val="StyleUnderline"/>
        </w:rPr>
        <w:t xml:space="preserve"> very </w:t>
      </w:r>
      <w:r w:rsidRPr="00DD2D90">
        <w:rPr>
          <w:rStyle w:val="StyleUnderline"/>
          <w:highlight w:val="green"/>
        </w:rPr>
        <w:t>unlikely to be a critic</w:t>
      </w:r>
      <w:r w:rsidRPr="00DD2D90">
        <w:rPr>
          <w:rStyle w:val="StyleUnderline"/>
        </w:rPr>
        <w:t xml:space="preserve"> of an institution that allows him to have a prestigious role in society and to put bread on his table every day</w:t>
      </w:r>
      <w:r w:rsidRPr="009C4A5A">
        <w:rPr>
          <w:sz w:val="16"/>
        </w:rPr>
        <w:t xml:space="preserve">. thus, for reasons intimately correlated with its recruiting </w:t>
      </w:r>
      <w:r w:rsidRPr="00DD2D90">
        <w:rPr>
          <w:rStyle w:val="StyleUnderline"/>
        </w:rPr>
        <w:t xml:space="preserve">mechanism, </w:t>
      </w:r>
      <w:r w:rsidRPr="00DD2D90">
        <w:rPr>
          <w:rStyle w:val="StyleUnderline"/>
          <w:highlight w:val="green"/>
        </w:rPr>
        <w:t>path</w:t>
      </w:r>
      <w:r w:rsidRPr="00DD2D90">
        <w:rPr>
          <w:rStyle w:val="StyleUnderline"/>
        </w:rPr>
        <w:t xml:space="preserve"> </w:t>
      </w:r>
      <w:r w:rsidRPr="00DD2D90">
        <w:rPr>
          <w:rStyle w:val="StyleUnderline"/>
          <w:highlight w:val="green"/>
        </w:rPr>
        <w:t>dependency seems</w:t>
      </w:r>
      <w:r w:rsidRPr="00DD2D90">
        <w:rPr>
          <w:rStyle w:val="StyleUnderline"/>
        </w:rPr>
        <w:t xml:space="preserve"> to be an </w:t>
      </w:r>
      <w:r w:rsidRPr="00DD2D90">
        <w:rPr>
          <w:rStyle w:val="Emphasis"/>
          <w:highlight w:val="green"/>
        </w:rPr>
        <w:t>unavoidable</w:t>
      </w:r>
      <w:r w:rsidRPr="00DD2D90">
        <w:rPr>
          <w:rStyle w:val="StyleUnderline"/>
        </w:rPr>
        <w:t xml:space="preserve"> fact in the life of a bureaucracy. but of course, the experts are not necessarily right</w:t>
      </w:r>
      <w:r w:rsidRPr="009C4A5A">
        <w:rPr>
          <w:sz w:val="16"/>
        </w:rPr>
        <w:t>: and the overreaching complexity of welfare bureaucracies, which becomes in turn a perpetual thirst for more employees and higher spending, does not guarantee any real capacity of mastering a social reality that lies beyond the ambitions of social engineers.15 All of this is particularly true for social insurance against health risks: Hayek goes as far as to claim that “</w:t>
      </w:r>
      <w:r w:rsidRPr="00DD2D90">
        <w:rPr>
          <w:rStyle w:val="StyleUnderline"/>
        </w:rPr>
        <w:t xml:space="preserve">the conception that there is an </w:t>
      </w:r>
      <w:r w:rsidRPr="00DD2D90">
        <w:rPr>
          <w:rStyle w:val="StyleUnderline"/>
          <w:highlight w:val="green"/>
        </w:rPr>
        <w:t>objec- tive</w:t>
      </w:r>
      <w:r w:rsidRPr="00DD2D90">
        <w:rPr>
          <w:rStyle w:val="StyleUnderline"/>
        </w:rPr>
        <w:t xml:space="preserve">ly determinable </w:t>
      </w:r>
      <w:r w:rsidRPr="00DD2D90">
        <w:rPr>
          <w:rStyle w:val="StyleUnderline"/>
          <w:highlight w:val="green"/>
        </w:rPr>
        <w:t>standard</w:t>
      </w:r>
      <w:r w:rsidRPr="00DD2D90">
        <w:rPr>
          <w:rStyle w:val="StyleUnderline"/>
        </w:rPr>
        <w:t xml:space="preserve"> of medical services which can and ought to be provided for all</w:t>
      </w:r>
      <w:r w:rsidRPr="009C4A5A">
        <w:rPr>
          <w:sz w:val="16"/>
        </w:rPr>
        <w:t xml:space="preserve"> (…) </w:t>
      </w:r>
      <w:r w:rsidRPr="00DD2D90">
        <w:rPr>
          <w:rStyle w:val="StyleUnderline"/>
          <w:highlight w:val="green"/>
        </w:rPr>
        <w:t>has no relation to</w:t>
      </w:r>
      <w:r w:rsidRPr="00DD2D90">
        <w:rPr>
          <w:rStyle w:val="StyleUnderline"/>
        </w:rPr>
        <w:t xml:space="preserve"> reality</w:t>
      </w:r>
      <w:r w:rsidRPr="009C4A5A">
        <w:rPr>
          <w:sz w:val="16"/>
        </w:rPr>
        <w:t xml:space="preserve">” (Hayek, [1961] 2006, 260). </w:t>
      </w:r>
      <w:r w:rsidRPr="00DD2D90">
        <w:rPr>
          <w:rStyle w:val="StyleUnderline"/>
        </w:rPr>
        <w:t>A one-sizes-fits-all approach to healthcare is</w:t>
      </w:r>
      <w:r w:rsidRPr="009C4A5A">
        <w:rPr>
          <w:sz w:val="16"/>
        </w:rPr>
        <w:t>, strictly speaking, i</w:t>
      </w:r>
      <w:r w:rsidRPr="00DD2D90">
        <w:rPr>
          <w:rStyle w:val="Emphasis"/>
        </w:rPr>
        <w:t>nconsist- ent</w:t>
      </w:r>
      <w:r w:rsidRPr="009C4A5A">
        <w:rPr>
          <w:sz w:val="16"/>
        </w:rPr>
        <w:t xml:space="preserve"> </w:t>
      </w:r>
      <w:r w:rsidRPr="00DD2D90">
        <w:rPr>
          <w:rStyle w:val="StyleUnderline"/>
        </w:rPr>
        <w:t>with</w:t>
      </w:r>
      <w:r w:rsidRPr="009C4A5A">
        <w:rPr>
          <w:sz w:val="16"/>
        </w:rPr>
        <w:t xml:space="preserve"> basic teachings of </w:t>
      </w:r>
      <w:r w:rsidRPr="00DD2D90">
        <w:rPr>
          <w:rStyle w:val="StyleUnderline"/>
          <w:highlight w:val="green"/>
        </w:rPr>
        <w:t>biology</w:t>
      </w:r>
      <w:r w:rsidRPr="009C4A5A">
        <w:rPr>
          <w:sz w:val="16"/>
        </w:rPr>
        <w:t xml:space="preserve"> about diversity among individuals. </w:t>
      </w:r>
      <w:r w:rsidRPr="00DD2D90">
        <w:rPr>
          <w:rStyle w:val="StyleUnderline"/>
          <w:highlight w:val="green"/>
        </w:rPr>
        <w:t xml:space="preserve">the eradication of the </w:t>
      </w:r>
      <w:r w:rsidRPr="00DD2D90">
        <w:rPr>
          <w:rStyle w:val="Emphasis"/>
          <w:highlight w:val="green"/>
        </w:rPr>
        <w:t>patient’s free choice</w:t>
      </w:r>
      <w:r w:rsidRPr="00DD2D90">
        <w:rPr>
          <w:rStyle w:val="StyleUnderline"/>
          <w:highlight w:val="green"/>
        </w:rPr>
        <w:t xml:space="preserve"> helps to perpetuate</w:t>
      </w:r>
      <w:r w:rsidRPr="00DD2D90">
        <w:rPr>
          <w:rStyle w:val="StyleUnderline"/>
        </w:rPr>
        <w:t xml:space="preserve"> such an </w:t>
      </w:r>
      <w:r w:rsidRPr="00DD2D90">
        <w:rPr>
          <w:rStyle w:val="StyleUnderline"/>
          <w:highlight w:val="green"/>
        </w:rPr>
        <w:t>illusion</w:t>
      </w:r>
      <w:r w:rsidRPr="00DD2D90">
        <w:rPr>
          <w:rStyle w:val="StyleUnderline"/>
        </w:rPr>
        <w:t>, and the ousting of prices from the world of medicine will impede research and technological progress</w:t>
      </w:r>
      <w:r w:rsidRPr="009C4A5A">
        <w:rPr>
          <w:sz w:val="16"/>
        </w:rPr>
        <w:t xml:space="preserve">, inasmuch as, in a single-tier system, wealthier individuals cannot be allowed to pay for premium service. Hayek’s point about compulsory social insurance is closely related to these considerations. He underlines how, even in the very beginning stages of welfare systems, individuals were not just required to make provisions against risks (i.e., save, and/or insure themselves) but “were compelled to obtain this protection through a unitary organization run by the government” (Hayek, [1961] 2006, 249). As we have already seen, Hayek was not opposed to a certain degree of state intervention—nor did he identify taxation (the ubiquitous partner of any compulsory system) as the strongest infringement on individual liberty.16 but he realized that </w:t>
      </w:r>
      <w:r w:rsidRPr="00DD2D90">
        <w:rPr>
          <w:rStyle w:val="StyleUnderline"/>
        </w:rPr>
        <w:t>compulsion made social insur- ance less of a true insurance than it pretended to be: “</w:t>
      </w:r>
      <w:r w:rsidRPr="00DD2D90">
        <w:rPr>
          <w:rStyle w:val="StyleUnderline"/>
          <w:highlight w:val="green"/>
        </w:rPr>
        <w:t>no system of</w:t>
      </w:r>
      <w:r w:rsidRPr="00DD2D90">
        <w:rPr>
          <w:rStyle w:val="StyleUnderline"/>
        </w:rPr>
        <w:t xml:space="preserve"> monopo- listic </w:t>
      </w:r>
      <w:r w:rsidRPr="00DD2D90">
        <w:rPr>
          <w:rStyle w:val="StyleUnderline"/>
          <w:highlight w:val="green"/>
        </w:rPr>
        <w:t>compulsory insurance has resisted this transformation into</w:t>
      </w:r>
      <w:r w:rsidRPr="009C4A5A">
        <w:rPr>
          <w:sz w:val="16"/>
        </w:rPr>
        <w:t xml:space="preserve"> something quite different, </w:t>
      </w:r>
      <w:r w:rsidRPr="00DD2D90">
        <w:rPr>
          <w:rStyle w:val="StyleUnderline"/>
        </w:rPr>
        <w:t xml:space="preserve">an instrument for the </w:t>
      </w:r>
      <w:r w:rsidRPr="00DD2D90">
        <w:rPr>
          <w:rStyle w:val="Emphasis"/>
          <w:highlight w:val="green"/>
        </w:rPr>
        <w:t>compulsory redistribution</w:t>
      </w:r>
      <w:r w:rsidRPr="00DD2D90">
        <w:rPr>
          <w:rStyle w:val="StyleUnderline"/>
        </w:rPr>
        <w:t xml:space="preserve"> of income</w:t>
      </w:r>
      <w:r w:rsidRPr="009C4A5A">
        <w:rPr>
          <w:sz w:val="16"/>
        </w:rPr>
        <w:t xml:space="preserve">” (Hayek, [1961] 2006, 251). </w:t>
      </w:r>
      <w:r w:rsidRPr="00DD2D90">
        <w:rPr>
          <w:rStyle w:val="StyleUnderline"/>
        </w:rPr>
        <w:t>Social insurance is</w:t>
      </w:r>
      <w:r w:rsidRPr="009C4A5A">
        <w:rPr>
          <w:sz w:val="16"/>
        </w:rPr>
        <w:t xml:space="preserve"> </w:t>
      </w:r>
      <w:r w:rsidRPr="00DD2D90">
        <w:rPr>
          <w:rStyle w:val="StyleUnderline"/>
        </w:rPr>
        <w:t>not</w:t>
      </w:r>
      <w:r w:rsidRPr="009C4A5A">
        <w:rPr>
          <w:sz w:val="16"/>
        </w:rPr>
        <w:t xml:space="preserve"> a policy agreed upon on the basis of </w:t>
      </w:r>
      <w:r w:rsidRPr="00DD2D90">
        <w:rPr>
          <w:rStyle w:val="StyleUnderline"/>
        </w:rPr>
        <w:t>a contract: nobody actually signed that contract</w:t>
      </w:r>
      <w:r w:rsidRPr="009C4A5A">
        <w:rPr>
          <w:sz w:val="16"/>
        </w:rPr>
        <w:t xml:space="preserve">. it is a general scheme based on taxa- tion, aiming at taking from some groups in society in order to give to some others. this is, in a way, an obvious fact: if redistribution had not been indispensable for covering those without resources against health risks, state intervention would not be needed in the first place. Although social insur- ance is “planned” and constructed, real insurance is the result of the work- ings of markets: it is something of a paradox that the state should today advance its claims for the superiority of the exclusive single-track development by authority in a field that illustrates perhaps more clearly than any other how new institutions emerge not from design but by a gradual evolutionary process. our modern conception of pro- viding against risks by insurance is not the result of anyone’s ever having seen the need and devising a rational solution. (Hayek, [1961] 2006, 253) Moreover, we are so familiar with the operation of insurance that we are likely to imagine that any intelligent man, after a little reflection, would rapidly discover its principles. in fact, the way in which insurance has evolved is the most telling commentary on the presumption of those who want to confine future evolution to a single channel enforced by authority. (Hayek, [1961] 2006, 253) the fact that welfare systems are not truly based on insurance is so obvious to Hayek that he polemically refers to the “hubris” of trashing the teach- ings of the past. the “insurance” element in social and health insurance is diluted by the very fact that the system equally provides for all. </w:t>
      </w:r>
      <w:r w:rsidRPr="00DD2D90">
        <w:rPr>
          <w:rStyle w:val="StyleUnderline"/>
        </w:rPr>
        <w:t xml:space="preserve">there is no premium individuals need to subscribe to: social “contributions” are more akin to taxes paid to finance the operations of the system than duties freely subscribed to in a contract. </w:t>
      </w:r>
      <w:r w:rsidRPr="00DD2D90">
        <w:rPr>
          <w:rStyle w:val="StyleUnderline"/>
          <w:highlight w:val="green"/>
        </w:rPr>
        <w:t>individuals have thus no option whether to sign</w:t>
      </w:r>
      <w:r w:rsidRPr="00DD2D90">
        <w:rPr>
          <w:rStyle w:val="StyleUnderline"/>
        </w:rPr>
        <w:t xml:space="preserve"> or not, balancing a policy’s pros and cons</w:t>
      </w:r>
      <w:r w:rsidRPr="009C4A5A">
        <w:rPr>
          <w:sz w:val="16"/>
        </w:rPr>
        <w:t xml:space="preserve">. Coverage is thus not contractually defined: it is implied by the very recognition of “needs” and of the state’s obligation to take care of them. this deficiency is exacerbated by the fruits of </w:t>
      </w:r>
      <w:r w:rsidRPr="00DD2D90">
        <w:rPr>
          <w:rStyle w:val="StyleUnderline"/>
        </w:rPr>
        <w:t>medical</w:t>
      </w:r>
      <w:r w:rsidRPr="009C4A5A">
        <w:rPr>
          <w:sz w:val="16"/>
        </w:rPr>
        <w:t xml:space="preserve"> progress: we are witnessing the most rapid spontaneous growth of new methods wherever the state has not yet taken complete control, a variety of experiments which are almost certain to produce new answers to current needs, answers which no advance planning can contemplate. (Hayek, [1961] 2006, 254) Hayek was writing in the late Fifties, when the full deployment of the poten- tial of innovation in medicine was still to come. in later writings, he came to recognize that the very concept of “social justice” was responsible for breeding a stream of new (claim-) “rights” in which the right to healthcare was inserted. He dismissed that concept as an “atavism”: He recognized that </w:t>
      </w:r>
      <w:r w:rsidRPr="00DD2D90">
        <w:rPr>
          <w:rStyle w:val="StyleUnderline"/>
        </w:rPr>
        <w:t>redistribution</w:t>
      </w:r>
      <w:r w:rsidRPr="009C4A5A">
        <w:rPr>
          <w:sz w:val="16"/>
        </w:rPr>
        <w:t xml:space="preserve"> of income in society, based upon whatever the beneficiary is thought to “deserve” (on account of such newly invented “rights”), </w:t>
      </w:r>
      <w:r w:rsidRPr="00DD2D90">
        <w:rPr>
          <w:rStyle w:val="StyleUnderline"/>
        </w:rPr>
        <w:t>is incom- patible with</w:t>
      </w:r>
      <w:r w:rsidRPr="009C4A5A">
        <w:rPr>
          <w:sz w:val="16"/>
        </w:rPr>
        <w:t xml:space="preserve"> the extended order of a </w:t>
      </w:r>
      <w:r w:rsidRPr="00DD2D90">
        <w:rPr>
          <w:rStyle w:val="StyleUnderline"/>
        </w:rPr>
        <w:t>free society</w:t>
      </w:r>
      <w:r w:rsidRPr="009C4A5A">
        <w:rPr>
          <w:sz w:val="16"/>
        </w:rPr>
        <w:t xml:space="preserve">.17 Hayek’s skepticism toward the institutions of the welfare state—including those in charge of administering healthcare benefits—can also, and once again, be read in the light of his emphasis on the knowledge problem. Since knowledge is dispersed in society, central planning works on the unwar- ranted assumption that a single planner could better gather and process information than a myriad of self-interested individuals. bruno leoni (1913– 1967) said once that healthcare systems were the only consistent attempt to realize a planned economic system, even if more limited in scope (leoni, [1967] 2007, 299). if this description is true—and indeed </w:t>
      </w:r>
      <w:r w:rsidRPr="00DD2D90">
        <w:rPr>
          <w:rStyle w:val="StyleUnderline"/>
        </w:rPr>
        <w:t>healthcare systems are based on the idea of superior knowledge being in the hands of the administering bureaucracy—it is not hard to read Hayek’s criticism of such systems as a continuation of his more general denunciation of the “fatal con- ceit” of economic planning</w:t>
      </w:r>
      <w:r w:rsidRPr="009C4A5A">
        <w:rPr>
          <w:sz w:val="16"/>
        </w:rPr>
        <w:t xml:space="preserve">. Hayek’s critique of public health insurance also reveals why, as a matter of principle, such a device cannot work properly. As his contentions on com- munism were vindicated by the fall of the berlin wall, the persistent crisis of welfare states confirms that he may be right on this point too. Herbert Spencer wrote The Proper Sphere of Government in the 1840s; Hayek published The Constitution of Liberty in the 1960s. one hundred and twenty years of apparently unstoppable rise in government intervention changed the perimeter of the public debate, and made it inevitable for an author who wished to persuade rather than provoke to adopt a more cau- tious vocabulary. Still, his analysis leaves little of the welfare state as we know it unchallenged. Hayek may have been perhaps less distant from the vocabulary of a contemporary social democrat than Spencer was. He focused on the unintended consequences of government-supplied healthcare, more than on its theoretical rationale. Still, against the dreams of political philoso- phers he invoked the hard realities of the economy: ▪ state planning of </w:t>
      </w:r>
      <w:r w:rsidRPr="00DD2D90">
        <w:rPr>
          <w:rStyle w:val="StyleUnderline"/>
        </w:rPr>
        <w:t>social insurance</w:t>
      </w:r>
      <w:r w:rsidRPr="009C4A5A">
        <w:rPr>
          <w:sz w:val="16"/>
        </w:rPr>
        <w:t xml:space="preserve"> provision (and health insurance par- ticularly) </w:t>
      </w:r>
      <w:r w:rsidRPr="00DD2D90">
        <w:rPr>
          <w:rStyle w:val="StyleUnderline"/>
        </w:rPr>
        <w:t xml:space="preserve">is </w:t>
      </w:r>
      <w:r w:rsidRPr="00DD2D90">
        <w:rPr>
          <w:rStyle w:val="Emphasis"/>
        </w:rPr>
        <w:t>arbitrary</w:t>
      </w:r>
      <w:r w:rsidRPr="009C4A5A">
        <w:rPr>
          <w:sz w:val="16"/>
        </w:rPr>
        <w:t xml:space="preserve"> in view of the definition of the services the govern- ment attempts to provide; ▪ social </w:t>
      </w:r>
      <w:r w:rsidRPr="00DD2D90">
        <w:rPr>
          <w:rStyle w:val="StyleUnderline"/>
        </w:rPr>
        <w:t>insurance is economically inferior to “real insurance</w:t>
      </w:r>
      <w:r w:rsidRPr="009C4A5A">
        <w:rPr>
          <w:sz w:val="16"/>
        </w:rPr>
        <w:t>”; ▪</w:t>
      </w:r>
      <w:r w:rsidRPr="00DD2D90">
        <w:rPr>
          <w:rStyle w:val="StyleUnderline"/>
        </w:rPr>
        <w:t xml:space="preserve"> the role of experts in the system does not guarantee an efficient alloca- tion of resources</w:t>
      </w:r>
      <w:r w:rsidRPr="009C4A5A">
        <w:rPr>
          <w:sz w:val="16"/>
        </w:rPr>
        <w:t xml:space="preserve">. Hayek’s willingness to endorse governments’ stepping in for satisfying some basic health needs could be taken to resemble, in a way, those arguments generally advanced in favor of the state’s provision of health “insurance” which point to positive externalities. but it is one thing to agree on ends, another to agree on means. Whether different means could be used, how- ever, must remain a matter of speculation, as long as the state’s monopoly stands in the way of experimentation. V. bY WAY oF ConClUSion the provision of public </w:t>
      </w:r>
      <w:r w:rsidRPr="00DD2D90">
        <w:rPr>
          <w:rStyle w:val="StyleUnderline"/>
        </w:rPr>
        <w:t>healthcare</w:t>
      </w:r>
      <w:r w:rsidRPr="009C4A5A">
        <w:rPr>
          <w:sz w:val="16"/>
        </w:rPr>
        <w:t xml:space="preserve"> today is being revealed to </w:t>
      </w:r>
      <w:r w:rsidRPr="00DD2D90">
        <w:rPr>
          <w:rStyle w:val="StyleUnderline"/>
        </w:rPr>
        <w:t>be a far more problematic government undertaking than it used to be in the past</w:t>
      </w:r>
      <w:r w:rsidRPr="009C4A5A">
        <w:rPr>
          <w:sz w:val="16"/>
        </w:rPr>
        <w:t xml:space="preserve">. Although demographic trends and technological change may be routinely singled out as the </w:t>
      </w:r>
      <w:r w:rsidRPr="00DD2D90">
        <w:rPr>
          <w:rStyle w:val="StyleUnderline"/>
        </w:rPr>
        <w:t>two</w:t>
      </w:r>
      <w:r w:rsidRPr="009C4A5A">
        <w:rPr>
          <w:sz w:val="16"/>
        </w:rPr>
        <w:t xml:space="preserve"> main </w:t>
      </w:r>
      <w:r w:rsidRPr="00DD2D90">
        <w:rPr>
          <w:rStyle w:val="StyleUnderline"/>
        </w:rPr>
        <w:t>culprits</w:t>
      </w:r>
      <w:r w:rsidRPr="009C4A5A">
        <w:rPr>
          <w:sz w:val="16"/>
        </w:rPr>
        <w:t xml:space="preserve"> which </w:t>
      </w:r>
      <w:r w:rsidRPr="00DD2D90">
        <w:rPr>
          <w:rStyle w:val="StyleUnderline"/>
        </w:rPr>
        <w:t>make</w:t>
      </w:r>
      <w:r w:rsidRPr="009C4A5A">
        <w:rPr>
          <w:sz w:val="16"/>
        </w:rPr>
        <w:t xml:space="preserve"> </w:t>
      </w:r>
      <w:r w:rsidRPr="00DD2D90">
        <w:rPr>
          <w:rStyle w:val="StyleUnderline"/>
        </w:rPr>
        <w:t>healthcare</w:t>
      </w:r>
      <w:r w:rsidRPr="009C4A5A">
        <w:rPr>
          <w:sz w:val="16"/>
        </w:rPr>
        <w:t xml:space="preserve"> provision as we know it basically </w:t>
      </w:r>
      <w:r w:rsidRPr="00DD2D90">
        <w:rPr>
          <w:rStyle w:val="Emphasis"/>
        </w:rPr>
        <w:t>unsustainable</w:t>
      </w:r>
      <w:r w:rsidRPr="009C4A5A">
        <w:rPr>
          <w:sz w:val="16"/>
        </w:rPr>
        <w:t xml:space="preserve"> in a context of almost systemic fiscal tightening, a serious rethinking of the healthcare system as a whole would be needed. government funded, administered, and supervised provision of healthcare is taken to be necessary, and hence justified, in view of adequate </w:t>
      </w:r>
      <w:r w:rsidRPr="00DD2D90">
        <w:rPr>
          <w:rStyle w:val="StyleUnderline"/>
        </w:rPr>
        <w:t>health- care constituting a human “</w:t>
      </w:r>
      <w:r w:rsidRPr="00DD2D90">
        <w:rPr>
          <w:rStyle w:val="Emphasis"/>
        </w:rPr>
        <w:t>right</w:t>
      </w:r>
      <w:r w:rsidRPr="00DD2D90">
        <w:rPr>
          <w:rStyle w:val="StyleUnderline"/>
        </w:rPr>
        <w:t>”</w:t>
      </w:r>
      <w:r w:rsidRPr="009C4A5A">
        <w:rPr>
          <w:sz w:val="16"/>
        </w:rPr>
        <w:t xml:space="preserve"> which obligates governments to supply the required services. At the same time, what is thus supplied is presented as a “healthcare insurance” which differs from any insurance of which we historically know. government provision (unlike the real insurance available on the market) implies monopolization, and such a tendency in turn results in growing </w:t>
      </w:r>
      <w:r w:rsidRPr="00DD2D90">
        <w:rPr>
          <w:rStyle w:val="Emphasis"/>
        </w:rPr>
        <w:t>bureaucratization</w:t>
      </w:r>
      <w:r w:rsidRPr="009C4A5A">
        <w:rPr>
          <w:sz w:val="16"/>
        </w:rPr>
        <w:t xml:space="preserve">. Such bureaucratization </w:t>
      </w:r>
      <w:r w:rsidRPr="00DD2D90">
        <w:rPr>
          <w:rStyle w:val="StyleUnderline"/>
        </w:rPr>
        <w:t xml:space="preserve">requires the establish- ment of a caste of “experts” who in fact practice the </w:t>
      </w:r>
      <w:r w:rsidRPr="00DD2D90">
        <w:rPr>
          <w:rStyle w:val="Emphasis"/>
        </w:rPr>
        <w:t>paternalistic</w:t>
      </w:r>
      <w:r w:rsidRPr="00DD2D90">
        <w:rPr>
          <w:rStyle w:val="StyleUnderline"/>
        </w:rPr>
        <w:t xml:space="preserve"> art of choosing for those entrusted to their presumed superior wisdom</w:t>
      </w:r>
      <w:r w:rsidRPr="009C4A5A">
        <w:rPr>
          <w:sz w:val="16"/>
        </w:rPr>
        <w:t xml:space="preserve">. these are the main lessons we can learn from looking at both the reality of healthcare systems and the writings on the subject by Herbert Spencer and F. A. Hayek. Although healthcare is a minor theme in their writings, or perhaps for this very reason (they were no “experts”), they succeeded in putting its provi- sion in the wider context of society. government provision of healthcare has social consequences, and both Spencer and Hayek—though writing when the best days of medical technology were far ahead—expressed doubt that a state monopoly on healthcare could avoid hindering technological progress. if Spencer and Hayek allow us to think of the consequences which the state’s monopoly on healthcare has on society, they lead our discussion of healthcare policy beyond the hard realities of political decision making in a democracy. democratic theorists may contend that in our world the bounda- ries between the private and the public sector (which both thinkers had distinguished) are in fact defined by and large by majority votes. Whether this or that service should be supplied by government has thus become a matter of choice for the electorate. this is indeed a fair description of how contemporary social democracies function. Still, it also remains true that vot- ing majorities do not as such transform unworkable systems into workable ones. nor can voters’ simple fiat keep a monopoly from seriously hampering innovation. Moreover, as Hayek warns: </w:t>
      </w:r>
      <w:r w:rsidRPr="00DD2D90">
        <w:rPr>
          <w:rStyle w:val="StyleUnderline"/>
        </w:rPr>
        <w:t>it is sheer illusion to think that when certain needs of the citizen have become the exclusive concern of a single bureaucratic machine, democratic control of that machine can then effectively guard the liberty of the citizen</w:t>
      </w:r>
      <w:r w:rsidRPr="009C4A5A">
        <w:rPr>
          <w:sz w:val="16"/>
        </w:rPr>
        <w:t xml:space="preserve">. (Hayek, [1961] 2006, 228) </w:t>
      </w:r>
    </w:p>
    <w:p w14:paraId="78F23562" w14:textId="77777777" w:rsidR="00B0589A" w:rsidRPr="009C4A5A" w:rsidRDefault="00B0589A">
      <w:pPr>
        <w:rPr>
          <w:rFonts w:eastAsiaTheme="majorEastAsia" w:cstheme="majorBidi"/>
          <w:b/>
          <w:iCs/>
          <w:sz w:val="16"/>
        </w:rPr>
      </w:pPr>
      <w:r w:rsidRPr="009C4A5A">
        <w:rPr>
          <w:sz w:val="16"/>
        </w:rPr>
        <w:br w:type="page"/>
      </w:r>
    </w:p>
    <w:p w14:paraId="5F47D134" w14:textId="3EB58121" w:rsidR="008732A1" w:rsidRPr="009C4A5A" w:rsidRDefault="006A23B3" w:rsidP="008732A1">
      <w:pPr>
        <w:pStyle w:val="Heading4"/>
        <w:rPr>
          <w:szCs w:val="26"/>
        </w:rPr>
      </w:pPr>
      <w:r w:rsidRPr="009C4A5A">
        <w:rPr>
          <w:szCs w:val="26"/>
        </w:rPr>
        <w:t xml:space="preserve">Promoting health as a public good </w:t>
      </w:r>
      <w:r w:rsidR="00445B65" w:rsidRPr="009C4A5A">
        <w:rPr>
          <w:szCs w:val="26"/>
        </w:rPr>
        <w:t>harms freedom to a degree that is more dangerous than war</w:t>
      </w:r>
    </w:p>
    <w:p w14:paraId="6131A835" w14:textId="4CD6C8D3" w:rsidR="008732A1" w:rsidRPr="00DD2D90" w:rsidRDefault="008732A1" w:rsidP="008732A1">
      <w:r w:rsidRPr="009C4A5A">
        <w:rPr>
          <w:b/>
          <w:bCs/>
          <w:sz w:val="26"/>
          <w:szCs w:val="26"/>
        </w:rPr>
        <w:t>Hayek 60</w:t>
      </w:r>
      <w:r w:rsidRPr="00DD2D90">
        <w:t xml:space="preserve"> [Friedrich A. Hayek, political economy philosopher with a Nobel Prize in economics, 1960, “The Constitution </w:t>
      </w:r>
      <w:proofErr w:type="gramStart"/>
      <w:r w:rsidRPr="00DD2D90">
        <w:t>Of</w:t>
      </w:r>
      <w:proofErr w:type="gramEnd"/>
      <w:r w:rsidRPr="00DD2D90">
        <w:t xml:space="preserve"> Liberty,” University of Chicago Press, https://www.mises.at/static/literatur/Buch/hayek-the-constitution-of-liberty.pdf]/Kankee</w:t>
      </w:r>
    </w:p>
    <w:p w14:paraId="490EDDCF" w14:textId="77777777" w:rsidR="008732A1" w:rsidRPr="00DD2D90" w:rsidRDefault="008732A1" w:rsidP="008732A1">
      <w:r w:rsidRPr="00DD2D90">
        <w:t>*OCR errors exist</w:t>
      </w:r>
    </w:p>
    <w:p w14:paraId="5A601EE5" w14:textId="34976852" w:rsidR="008732A1" w:rsidRPr="009C4A5A" w:rsidRDefault="008732A1" w:rsidP="008732A1">
      <w:pPr>
        <w:rPr>
          <w:sz w:val="16"/>
        </w:rPr>
      </w:pPr>
      <w:r w:rsidRPr="009C4A5A">
        <w:rPr>
          <w:sz w:val="16"/>
        </w:rPr>
        <w:t>There are all kinds of public amenities which it may be in the , interest of all members of the community to provide by common effort, such as parks and museums, theaters and facilities for sports-though there are strong reasons why they should be pro- vided by local rather than national authorities. There is then the important issue of security, of protection against risks common to all, where government can often either reduce these risks or assist people to provide against them. Here, however, an important dis- tinction has to be drawn between two conceptions of security: a limited security which can be achieved for all and which is, there- fore, no privilege, and absolute security, which in a free society cannot be achieved for all. The first of these is security against severe physical privation, the assurance of a given minimum of sustenance for all; and the second is the assurance of a given standard of life, which is determined by comparing the standard enjoyed by a person or a group with that of others. The distinc- tion, then, is that between the security of an equal minimum in- comefor all and the security of a particular income that a person is thought to deserve. 15 The latter is closely related to the third main ambition that in~pires the welfare state: the desire to use the powers of government to insure a more even or more just distribu- tion of goods. Insofar as this means that the coercive powers of government are to be used to insure that particular people get particular things, it requires a kind of discrimination between, and an unequal treatment of,different people which is irreconcilable with a free society. This is the kind of welfare state that aims at "</w:t>
      </w:r>
      <w:r w:rsidRPr="00DD2D90">
        <w:rPr>
          <w:rStyle w:val="StyleUnderline"/>
          <w:highlight w:val="green"/>
        </w:rPr>
        <w:t>social justice</w:t>
      </w:r>
      <w:r w:rsidRPr="009C4A5A">
        <w:rPr>
          <w:sz w:val="16"/>
        </w:rPr>
        <w:t xml:space="preserve">" and becomes "primarily a redistributor of in- come."I6 It </w:t>
      </w:r>
      <w:r w:rsidRPr="00DD2D90">
        <w:rPr>
          <w:rStyle w:val="StyleUnderline"/>
          <w:highlight w:val="green"/>
        </w:rPr>
        <w:t>is</w:t>
      </w:r>
      <w:r w:rsidRPr="00DD2D90">
        <w:rPr>
          <w:rStyle w:val="StyleUnderline"/>
        </w:rPr>
        <w:t xml:space="preserve"> bound to lead </w:t>
      </w:r>
      <w:r w:rsidRPr="009C4A5A">
        <w:rPr>
          <w:sz w:val="16"/>
        </w:rPr>
        <w:t>back</w:t>
      </w:r>
      <w:r w:rsidRPr="00DD2D90">
        <w:rPr>
          <w:rStyle w:val="StyleUnderline"/>
        </w:rPr>
        <w:t xml:space="preserve"> to </w:t>
      </w:r>
      <w:r w:rsidRPr="009C4A5A">
        <w:rPr>
          <w:sz w:val="16"/>
        </w:rPr>
        <w:t>socialism and its</w:t>
      </w:r>
      <w:r w:rsidRPr="00DD2D90">
        <w:rPr>
          <w:rStyle w:val="StyleUnderline"/>
        </w:rPr>
        <w:t xml:space="preserve"> </w:t>
      </w:r>
      <w:r w:rsidRPr="00DD2D90">
        <w:rPr>
          <w:rStyle w:val="Emphasis"/>
          <w:highlight w:val="green"/>
        </w:rPr>
        <w:t>coercive</w:t>
      </w:r>
      <w:r w:rsidRPr="00DD2D90">
        <w:rPr>
          <w:rStyle w:val="StyleUnderline"/>
          <w:highlight w:val="green"/>
        </w:rPr>
        <w:t xml:space="preserve"> and</w:t>
      </w:r>
      <w:r w:rsidRPr="00DD2D90">
        <w:rPr>
          <w:rStyle w:val="StyleUnderline"/>
        </w:rPr>
        <w:t xml:space="preserve"> </w:t>
      </w:r>
      <w:r w:rsidRPr="009C4A5A">
        <w:rPr>
          <w:sz w:val="16"/>
        </w:rPr>
        <w:t>essentially</w:t>
      </w:r>
      <w:r w:rsidRPr="00DD2D90">
        <w:rPr>
          <w:rStyle w:val="StyleUnderline"/>
        </w:rPr>
        <w:t xml:space="preserve"> </w:t>
      </w:r>
      <w:r w:rsidRPr="00DD2D90">
        <w:rPr>
          <w:rStyle w:val="Emphasis"/>
          <w:highlight w:val="green"/>
        </w:rPr>
        <w:t>arbitrary</w:t>
      </w:r>
      <w:r w:rsidRPr="00DD2D90">
        <w:rPr>
          <w:rStyle w:val="StyleUnderline"/>
        </w:rPr>
        <w:t xml:space="preserve"> methods</w:t>
      </w:r>
      <w:r w:rsidRPr="009C4A5A">
        <w:rPr>
          <w:sz w:val="16"/>
        </w:rPr>
        <w:t xml:space="preserve">. 6. Though some of the aims of the welfare statecan be achieved only by methods inimical to liberty, all its aims may be pursued by such methods. The chief danger today is that, </w:t>
      </w:r>
      <w:r w:rsidRPr="00DD2D90">
        <w:rPr>
          <w:rStyle w:val="StyleUnderline"/>
          <w:highlight w:val="green"/>
        </w:rPr>
        <w:t>once an aim of government is accepted</w:t>
      </w:r>
      <w:r w:rsidRPr="00DD2D90">
        <w:rPr>
          <w:rStyle w:val="StyleUnderline"/>
        </w:rPr>
        <w:t xml:space="preserve"> as legitimate</w:t>
      </w:r>
      <w:r w:rsidRPr="009C4A5A">
        <w:rPr>
          <w:sz w:val="16"/>
        </w:rPr>
        <w:t xml:space="preserve">, </w:t>
      </w:r>
      <w:r w:rsidRPr="00DD2D90">
        <w:rPr>
          <w:rStyle w:val="StyleUnderline"/>
        </w:rPr>
        <w:t>it is</w:t>
      </w:r>
      <w:r w:rsidRPr="009C4A5A">
        <w:rPr>
          <w:sz w:val="16"/>
        </w:rPr>
        <w:t xml:space="preserve"> then </w:t>
      </w:r>
      <w:r w:rsidRPr="00DD2D90">
        <w:rPr>
          <w:rStyle w:val="StyleUnderline"/>
        </w:rPr>
        <w:t>assumed</w:t>
      </w:r>
      <w:r w:rsidRPr="009C4A5A">
        <w:rPr>
          <w:sz w:val="16"/>
        </w:rPr>
        <w:t xml:space="preserve"> that even </w:t>
      </w:r>
      <w:r w:rsidRPr="00DD2D90">
        <w:rPr>
          <w:rStyle w:val="StyleUnderline"/>
          <w:highlight w:val="green"/>
        </w:rPr>
        <w:t>means</w:t>
      </w:r>
      <w:r w:rsidRPr="009C4A5A">
        <w:rPr>
          <w:sz w:val="16"/>
          <w:highlight w:val="green"/>
        </w:rPr>
        <w:t xml:space="preserve"> </w:t>
      </w:r>
      <w:r w:rsidRPr="00DD2D90">
        <w:rPr>
          <w:rStyle w:val="StyleUnderline"/>
          <w:highlight w:val="green"/>
        </w:rPr>
        <w:t>contrary to</w:t>
      </w:r>
      <w:r w:rsidRPr="009C4A5A">
        <w:rPr>
          <w:sz w:val="16"/>
        </w:rPr>
        <w:t xml:space="preserve"> the principles of </w:t>
      </w:r>
      <w:r w:rsidRPr="00DD2D90">
        <w:rPr>
          <w:rStyle w:val="StyleUnderline"/>
          <w:highlight w:val="green"/>
        </w:rPr>
        <w:t>freedom may be legitimately employed</w:t>
      </w:r>
      <w:r w:rsidRPr="009C4A5A">
        <w:rPr>
          <w:sz w:val="16"/>
        </w:rPr>
        <w:t xml:space="preserve">. The unfortunate fact is that, in the majority of fields, the most effecti ve, certain, and speedy way of reaching a given end will seem to be to direct all available resources toward the now visible solution. To the ambitious and impatient reformer, filled with indignation at a particular evil, nothing short of the complete abolition of that evil by the quickest and most direct means will seem adequate. If every person now suffering from unemploy- ment, ill health, or inadequate provision for his old age is at once to be relieved of his cares, nothing short of an all-comprehensive and compulsory scheme will suffice. But </w:t>
      </w:r>
      <w:r w:rsidRPr="00DD2D90">
        <w:rPr>
          <w:rStyle w:val="StyleUnderline"/>
        </w:rPr>
        <w:t>if</w:t>
      </w:r>
      <w:r w:rsidRPr="009C4A5A">
        <w:rPr>
          <w:sz w:val="16"/>
        </w:rPr>
        <w:t xml:space="preserve">, in our impatience to solve such problems immediately, </w:t>
      </w:r>
      <w:r w:rsidRPr="00DD2D90">
        <w:rPr>
          <w:rStyle w:val="StyleUnderline"/>
        </w:rPr>
        <w:t xml:space="preserve">we give government </w:t>
      </w:r>
      <w:r w:rsidRPr="00DD2D90">
        <w:rPr>
          <w:rStyle w:val="Emphasis"/>
        </w:rPr>
        <w:t>exclusive</w:t>
      </w:r>
      <w:r w:rsidRPr="00DD2D90">
        <w:rPr>
          <w:rStyle w:val="StyleUnderline"/>
        </w:rPr>
        <w:t xml:space="preserve"> and </w:t>
      </w:r>
      <w:r w:rsidRPr="00DD2D90">
        <w:rPr>
          <w:rStyle w:val="Emphasis"/>
        </w:rPr>
        <w:t>monopolistic</w:t>
      </w:r>
      <w:r w:rsidRPr="009C4A5A">
        <w:rPr>
          <w:sz w:val="16"/>
        </w:rPr>
        <w:t xml:space="preserve"> </w:t>
      </w:r>
      <w:r w:rsidRPr="00DD2D90">
        <w:rPr>
          <w:rStyle w:val="StyleUnderline"/>
        </w:rPr>
        <w:t>powers</w:t>
      </w:r>
      <w:r w:rsidRPr="009C4A5A">
        <w:rPr>
          <w:sz w:val="16"/>
        </w:rPr>
        <w:t xml:space="preserve">, we may find that we have been short- sighted. If the quickest way to a now visible solution becomes the ' only permissible one and all alternative experimentation is pre- cluded, and if what now seems the best method of satisfying a need is made the sole starting point for all future development, we may perhaps reach our present goal sooner, but we shall probably at the same time prevent the emergence of more effective alternative solutions. It is often those who are most anxious to use our exist- ing knowledge and powers to the full that do most to impair the future growth of kn&lt;;?wledge by the methods they use. The con- trolled single-channel development toward which impatience and administrative convenience have frequently inclined the reformer and which, especially in the field of social insurance, has become characteristic of the modern welfare state may well become the chief obstacle to future improvement. If government wants not merely to facilitate the attainment of certain standards by the individuals but to make certain that everybody attains them it can do so only by depriving individuals of any choice in the matter. Thus </w:t>
      </w:r>
      <w:r w:rsidRPr="00DD2D90">
        <w:rPr>
          <w:rStyle w:val="StyleUnderline"/>
        </w:rPr>
        <w:t>the welfare state becomes a household state in which a paternalistic power controls most</w:t>
      </w:r>
      <w:r w:rsidRPr="009C4A5A">
        <w:rPr>
          <w:sz w:val="16"/>
        </w:rPr>
        <w:t xml:space="preserve"> ot the income of the community and allocates it to individuals in the forms and quantities which it thinks they need or deserve. In many fields persuasive arguments based on considerations of efficiency and economy can be advanced in favor of the state's taking sole charge of a particular service; but when the state does so, the result is usually not only that those advantages soon prove illusory but that the character of the services becomes en- tirely different from that which they would have had if they had been provided by competing agencies. If, instead of administering limited resources put under its control for a specific service, gov- ernment uses its coercive powers to insure that men are given what some expert thinks they need; </w:t>
      </w:r>
      <w:r w:rsidRPr="00DD2D90">
        <w:rPr>
          <w:rStyle w:val="StyleUnderline"/>
        </w:rPr>
        <w:t xml:space="preserve">if </w:t>
      </w:r>
      <w:r w:rsidRPr="00DD2D90">
        <w:rPr>
          <w:rStyle w:val="StyleUnderline"/>
          <w:highlight w:val="green"/>
        </w:rPr>
        <w:t>people</w:t>
      </w:r>
      <w:r w:rsidRPr="009C4A5A">
        <w:rPr>
          <w:sz w:val="16"/>
        </w:rPr>
        <w:t xml:space="preserve"> thus can </w:t>
      </w:r>
      <w:r w:rsidRPr="00DD2D90">
        <w:rPr>
          <w:rStyle w:val="StyleUnderline"/>
          <w:highlight w:val="green"/>
        </w:rPr>
        <w:t>no longer exercise</w:t>
      </w:r>
      <w:r w:rsidRPr="009C4A5A">
        <w:rPr>
          <w:sz w:val="16"/>
        </w:rPr>
        <w:t xml:space="preserve"> any </w:t>
      </w:r>
      <w:r w:rsidRPr="00DD2D90">
        <w:rPr>
          <w:rStyle w:val="StyleUnderline"/>
          <w:highlight w:val="green"/>
        </w:rPr>
        <w:t>choice in</w:t>
      </w:r>
      <w:r w:rsidRPr="009C4A5A">
        <w:rPr>
          <w:sz w:val="16"/>
        </w:rPr>
        <w:t xml:space="preserve"> some of </w:t>
      </w:r>
      <w:r w:rsidRPr="00DD2D90">
        <w:rPr>
          <w:rStyle w:val="StyleUnderline"/>
        </w:rPr>
        <w:t xml:space="preserve">the </w:t>
      </w:r>
      <w:r w:rsidRPr="00DD2D90">
        <w:rPr>
          <w:rStyle w:val="Emphasis"/>
        </w:rPr>
        <w:t>most important</w:t>
      </w:r>
      <w:r w:rsidRPr="00DD2D90">
        <w:rPr>
          <w:rStyle w:val="StyleUnderline"/>
        </w:rPr>
        <w:t xml:space="preserve"> matters of</w:t>
      </w:r>
      <w:r w:rsidRPr="009C4A5A">
        <w:rPr>
          <w:sz w:val="16"/>
        </w:rPr>
        <w:t xml:space="preserve"> </w:t>
      </w:r>
      <w:r w:rsidRPr="00DD2D90">
        <w:rPr>
          <w:rStyle w:val="StyleUnderline"/>
        </w:rPr>
        <w:t xml:space="preserve">their lives, such as </w:t>
      </w:r>
      <w:r w:rsidRPr="00DD2D90">
        <w:rPr>
          <w:rStyle w:val="Emphasis"/>
          <w:highlight w:val="green"/>
        </w:rPr>
        <w:t>health</w:t>
      </w:r>
      <w:r w:rsidRPr="009C4A5A">
        <w:rPr>
          <w:sz w:val="16"/>
        </w:rPr>
        <w:t xml:space="preserve">, employment, housing, and provision for old age, but </w:t>
      </w:r>
      <w:r w:rsidRPr="00DD2D90">
        <w:rPr>
          <w:rStyle w:val="StyleUnderline"/>
          <w:highlight w:val="green"/>
        </w:rPr>
        <w:t>must accept the decisions made for them by appointed author- ity</w:t>
      </w:r>
      <w:r w:rsidRPr="009C4A5A">
        <w:rPr>
          <w:sz w:val="16"/>
        </w:rPr>
        <w:t xml:space="preserve"> on the basis of its evaluation of their need; if certain </w:t>
      </w:r>
      <w:r w:rsidRPr="00DD2D90">
        <w:rPr>
          <w:rStyle w:val="StyleUnderline"/>
        </w:rPr>
        <w:t>services become the exclusive domain of the state, and whole professions- , be it medicine</w:t>
      </w:r>
      <w:r w:rsidRPr="009C4A5A">
        <w:rPr>
          <w:sz w:val="16"/>
        </w:rPr>
        <w:t xml:space="preserve">, education, </w:t>
      </w:r>
      <w:r w:rsidRPr="00DD2D90">
        <w:rPr>
          <w:rStyle w:val="StyleUnderline"/>
        </w:rPr>
        <w:t>or insurance</w:t>
      </w:r>
      <w:r w:rsidRPr="009C4A5A">
        <w:rPr>
          <w:sz w:val="16"/>
        </w:rPr>
        <w:t>-</w:t>
      </w:r>
      <w:r w:rsidRPr="00DD2D90">
        <w:rPr>
          <w:rStyle w:val="StyleUnderline"/>
        </w:rPr>
        <w:t>come to exist only as unitary bureaucratic hierarchies, it will</w:t>
      </w:r>
      <w:r w:rsidRPr="009C4A5A">
        <w:rPr>
          <w:sz w:val="16"/>
        </w:rPr>
        <w:t xml:space="preserve"> no longer be competitive experimentation but </w:t>
      </w:r>
      <w:r w:rsidRPr="00DD2D90">
        <w:rPr>
          <w:rStyle w:val="StyleUnderline"/>
        </w:rPr>
        <w:t>solely the decisions of authority that will de- termine what men shall get</w:t>
      </w:r>
      <w:r w:rsidRPr="009C4A5A">
        <w:rPr>
          <w:sz w:val="16"/>
        </w:rPr>
        <w:t xml:space="preserve">,17 The same reasons that generally make the impatient reformer wish to organize such services in the form of governmen t monopo- lies lead him also to believe that the authorities in charge should be given wide discretionary powers over the individual. If the ob- jective were merely to improve opportunities for all by supplying certain specific services according to a rule, this could be attained on essentially business lines. But we could then never be sure that the results for all individuals would be precisely what we wanted. If each individual is to be affected in some particular way, nothing short of the individualizing, paternalistic treatment by a discre- tionary authority with powers of discriminating between persons will do. lt is sheer illusion to think that when certain needs of the citizen havebecome the exclusive concern of a single bureaucratic ma- chine, democratic con'trol of that machine can then effectively guard the liberty of the citizen. So far as the preservation of per- sonalliberty is concerned, the division of labor between a legisla- ture which merely says that this or that should be done 18 </w:t>
      </w:r>
      <w:r w:rsidRPr="009C4A5A">
        <w:rPr>
          <w:sz w:val="16"/>
          <w:highlight w:val="green"/>
        </w:rPr>
        <w:t xml:space="preserve">and </w:t>
      </w:r>
      <w:r w:rsidRPr="00DD2D90">
        <w:rPr>
          <w:rStyle w:val="StyleUnderline"/>
          <w:highlight w:val="green"/>
        </w:rPr>
        <w:t>an administrative apparatus</w:t>
      </w:r>
      <w:r w:rsidRPr="009C4A5A">
        <w:rPr>
          <w:sz w:val="16"/>
        </w:rPr>
        <w:t xml:space="preserve"> which is </w:t>
      </w:r>
      <w:r w:rsidRPr="00DD2D90">
        <w:rPr>
          <w:rStyle w:val="StyleUnderline"/>
          <w:highlight w:val="green"/>
        </w:rPr>
        <w:t>given exclusive power</w:t>
      </w:r>
      <w:r w:rsidRPr="009C4A5A">
        <w:rPr>
          <w:sz w:val="16"/>
        </w:rPr>
        <w:t xml:space="preserve"> to carry out these instructions </w:t>
      </w:r>
      <w:r w:rsidRPr="00DD2D90">
        <w:rPr>
          <w:rStyle w:val="StyleUnderline"/>
          <w:highlight w:val="green"/>
        </w:rPr>
        <w:t xml:space="preserve">is the </w:t>
      </w:r>
      <w:r w:rsidRPr="00DD2D90">
        <w:rPr>
          <w:rStyle w:val="Emphasis"/>
          <w:highlight w:val="green"/>
        </w:rPr>
        <w:t>most dangerous</w:t>
      </w:r>
      <w:r w:rsidRPr="009C4A5A">
        <w:rPr>
          <w:sz w:val="16"/>
        </w:rPr>
        <w:t xml:space="preserve"> arrangement possible. All experience confirms what is "clear enough from American as well as from English experience, that </w:t>
      </w:r>
      <w:r w:rsidRPr="00DD2D90">
        <w:rPr>
          <w:rStyle w:val="StyleUnderline"/>
        </w:rPr>
        <w:t xml:space="preserve">the </w:t>
      </w:r>
      <w:r w:rsidRPr="00DD2D90">
        <w:rPr>
          <w:rStyle w:val="StyleUnderline"/>
          <w:highlight w:val="green"/>
        </w:rPr>
        <w:t>zeal</w:t>
      </w:r>
      <w:r w:rsidRPr="00DD2D90">
        <w:rPr>
          <w:rStyle w:val="StyleUnderline"/>
        </w:rPr>
        <w:t xml:space="preserve"> of the administrative agencies</w:t>
      </w:r>
      <w:r w:rsidRPr="009C4A5A">
        <w:rPr>
          <w:sz w:val="16"/>
        </w:rPr>
        <w:t xml:space="preserve"> to achieve the immediate ends they see before them </w:t>
      </w:r>
      <w:r w:rsidRPr="00DD2D90">
        <w:rPr>
          <w:rStyle w:val="StyleUnderline"/>
          <w:highlight w:val="green"/>
        </w:rPr>
        <w:t>leads them to</w:t>
      </w:r>
      <w:r w:rsidRPr="009C4A5A">
        <w:rPr>
          <w:sz w:val="16"/>
        </w:rPr>
        <w:t xml:space="preserve"> see their function out of focus and to </w:t>
      </w:r>
      <w:r w:rsidRPr="00DD2D90">
        <w:rPr>
          <w:rStyle w:val="StyleUnderline"/>
          <w:highlight w:val="green"/>
        </w:rPr>
        <w:t>assume</w:t>
      </w:r>
      <w:r w:rsidRPr="009C4A5A">
        <w:rPr>
          <w:sz w:val="16"/>
        </w:rPr>
        <w:t xml:space="preserve"> that </w:t>
      </w:r>
      <w:r w:rsidRPr="00DD2D90">
        <w:rPr>
          <w:rStyle w:val="StyleUnderline"/>
          <w:highlight w:val="green"/>
        </w:rPr>
        <w:t>con- stitutional limitations and</w:t>
      </w:r>
      <w:r w:rsidRPr="00DD2D90">
        <w:rPr>
          <w:rStyle w:val="StyleUnderline"/>
        </w:rPr>
        <w:t xml:space="preserve"> </w:t>
      </w:r>
      <w:r w:rsidRPr="009C4A5A">
        <w:rPr>
          <w:sz w:val="16"/>
        </w:rPr>
        <w:t>guaranteed</w:t>
      </w:r>
      <w:r w:rsidRPr="00DD2D90">
        <w:rPr>
          <w:rStyle w:val="StyleUnderline"/>
        </w:rPr>
        <w:t xml:space="preserve"> </w:t>
      </w:r>
      <w:r w:rsidRPr="00DD2D90">
        <w:rPr>
          <w:rStyle w:val="StyleUnderline"/>
          <w:highlight w:val="green"/>
        </w:rPr>
        <w:t>individual rights must give way</w:t>
      </w:r>
      <w:r w:rsidRPr="009C4A5A">
        <w:rPr>
          <w:sz w:val="16"/>
          <w:highlight w:val="green"/>
        </w:rPr>
        <w:t xml:space="preserve"> </w:t>
      </w:r>
      <w:r w:rsidRPr="00DD2D90">
        <w:rPr>
          <w:rStyle w:val="StyleUnderline"/>
        </w:rPr>
        <w:t>before</w:t>
      </w:r>
      <w:r w:rsidRPr="009C4A5A">
        <w:rPr>
          <w:sz w:val="16"/>
        </w:rPr>
        <w:t xml:space="preserve"> their zealous efforts to achieve what they see as a paramount purpose of </w:t>
      </w:r>
      <w:r w:rsidRPr="00DD2D90">
        <w:rPr>
          <w:rStyle w:val="StyleUnderline"/>
        </w:rPr>
        <w:t>government</w:t>
      </w:r>
      <w:r w:rsidRPr="009C4A5A">
        <w:rPr>
          <w:sz w:val="16"/>
        </w:rPr>
        <w:t xml:space="preserve">."19 It would scarcely be an exaggeration to say that </w:t>
      </w:r>
      <w:r w:rsidRPr="00DD2D90">
        <w:rPr>
          <w:rStyle w:val="StyleUnderline"/>
          <w:highlight w:val="green"/>
        </w:rPr>
        <w:t xml:space="preserve">the </w:t>
      </w:r>
      <w:r w:rsidRPr="00DD2D90">
        <w:rPr>
          <w:rStyle w:val="Emphasis"/>
          <w:highlight w:val="green"/>
        </w:rPr>
        <w:t>greatest</w:t>
      </w:r>
      <w:r w:rsidRPr="00DD2D90">
        <w:rPr>
          <w:rStyle w:val="StyleUnderline"/>
          <w:highlight w:val="green"/>
        </w:rPr>
        <w:t xml:space="preserve"> </w:t>
      </w:r>
      <w:r w:rsidRPr="00DD2D90">
        <w:rPr>
          <w:rStyle w:val="Emphasis"/>
          <w:highlight w:val="green"/>
        </w:rPr>
        <w:t>danger</w:t>
      </w:r>
      <w:r w:rsidRPr="00DD2D90">
        <w:rPr>
          <w:rStyle w:val="StyleUnderline"/>
          <w:highlight w:val="green"/>
        </w:rPr>
        <w:t xml:space="preserve"> to liberty today comes from</w:t>
      </w:r>
      <w:r w:rsidRPr="009C4A5A">
        <w:rPr>
          <w:sz w:val="16"/>
        </w:rPr>
        <w:t xml:space="preserve"> the men who are most needed and most powerful in modern </w:t>
      </w:r>
      <w:r w:rsidRPr="00DD2D90">
        <w:rPr>
          <w:rStyle w:val="StyleUnderline"/>
          <w:highlight w:val="green"/>
        </w:rPr>
        <w:t>government</w:t>
      </w:r>
      <w:r w:rsidRPr="009C4A5A">
        <w:rPr>
          <w:sz w:val="16"/>
        </w:rPr>
        <w:t xml:space="preserve">, namely, the efficient expert administrators exclusively </w:t>
      </w:r>
      <w:r w:rsidRPr="00DD2D90">
        <w:rPr>
          <w:rStyle w:val="StyleUnderline"/>
          <w:highlight w:val="green"/>
        </w:rPr>
        <w:t>concerned with</w:t>
      </w:r>
      <w:r w:rsidRPr="009C4A5A">
        <w:rPr>
          <w:sz w:val="16"/>
        </w:rPr>
        <w:t xml:space="preserve"> what they re- gard as </w:t>
      </w:r>
      <w:r w:rsidRPr="00DD2D90">
        <w:rPr>
          <w:rStyle w:val="StyleUnderline"/>
          <w:highlight w:val="green"/>
        </w:rPr>
        <w:t xml:space="preserve">the </w:t>
      </w:r>
      <w:r w:rsidRPr="00DD2D90">
        <w:rPr>
          <w:rStyle w:val="Emphasis"/>
          <w:highlight w:val="green"/>
        </w:rPr>
        <w:t>public good</w:t>
      </w:r>
      <w:r w:rsidRPr="009C4A5A">
        <w:rPr>
          <w:sz w:val="16"/>
        </w:rPr>
        <w:t xml:space="preserve">. Though theorists may still talk about the democratic control of these activities, all who have direct ex- perience in this matter agree that (as one recent English writer put it) "if the Minister's control ... has become a myth, the control of Parliamen t is and always has been the merest fairy tale."20 </w:t>
      </w:r>
      <w:r w:rsidRPr="00DD2D90">
        <w:rPr>
          <w:rStyle w:val="StyleUnderline"/>
        </w:rPr>
        <w:t xml:space="preserve">It is </w:t>
      </w:r>
      <w:r w:rsidRPr="00DD2D90">
        <w:rPr>
          <w:rStyle w:val="Emphasis"/>
        </w:rPr>
        <w:t>inevitable</w:t>
      </w:r>
      <w:r w:rsidRPr="009C4A5A">
        <w:rPr>
          <w:sz w:val="16"/>
        </w:rPr>
        <w:t xml:space="preserve"> that this sort of administration of the </w:t>
      </w:r>
      <w:r w:rsidRPr="00DD2D90">
        <w:rPr>
          <w:rStyle w:val="StyleUnderline"/>
        </w:rPr>
        <w:t>welfare</w:t>
      </w:r>
      <w:r w:rsidRPr="009C4A5A">
        <w:rPr>
          <w:sz w:val="16"/>
        </w:rPr>
        <w:t xml:space="preserve"> of the people </w:t>
      </w:r>
      <w:r w:rsidRPr="00DD2D90">
        <w:rPr>
          <w:rStyle w:val="StyleUnderline"/>
        </w:rPr>
        <w:t>should become a</w:t>
      </w:r>
      <w:r w:rsidRPr="009C4A5A">
        <w:rPr>
          <w:sz w:val="16"/>
        </w:rPr>
        <w:t xml:space="preserve"> </w:t>
      </w:r>
      <w:r w:rsidRPr="00DD2D90">
        <w:rPr>
          <w:rStyle w:val="Emphasis"/>
        </w:rPr>
        <w:t>self-willed</w:t>
      </w:r>
      <w:r w:rsidRPr="009C4A5A">
        <w:rPr>
          <w:sz w:val="16"/>
        </w:rPr>
        <w:t xml:space="preserve"> </w:t>
      </w:r>
      <w:r w:rsidRPr="00DD2D90">
        <w:rPr>
          <w:rStyle w:val="StyleUnderline"/>
        </w:rPr>
        <w:t xml:space="preserve">and </w:t>
      </w:r>
      <w:r w:rsidRPr="00DD2D90">
        <w:rPr>
          <w:rStyle w:val="Emphasis"/>
        </w:rPr>
        <w:t>uncontrollable</w:t>
      </w:r>
      <w:r w:rsidRPr="00DD2D90">
        <w:rPr>
          <w:rStyle w:val="StyleUnderline"/>
        </w:rPr>
        <w:t xml:space="preserve"> apparatus before which </w:t>
      </w:r>
      <w:r w:rsidRPr="00DD2D90">
        <w:rPr>
          <w:rStyle w:val="StyleUnderline"/>
          <w:highlight w:val="green"/>
        </w:rPr>
        <w:t xml:space="preserve">the individual is </w:t>
      </w:r>
      <w:r w:rsidRPr="00DD2D90">
        <w:rPr>
          <w:rStyle w:val="Emphasis"/>
          <w:highlight w:val="green"/>
        </w:rPr>
        <w:t>helpless</w:t>
      </w:r>
      <w:r w:rsidRPr="00DD2D90">
        <w:rPr>
          <w:rStyle w:val="StyleUnderline"/>
          <w:highlight w:val="green"/>
        </w:rPr>
        <w:t xml:space="preserve">, and which becomes in- creasingly invested with all the </w:t>
      </w:r>
      <w:r w:rsidRPr="00DD2D90">
        <w:rPr>
          <w:rStyle w:val="Emphasis"/>
          <w:highlight w:val="green"/>
        </w:rPr>
        <w:t>mystique</w:t>
      </w:r>
      <w:r w:rsidRPr="00DD2D90">
        <w:rPr>
          <w:rStyle w:val="StyleUnderline"/>
          <w:highlight w:val="green"/>
        </w:rPr>
        <w:t xml:space="preserve"> of sovereign authority</w:t>
      </w:r>
      <w:r w:rsidRPr="009C4A5A">
        <w:rPr>
          <w:sz w:val="16"/>
        </w:rPr>
        <w:t xml:space="preserve">- the Hoheitsverwaltung or Herrschajtstaat of the German tradition that used to be so unfamiliar to Anglo-Saxons that the strange term "hegemonic"21 had to be coined to render its meaning. 7. It is not the aim of the following chapters to expound a com- plete program of economic policy for a free society. We shall be concerned mainl.y with those comparatively new aspirations whose place in a free society is still uncertain, concerning which our vari- ous positions are still floundering between extremes, and where the • need for principles which will help us to sort out the good from the bad is most urgent. The problems we shall select are chiefly those which seem particularly important if we are to rescue some of the more modest and legitimate aims from the discredit which over- ambitious attempts may well bring to all actions of the welfare state. There are many parts of government activity which are of the highest importance for the preservation of a free society but which we cannot examine satisfactorily here. First of all, we shall have to leave aside the whole complex of problems which arise from inter- national relations-not only because any serious attempt to con- sider these issues would unduly expand this book but also !:?ecause an adequate treatment would require philosophical foundations other than those we have been able to provide. Satisfactory solu- tions to these problems will probably not be found as long as we have to accept as the ultimate units of international order the his- torically given entities known as sovereign nations. And to what groups we should entrust the various powers of government if we . had the choice is far too difficult a question to answer briefly. The moral foundations for a rule of law on an international scale seem to be completely lacking still, and we should probably lose what- ever advantages it brings within the nation if today we were to entrust any of the new powers of government to supra-national agencies. I will merely say that only makeshift solutions to prob- lems of international relations seeJ1l possible so long as we have yet to learn how to limit the powers of all government effectively and how to divide these powers between the tiers of authority. It should also be said that modern developments in national policies have made the international problems very much more difficult , than they would have been in the nineteenth century.22 I wish to add here my opinion that, </w:t>
      </w:r>
      <w:r w:rsidRPr="00DD2D90">
        <w:rPr>
          <w:rStyle w:val="StyleUnderline"/>
          <w:highlight w:val="green"/>
        </w:rPr>
        <w:t>until the protection of individual free- dom is</w:t>
      </w:r>
      <w:r w:rsidRPr="00DD2D90">
        <w:rPr>
          <w:rStyle w:val="StyleUnderline"/>
        </w:rPr>
        <w:t xml:space="preserve"> much </w:t>
      </w:r>
      <w:r w:rsidRPr="00DD2D90">
        <w:rPr>
          <w:rStyle w:val="StyleUnderline"/>
          <w:highlight w:val="green"/>
        </w:rPr>
        <w:t>more</w:t>
      </w:r>
      <w:r w:rsidRPr="00DD2D90">
        <w:rPr>
          <w:rStyle w:val="StyleUnderline"/>
        </w:rPr>
        <w:t xml:space="preserve"> firmly </w:t>
      </w:r>
      <w:r w:rsidRPr="00DD2D90">
        <w:rPr>
          <w:rStyle w:val="StyleUnderline"/>
          <w:highlight w:val="green"/>
        </w:rPr>
        <w:t>secured</w:t>
      </w:r>
      <w:r w:rsidRPr="00DD2D90">
        <w:rPr>
          <w:rStyle w:val="StyleUnderline"/>
        </w:rPr>
        <w:t xml:space="preserve"> than it is now, the creation of </w:t>
      </w:r>
      <w:r w:rsidRPr="00DD2D90">
        <w:rPr>
          <w:rStyle w:val="StyleUnderline"/>
          <w:highlight w:val="green"/>
        </w:rPr>
        <w:t>a</w:t>
      </w:r>
      <w:r w:rsidRPr="00DD2D90">
        <w:rPr>
          <w:rStyle w:val="StyleUnderline"/>
        </w:rPr>
        <w:t xml:space="preserve"> world </w:t>
      </w:r>
      <w:r w:rsidRPr="00DD2D90">
        <w:rPr>
          <w:rStyle w:val="StyleUnderline"/>
          <w:highlight w:val="green"/>
        </w:rPr>
        <w:t>state</w:t>
      </w:r>
      <w:r w:rsidRPr="00DD2D90">
        <w:rPr>
          <w:rStyle w:val="StyleUnderline"/>
        </w:rPr>
        <w:t xml:space="preserve"> </w:t>
      </w:r>
      <w:r w:rsidR="006A23B3" w:rsidRPr="00DD2D90">
        <w:rPr>
          <w:rStyle w:val="StyleUnderline"/>
        </w:rPr>
        <w:t>probably</w:t>
      </w:r>
      <w:r w:rsidRPr="00DD2D90">
        <w:rPr>
          <w:rStyle w:val="StyleUnderline"/>
        </w:rPr>
        <w:t xml:space="preserve"> </w:t>
      </w:r>
      <w:r w:rsidRPr="00DD2D90">
        <w:rPr>
          <w:rStyle w:val="StyleUnderline"/>
          <w:highlight w:val="green"/>
        </w:rPr>
        <w:t xml:space="preserve">would be a greater danger to the future of civilization than even </w:t>
      </w:r>
      <w:r w:rsidRPr="00DD2D90">
        <w:rPr>
          <w:rStyle w:val="Emphasis"/>
          <w:highlight w:val="green"/>
        </w:rPr>
        <w:t>war</w:t>
      </w:r>
      <w:r w:rsidRPr="009C4A5A">
        <w:rPr>
          <w:sz w:val="16"/>
        </w:rPr>
        <w:t xml:space="preserve">.~a Hardly less important than the problems of international rela- tions is that of centralization versus decentralization of govern- mental functions. In spite of its traditional connection with most of the problems we shall be discussing, we shall not be able to consider it systematically. While it has always been characteristic of those favoring an increase in governmen tal powers to support maximum concentration of these powers, those mainly concerned with individual liberty have generally advocated decentralization. There are strong reasons why action by local authorities generally offers the next-best solution where private initiative cannot be relied upon to provide certain services and where some sort of collective action is therefore needed; for it has many of the ad- vantages of private enterprise and fewer of the dangers of the coercive action of government. Competition between local authori- ties or between larger units within an area where there is freedom of movement provides in a large measure that opportunity for ex- perimentation with alternative methods which will secure most of the advantages of free growth. Though the majority of individuals may never contemplate a change of residence, there will usually be enough people, especially 'among the young and more enterprising, to make it netessary for the local authorities to provide as good services at as reasonable costs as their competitors. 24 </w:t>
      </w:r>
      <w:r w:rsidRPr="00DD2D90">
        <w:rPr>
          <w:rStyle w:val="StyleUnderline"/>
        </w:rPr>
        <w:t>It is</w:t>
      </w:r>
      <w:r w:rsidRPr="009C4A5A">
        <w:rPr>
          <w:sz w:val="16"/>
        </w:rPr>
        <w:t xml:space="preserve"> usually </w:t>
      </w:r>
      <w:r w:rsidRPr="00DD2D90">
        <w:rPr>
          <w:rStyle w:val="StyleUnderline"/>
        </w:rPr>
        <w:t xml:space="preserve">the </w:t>
      </w:r>
      <w:r w:rsidRPr="00DD2D90">
        <w:rPr>
          <w:rStyle w:val="Emphasis"/>
        </w:rPr>
        <w:t>authoritarian</w:t>
      </w:r>
      <w:r w:rsidRPr="009C4A5A">
        <w:rPr>
          <w:sz w:val="16"/>
        </w:rPr>
        <w:t xml:space="preserve"> </w:t>
      </w:r>
      <w:r w:rsidRPr="00DD2D90">
        <w:rPr>
          <w:rStyle w:val="StyleUnderline"/>
        </w:rPr>
        <w:t>planner</w:t>
      </w:r>
      <w:r w:rsidRPr="009C4A5A">
        <w:rPr>
          <w:sz w:val="16"/>
        </w:rPr>
        <w:t xml:space="preserve"> </w:t>
      </w:r>
      <w:r w:rsidRPr="00DD2D90">
        <w:rPr>
          <w:rStyle w:val="StyleUnderline"/>
        </w:rPr>
        <w:t>who</w:t>
      </w:r>
      <w:r w:rsidRPr="009C4A5A">
        <w:rPr>
          <w:sz w:val="16"/>
        </w:rPr>
        <w:t xml:space="preserve">, in the interest of uniformity, gov- ernmental efficiency, and administrative convenience, </w:t>
      </w:r>
      <w:r w:rsidRPr="00DD2D90">
        <w:rPr>
          <w:rStyle w:val="StyleUnderline"/>
        </w:rPr>
        <w:t>supports the centralist tendencies</w:t>
      </w:r>
      <w:r w:rsidRPr="009C4A5A">
        <w:rPr>
          <w:sz w:val="16"/>
        </w:rPr>
        <w:t xml:space="preserve"> and in this receives the strong support ot the poorer majorities, who wish to be able to tap the resources of the wealthier regions. 8. There are several other important problems of economic policy that we can mention only in passing. Nobody will deny that economic stability and the prevention of major depressions de- pends in part on government action. We shall have to consider this problem under the subjects of employment and monetary polity. But a systematic survey would lead us into highly tech- nical and controversial issues of economic theory, where the posi- tion I should have to take as the result of my specialized work in this field would be largely independent of the principles discussed in the present book.</w:t>
      </w:r>
    </w:p>
    <w:p w14:paraId="348E2915" w14:textId="56182346" w:rsidR="008732A1" w:rsidRPr="009C4A5A" w:rsidRDefault="0065740D" w:rsidP="008732A1">
      <w:pPr>
        <w:pStyle w:val="Heading4"/>
        <w:rPr>
          <w:szCs w:val="26"/>
        </w:rPr>
      </w:pPr>
      <w:r w:rsidRPr="009C4A5A">
        <w:rPr>
          <w:szCs w:val="26"/>
        </w:rPr>
        <w:t>Social insurance allows unelected bureaucrats to unilaterally alter wealth distribution, undermining property rights undemocratically</w:t>
      </w:r>
    </w:p>
    <w:p w14:paraId="4CCAE810" w14:textId="1B0E446E" w:rsidR="008732A1" w:rsidRPr="00DD2D90" w:rsidRDefault="008732A1" w:rsidP="008732A1">
      <w:r w:rsidRPr="009C4A5A">
        <w:rPr>
          <w:b/>
          <w:bCs/>
          <w:sz w:val="26"/>
          <w:szCs w:val="26"/>
        </w:rPr>
        <w:t>Hayek 60</w:t>
      </w:r>
      <w:r w:rsidRPr="00DD2D90">
        <w:t xml:space="preserve"> [Friedrich A. Hayek, political economy philosopher with a Nobel Prize in economics, 1960, “The Constitution </w:t>
      </w:r>
      <w:proofErr w:type="gramStart"/>
      <w:r w:rsidRPr="00DD2D90">
        <w:t>Of</w:t>
      </w:r>
      <w:proofErr w:type="gramEnd"/>
      <w:r w:rsidRPr="00DD2D90">
        <w:t xml:space="preserve"> Liberty,” University of Chicago Press, https://www.mises.at/static/literatur/Buch/hayek-the-constitution-of-liberty.pdf]/Kankee</w:t>
      </w:r>
    </w:p>
    <w:p w14:paraId="1F359B0F" w14:textId="77777777" w:rsidR="008732A1" w:rsidRPr="00DD2D90" w:rsidRDefault="008732A1" w:rsidP="008732A1">
      <w:r w:rsidRPr="00DD2D90">
        <w:t>*OCR errors exist</w:t>
      </w:r>
    </w:p>
    <w:p w14:paraId="668A61D8" w14:textId="7D4BBFB9" w:rsidR="008732A1" w:rsidRPr="009C4A5A" w:rsidRDefault="008732A1" w:rsidP="008732A1">
      <w:pPr>
        <w:rPr>
          <w:sz w:val="16"/>
        </w:rPr>
      </w:pPr>
      <w:r w:rsidRPr="009C4A5A">
        <w:rPr>
          <w:sz w:val="16"/>
        </w:rPr>
        <w:t>2. It is only when the proponents of "social security" go a step further that the crucial issues arise. Even at the beginning stage of "social insurance" in Germany in the 1880's, individuals were not merely required to make provision against those risks which, if they did not, the state would have to provide for, but were com- pelled to obtain this protection through a unitary organization run by the government. Although the inspiration for the new type of organization came from the institutions created by the workers on their own initiative, particularly in England, and although _where such institutions had also sprung up in Germany-notably in the field of sickness insurance-they were allowed to continue, it was decided that wherever new developments were necessary, as in the provision for old age, industrial accidents, disability, dependents, and, unemployment, these should take the form of a unified organ;zation which would be the sole provider of these services and to which all those to be protected had to belong. "</w:t>
      </w:r>
      <w:r w:rsidRPr="00DD2D90">
        <w:rPr>
          <w:rStyle w:val="StyleUnderline"/>
        </w:rPr>
        <w:t>Social insurance" thus</w:t>
      </w:r>
      <w:r w:rsidRPr="009C4A5A">
        <w:rPr>
          <w:sz w:val="16"/>
        </w:rPr>
        <w:t xml:space="preserve"> from the beginning </w:t>
      </w:r>
      <w:r w:rsidRPr="00DD2D90">
        <w:rPr>
          <w:rStyle w:val="StyleUnderline"/>
        </w:rPr>
        <w:t xml:space="preserve">meant </w:t>
      </w:r>
      <w:r w:rsidRPr="009C4A5A">
        <w:rPr>
          <w:sz w:val="16"/>
        </w:rPr>
        <w:t xml:space="preserve">not merely , compulsory insurance but </w:t>
      </w:r>
      <w:r w:rsidRPr="00DD2D90">
        <w:rPr>
          <w:rStyle w:val="Emphasis"/>
        </w:rPr>
        <w:t>compulsory membership</w:t>
      </w:r>
      <w:r w:rsidRPr="009C4A5A">
        <w:rPr>
          <w:sz w:val="16"/>
        </w:rPr>
        <w:t xml:space="preserve"> in a unitary organiza~ion </w:t>
      </w:r>
      <w:r w:rsidRPr="00DD2D90">
        <w:rPr>
          <w:rStyle w:val="StyleUnderline"/>
        </w:rPr>
        <w:t>controlled by the state</w:t>
      </w:r>
      <w:r w:rsidRPr="009C4A5A">
        <w:rPr>
          <w:sz w:val="16"/>
        </w:rPr>
        <w:t xml:space="preserve">. The chief justification for this decision, at one time widely contested but now usually accept- ed as irrevocable, was the presumed greater efficiency and admin- istrative convenience (i.e., economy) of such a unitary organiza- tion. It was often ciaimed that this was the only way to assure sufficient provision at a single stroke for all those in need. There is an element of truth in this argument, but it is not con- clusive. It is probably true that, at any given moment, a unified organization designed by the best experts that authority can select will be the most efficient that can be created. But it is not likely to remain so for long if it is made the only starting point for all future developments and if those initially put in charge also be- come the sole judges of what changes are necessary. </w:t>
      </w:r>
      <w:r w:rsidRPr="00DD2D90">
        <w:rPr>
          <w:rStyle w:val="StyleUnderline"/>
        </w:rPr>
        <w:t>It is an error to believe</w:t>
      </w:r>
      <w:r w:rsidRPr="009C4A5A">
        <w:rPr>
          <w:sz w:val="16"/>
        </w:rPr>
        <w:t xml:space="preserve"> that </w:t>
      </w:r>
      <w:r w:rsidRPr="00DD2D90">
        <w:rPr>
          <w:rStyle w:val="StyleUnderline"/>
        </w:rPr>
        <w:t>the best</w:t>
      </w:r>
      <w:r w:rsidRPr="009C4A5A">
        <w:rPr>
          <w:sz w:val="16"/>
        </w:rPr>
        <w:t xml:space="preserve"> or cheapest </w:t>
      </w:r>
      <w:r w:rsidRPr="00DD2D90">
        <w:rPr>
          <w:rStyle w:val="StyleUnderline"/>
        </w:rPr>
        <w:t>way</w:t>
      </w:r>
      <w:r w:rsidRPr="009C4A5A">
        <w:rPr>
          <w:sz w:val="16"/>
        </w:rPr>
        <w:t xml:space="preserve"> of doing anything </w:t>
      </w:r>
      <w:r w:rsidRPr="00DD2D90">
        <w:rPr>
          <w:rStyle w:val="StyleUnderline"/>
        </w:rPr>
        <w:t>can</w:t>
      </w:r>
      <w:r w:rsidRPr="009C4A5A">
        <w:rPr>
          <w:sz w:val="16"/>
        </w:rPr>
        <w:t xml:space="preserve">, in the long run, </w:t>
      </w:r>
      <w:r w:rsidRPr="00DD2D90">
        <w:rPr>
          <w:rStyle w:val="StyleUnderline"/>
        </w:rPr>
        <w:t xml:space="preserve">be secured by </w:t>
      </w:r>
      <w:r w:rsidRPr="009C4A5A">
        <w:rPr>
          <w:sz w:val="16"/>
        </w:rPr>
        <w:t xml:space="preserve">advance </w:t>
      </w:r>
      <w:r w:rsidRPr="00DD2D90">
        <w:rPr>
          <w:rStyle w:val="StyleUnderline"/>
        </w:rPr>
        <w:t>design</w:t>
      </w:r>
      <w:r w:rsidRPr="009C4A5A">
        <w:rPr>
          <w:sz w:val="16"/>
        </w:rPr>
        <w:t xml:space="preserve"> rather than by the constant re-evaluation of available resources. The principle that all sheltered monopolies become inefficient in the course of time applies here as much as elsewhere. True, if we want at ~ny time to make sure that we achieve as quickly as we can all that is definitely known to ~be possible, the deliberate organization of all the resources to be devoted to that end is the best way. In the field of social security, to rely on the gradual evolu tion of suitable institutions would undoubtedly mean that some individual needs which a centralized- organization would at once care for might for some time get inadequate attention. To the impatient reformer, who will be satisfied with nothing short of the immediate abolition of all avoidable evils, the creation of a single apparatus with full powers to do what can be done now appears therefore as the only appropriate method. In the long run, however, the price we have to pay for this, even in terms of the achievement in a particular field, may be very high. </w:t>
      </w:r>
      <w:r w:rsidRPr="00DD2D90">
        <w:rPr>
          <w:rStyle w:val="StyleUnderline"/>
        </w:rPr>
        <w:t>If we commit ourselves to a single</w:t>
      </w:r>
      <w:r w:rsidRPr="009C4A5A">
        <w:rPr>
          <w:sz w:val="16"/>
        </w:rPr>
        <w:t xml:space="preserve"> comprehensive </w:t>
      </w:r>
      <w:r w:rsidRPr="00DD2D90">
        <w:rPr>
          <w:rStyle w:val="StyleUnderline"/>
        </w:rPr>
        <w:t xml:space="preserve">organization because its im- mediate coverage is greater, we may </w:t>
      </w:r>
      <w:r w:rsidRPr="009C4A5A">
        <w:rPr>
          <w:sz w:val="16"/>
        </w:rPr>
        <w:t>well</w:t>
      </w:r>
      <w:r w:rsidRPr="00DD2D90">
        <w:rPr>
          <w:rStyle w:val="StyleUnderline"/>
        </w:rPr>
        <w:t xml:space="preserve"> prevent the evolution of other organizations whose eventual contribution</w:t>
      </w:r>
      <w:r w:rsidRPr="009C4A5A">
        <w:rPr>
          <w:sz w:val="16"/>
        </w:rPr>
        <w:t xml:space="preserve"> to welfare </w:t>
      </w:r>
      <w:r w:rsidRPr="00DD2D90">
        <w:rPr>
          <w:rStyle w:val="StyleUnderline"/>
        </w:rPr>
        <w:t xml:space="preserve">might </w:t>
      </w:r>
      <w:r w:rsidRPr="009C4A5A">
        <w:rPr>
          <w:sz w:val="16"/>
        </w:rPr>
        <w:t>have</w:t>
      </w:r>
      <w:r w:rsidRPr="00DD2D90">
        <w:rPr>
          <w:rStyle w:val="StyleUnderline"/>
        </w:rPr>
        <w:t xml:space="preserve"> be</w:t>
      </w:r>
      <w:r w:rsidRPr="009C4A5A">
        <w:rPr>
          <w:sz w:val="16"/>
        </w:rPr>
        <w:t xml:space="preserve">en </w:t>
      </w:r>
      <w:r w:rsidRPr="00DD2D90">
        <w:rPr>
          <w:rStyle w:val="StyleUnderline"/>
        </w:rPr>
        <w:t>great</w:t>
      </w:r>
      <w:r w:rsidRPr="009C4A5A">
        <w:rPr>
          <w:sz w:val="16"/>
        </w:rPr>
        <w:t>e</w:t>
      </w:r>
      <w:r w:rsidRPr="00DD2D90">
        <w:rPr>
          <w:rStyle w:val="StyleUnderline"/>
        </w:rPr>
        <w:t>r</w:t>
      </w:r>
      <w:r w:rsidRPr="009C4A5A">
        <w:rPr>
          <w:sz w:val="16"/>
        </w:rPr>
        <w:t xml:space="preserve">. 1 If initially it was chiefly efficiency that was stressed in support of the single compulsory organization, there were other considera- tions clearly also present in the minds of its advocates from the beginning. There are, in fact, two distinct, though connected, aims which a governmental organization with coercive powers can achieve but which are beyond the reach of any agency operating on business lines. </w:t>
      </w:r>
      <w:r w:rsidRPr="00DD2D90">
        <w:rPr>
          <w:rStyle w:val="StyleUnderline"/>
        </w:rPr>
        <w:t>A private agency can offer only specific services based on contract</w:t>
      </w:r>
      <w:r w:rsidRPr="009C4A5A">
        <w:rPr>
          <w:sz w:val="16"/>
        </w:rPr>
        <w:t xml:space="preserve">, that is, it can provide only </w:t>
      </w:r>
      <w:r w:rsidRPr="00DD2D90">
        <w:rPr>
          <w:rStyle w:val="StyleUnderline"/>
        </w:rPr>
        <w:t>for a need which will arise independently</w:t>
      </w:r>
      <w:r w:rsidRPr="009C4A5A">
        <w:rPr>
          <w:sz w:val="16"/>
        </w:rPr>
        <w:t xml:space="preserve"> of the deliberate action </w:t>
      </w:r>
      <w:r w:rsidRPr="00DD2D90">
        <w:rPr>
          <w:rStyle w:val="StyleUnderline"/>
        </w:rPr>
        <w:t xml:space="preserve">of the beneficiary </w:t>
      </w:r>
      <w:r w:rsidRPr="009C4A5A">
        <w:rPr>
          <w:sz w:val="16"/>
        </w:rPr>
        <w:t xml:space="preserve">and which can be ascertained by objective criteria; and it can pro- vide in this manner only for foreseeable needs. However far we extend any system of true insurance, the beneficiary will never get ; more than satisfaction of a contractual claim-i.e., he will not get whatever he may be judged to need according to his circum- stances. </w:t>
      </w:r>
      <w:r w:rsidRPr="00DD2D90">
        <w:rPr>
          <w:rStyle w:val="StyleUnderline"/>
        </w:rPr>
        <w:t>A monopolistic government</w:t>
      </w:r>
      <w:r w:rsidRPr="009C4A5A">
        <w:rPr>
          <w:sz w:val="16"/>
        </w:rPr>
        <w:t xml:space="preserve"> service, on the other hand, </w:t>
      </w:r>
      <w:r w:rsidRPr="00DD2D90">
        <w:rPr>
          <w:rStyle w:val="StyleUnderline"/>
        </w:rPr>
        <w:t>can act</w:t>
      </w:r>
      <w:r w:rsidRPr="009C4A5A">
        <w:rPr>
          <w:sz w:val="16"/>
        </w:rPr>
        <w:t xml:space="preserve"> on the principle of allocation according to need, </w:t>
      </w:r>
      <w:r w:rsidRPr="00DD2D90">
        <w:rPr>
          <w:rStyle w:val="StyleUnderline"/>
        </w:rPr>
        <w:t>irrespec- tive of contractual claim</w:t>
      </w:r>
      <w:r w:rsidRPr="009C4A5A">
        <w:rPr>
          <w:sz w:val="16"/>
        </w:rPr>
        <w:t xml:space="preserve">. </w:t>
      </w:r>
      <w:r w:rsidRPr="00DD2D90">
        <w:rPr>
          <w:rStyle w:val="StyleUnderline"/>
          <w:highlight w:val="green"/>
        </w:rPr>
        <w:t>Only</w:t>
      </w:r>
      <w:r w:rsidRPr="009C4A5A">
        <w:rPr>
          <w:sz w:val="16"/>
        </w:rPr>
        <w:t xml:space="preserve"> such </w:t>
      </w:r>
      <w:r w:rsidRPr="00DD2D90">
        <w:rPr>
          <w:rStyle w:val="StyleUnderline"/>
          <w:highlight w:val="green"/>
        </w:rPr>
        <w:t>an agency</w:t>
      </w:r>
      <w:r w:rsidRPr="009C4A5A">
        <w:rPr>
          <w:sz w:val="16"/>
        </w:rPr>
        <w:t xml:space="preserve"> with discretionary powers </w:t>
      </w:r>
      <w:r w:rsidRPr="00DD2D90">
        <w:rPr>
          <w:rStyle w:val="StyleUnderline"/>
          <w:highlight w:val="green"/>
        </w:rPr>
        <w:t>will</w:t>
      </w:r>
      <w:r w:rsidRPr="009C4A5A">
        <w:rPr>
          <w:sz w:val="16"/>
        </w:rPr>
        <w:t xml:space="preserve"> be in a position to </w:t>
      </w:r>
      <w:r w:rsidRPr="00DD2D90">
        <w:rPr>
          <w:rStyle w:val="StyleUnderline"/>
          <w:highlight w:val="green"/>
        </w:rPr>
        <w:t>give individuals whatever they "ought" to have</w:t>
      </w:r>
      <w:r w:rsidRPr="00DD2D90">
        <w:rPr>
          <w:rStyle w:val="StyleUnderline"/>
        </w:rPr>
        <w:t xml:space="preserve">, or make them do whatever they "ought" todo </w:t>
      </w:r>
      <w:r w:rsidRPr="009C4A5A">
        <w:rPr>
          <w:sz w:val="16"/>
        </w:rPr>
        <w:t xml:space="preserve">to achieve a uniform "social standard." It will also be in a posi- tion-and this is the second chief point-to redistribute income among persons or groups as seems desirable. Though all insurance involves a pooling of risks, </w:t>
      </w:r>
      <w:r w:rsidRPr="00DD2D90">
        <w:rPr>
          <w:rStyle w:val="StyleUnderline"/>
          <w:highlight w:val="green"/>
        </w:rPr>
        <w:t xml:space="preserve">private competitive insurance can </w:t>
      </w:r>
      <w:r w:rsidRPr="00DD2D90">
        <w:rPr>
          <w:rStyle w:val="Emphasis"/>
          <w:highlight w:val="green"/>
        </w:rPr>
        <w:t>never</w:t>
      </w:r>
      <w:r w:rsidRPr="00DD2D90">
        <w:rPr>
          <w:rStyle w:val="StyleUnderline"/>
          <w:highlight w:val="green"/>
        </w:rPr>
        <w:t xml:space="preserve"> effect a deliberate transfer of income from one previously designated group of people to another</w:t>
      </w:r>
      <w:r w:rsidRPr="009C4A5A">
        <w:rPr>
          <w:sz w:val="16"/>
        </w:rPr>
        <w:t xml:space="preserve">.2 Such a redistribution of income has today become the chief purpose of what is still called social "insurance"-a misnomer even in the early days of these schemes. When in 1935 the United States introduced the scheme, the term "insurance" was retained -by "a stroke of promotional genius"3-simply to make: it more palatable. From the beginning, it had little to do with insurance and has since lost whatever resemblance to insurance it may ever have had. The same is now true of most of those countries which originally started with something more closely akin to insurance. Though a redistribution of incomes was never the avowed initial purpose of the apparatus of social security, it has now become the actual and admitted aim everywhere. 4 </w:t>
      </w:r>
      <w:r w:rsidRPr="00DD2D90">
        <w:rPr>
          <w:rStyle w:val="StyleUnderline"/>
          <w:highlight w:val="green"/>
        </w:rPr>
        <w:t>No system</w:t>
      </w:r>
      <w:r w:rsidRPr="00DD2D90">
        <w:rPr>
          <w:rStyle w:val="StyleUnderline"/>
        </w:rPr>
        <w:t xml:space="preserve"> </w:t>
      </w:r>
      <w:r w:rsidRPr="00DD2D90">
        <w:rPr>
          <w:rStyle w:val="StyleUnderline"/>
          <w:highlight w:val="green"/>
        </w:rPr>
        <w:t>of</w:t>
      </w:r>
      <w:r w:rsidRPr="009C4A5A">
        <w:rPr>
          <w:sz w:val="16"/>
        </w:rPr>
        <w:t xml:space="preserve"> monopolistic </w:t>
      </w:r>
      <w:r w:rsidRPr="00DD2D90">
        <w:rPr>
          <w:rStyle w:val="StyleUnderline"/>
          <w:highlight w:val="green"/>
        </w:rPr>
        <w:t>compulsory insurance</w:t>
      </w:r>
      <w:r w:rsidRPr="00DD2D90">
        <w:rPr>
          <w:rStyle w:val="StyleUnderline"/>
        </w:rPr>
        <w:t xml:space="preserve"> has </w:t>
      </w:r>
      <w:r w:rsidRPr="00DD2D90">
        <w:rPr>
          <w:rStyle w:val="StyleUnderline"/>
          <w:highlight w:val="green"/>
        </w:rPr>
        <w:t>resisted this transformation</w:t>
      </w:r>
      <w:r w:rsidRPr="009C4A5A">
        <w:rPr>
          <w:sz w:val="16"/>
          <w:highlight w:val="green"/>
        </w:rPr>
        <w:t xml:space="preserve"> </w:t>
      </w:r>
      <w:r w:rsidRPr="00DD2D90">
        <w:rPr>
          <w:rStyle w:val="StyleUnderline"/>
          <w:highlight w:val="green"/>
        </w:rPr>
        <w:t>into</w:t>
      </w:r>
      <w:r w:rsidRPr="009C4A5A">
        <w:rPr>
          <w:sz w:val="16"/>
        </w:rPr>
        <w:t xml:space="preserve"> some- thing quite different, an instrument for the </w:t>
      </w:r>
      <w:r w:rsidRPr="00DD2D90">
        <w:rPr>
          <w:rStyle w:val="StyleUnderline"/>
          <w:highlight w:val="green"/>
        </w:rPr>
        <w:t>compulsory redistribu- tion</w:t>
      </w:r>
      <w:r w:rsidRPr="009C4A5A">
        <w:rPr>
          <w:sz w:val="16"/>
        </w:rPr>
        <w:t xml:space="preserve"> of income. The ethics of such a system, in which it is not a majority of givers who determine what should be given to the unfortunate few, but a majority of takers who decide what they will take from a wealthier minority, will occupy us in the ':text chapter. At the moment we are concerned only with the process by which an apparatus originally meant to relieve poverty is gen- erally being turned into a tool of egalitarian redistribution. It is as a means of socializing income, of creating a sort of household , state which allocates benefits in m0!1ey or in kind to those who are thought to be most deserving, that </w:t>
      </w:r>
      <w:r w:rsidRPr="00DD2D90">
        <w:rPr>
          <w:rStyle w:val="StyleUnderline"/>
          <w:highlight w:val="green"/>
        </w:rPr>
        <w:t>the welfare state has</w:t>
      </w:r>
      <w:r w:rsidRPr="009C4A5A">
        <w:rPr>
          <w:sz w:val="16"/>
        </w:rPr>
        <w:t xml:space="preserve"> for many </w:t>
      </w:r>
      <w:r w:rsidRPr="00DD2D90">
        <w:rPr>
          <w:rStyle w:val="StyleUnderline"/>
          <w:highlight w:val="green"/>
        </w:rPr>
        <w:t>become the substitute</w:t>
      </w:r>
      <w:r w:rsidRPr="00DD2D90">
        <w:rPr>
          <w:rStyle w:val="StyleUnderline"/>
        </w:rPr>
        <w:t xml:space="preserve"> </w:t>
      </w:r>
      <w:r w:rsidRPr="00DD2D90">
        <w:rPr>
          <w:rStyle w:val="StyleUnderline"/>
          <w:highlight w:val="green"/>
        </w:rPr>
        <w:t>for</w:t>
      </w:r>
      <w:r w:rsidRPr="009C4A5A">
        <w:rPr>
          <w:sz w:val="16"/>
        </w:rPr>
        <w:t xml:space="preserve"> old-fashioned </w:t>
      </w:r>
      <w:r w:rsidRPr="00DD2D90">
        <w:rPr>
          <w:rStyle w:val="StyleUnderline"/>
          <w:highlight w:val="green"/>
        </w:rPr>
        <w:t>socialism</w:t>
      </w:r>
      <w:r w:rsidRPr="009C4A5A">
        <w:rPr>
          <w:sz w:val="16"/>
        </w:rPr>
        <w:t xml:space="preserve">. Seen as an alternative to the now discredited method of directly steering production, the technique of the welfare state, which attempts to bring about a "just distribution" by handing out income in such proportions and forms as it sees fit, is indeed merely a new method of pursuing the old aims of socialism. The reason why it has come to be so much more widely accepted than the older socialism is that </w:t>
      </w:r>
      <w:r w:rsidRPr="00DD2D90">
        <w:rPr>
          <w:rStyle w:val="StyleUnderline"/>
        </w:rPr>
        <w:t>it was</w:t>
      </w:r>
      <w:r w:rsidRPr="009C4A5A">
        <w:rPr>
          <w:sz w:val="16"/>
        </w:rPr>
        <w:t xml:space="preserve"> at first regularly </w:t>
      </w:r>
      <w:r w:rsidRPr="00DD2D90">
        <w:rPr>
          <w:rStyle w:val="StyleUnderline"/>
        </w:rPr>
        <w:t>presented as though it were no more than</w:t>
      </w:r>
      <w:r w:rsidRPr="009C4A5A">
        <w:rPr>
          <w:sz w:val="16"/>
        </w:rPr>
        <w:t xml:space="preserve"> an efficient method of </w:t>
      </w:r>
      <w:r w:rsidRPr="00DD2D90">
        <w:rPr>
          <w:rStyle w:val="StyleUnderline"/>
        </w:rPr>
        <w:t xml:space="preserve">providing for the </w:t>
      </w:r>
      <w:r w:rsidRPr="009C4A5A">
        <w:rPr>
          <w:sz w:val="16"/>
        </w:rPr>
        <w:t>specially</w:t>
      </w:r>
      <w:r w:rsidRPr="00DD2D90">
        <w:rPr>
          <w:rStyle w:val="StyleUnderline"/>
        </w:rPr>
        <w:t xml:space="preserve"> needy. </w:t>
      </w:r>
      <w:r w:rsidRPr="009C4A5A">
        <w:rPr>
          <w:sz w:val="16"/>
        </w:rPr>
        <w:t xml:space="preserve">But the acceptance of this seemingly reasonable proposal for a welfare organization was then interpreted as a commitment to something very different. It was mainly through decisions that seemed to most people to concern minor technical issues, where the essential distinctions were often deliberately obscured by an assiduous and skilful propaganda, that the transformation was effected. It is essential that we become clearly aware of the line that separates a ,stMe of affairs in which the community accepts the duty of preventing destitution and of providing a minimum level of welfare from that in which it assumes the power to determine the "just" position of everybody and allocates to each what it thinks he deserves. </w:t>
      </w:r>
      <w:r w:rsidRPr="00DD2D90">
        <w:rPr>
          <w:rStyle w:val="StyleUnderline"/>
          <w:highlight w:val="green"/>
        </w:rPr>
        <w:t>Freedom is critically threat</w:t>
      </w:r>
      <w:r w:rsidR="0065740D" w:rsidRPr="00DD2D90">
        <w:rPr>
          <w:rStyle w:val="StyleUnderline"/>
          <w:highlight w:val="green"/>
        </w:rPr>
        <w:t>e</w:t>
      </w:r>
      <w:r w:rsidRPr="00DD2D90">
        <w:rPr>
          <w:rStyle w:val="StyleUnderline"/>
          <w:highlight w:val="green"/>
        </w:rPr>
        <w:t>ned when the government is given exclusive powers to provide</w:t>
      </w:r>
      <w:r w:rsidRPr="009C4A5A">
        <w:rPr>
          <w:sz w:val="16"/>
        </w:rPr>
        <w:t xml:space="preserve"> certain </w:t>
      </w:r>
      <w:r w:rsidRPr="00DD2D90">
        <w:rPr>
          <w:rStyle w:val="StyleUnderline"/>
          <w:highlight w:val="green"/>
        </w:rPr>
        <w:t>services</w:t>
      </w:r>
      <w:r w:rsidRPr="009C4A5A">
        <w:rPr>
          <w:sz w:val="16"/>
        </w:rPr>
        <w:t xml:space="preserve">-powers which, </w:t>
      </w:r>
      <w:r w:rsidRPr="00DD2D90">
        <w:rPr>
          <w:rStyle w:val="StyleUnderline"/>
        </w:rPr>
        <w:t>in order to achieve its purpose</w:t>
      </w:r>
      <w:r w:rsidRPr="009C4A5A">
        <w:rPr>
          <w:sz w:val="16"/>
        </w:rPr>
        <w:t xml:space="preserve">, </w:t>
      </w:r>
      <w:r w:rsidRPr="00DD2D90">
        <w:rPr>
          <w:rStyle w:val="StyleUnderline"/>
          <w:highlight w:val="green"/>
        </w:rPr>
        <w:t>it must use</w:t>
      </w:r>
      <w:r w:rsidRPr="009C4A5A">
        <w:rPr>
          <w:sz w:val="16"/>
        </w:rPr>
        <w:t xml:space="preserve"> for the </w:t>
      </w:r>
      <w:r w:rsidRPr="00DD2D90">
        <w:rPr>
          <w:rStyle w:val="StyleUnderline"/>
          <w:highlight w:val="green"/>
        </w:rPr>
        <w:t xml:space="preserve">discretionary </w:t>
      </w:r>
      <w:r w:rsidRPr="00DD2D90">
        <w:rPr>
          <w:rStyle w:val="Emphasis"/>
          <w:highlight w:val="green"/>
        </w:rPr>
        <w:t>coercion</w:t>
      </w:r>
      <w:r w:rsidRPr="00DD2D90">
        <w:rPr>
          <w:rStyle w:val="StyleUnderline"/>
        </w:rPr>
        <w:t xml:space="preserve"> </w:t>
      </w:r>
      <w:r w:rsidRPr="009C4A5A">
        <w:rPr>
          <w:sz w:val="16"/>
        </w:rPr>
        <w:t>of individuals.6 3. The extreme complexity and consequent incomprehensibility of the social security systems create for democracy a serious prob- lem. I t is hardly an exaggeration to say that; though the develop- ment of the immense social security apparatus has been a chief factor in the transformation of our economy, it is also the least understood. This is seen not only in the persisting belief6 that the indi vidual beneficiary has a moral claim to the services, since he has paid for them, but also in the curious fact that major pieces of social security legislation are sometimes presented to the legislatures in a mt'l.nner which leaves them no choice but to accept or reject them whole and which precludes any modifications by them. 7And it produces the paradox that the same majority of the people whose assumed inability to choose wisely for themselves is made the pretext for administering a large part of their income for them is in its collective capacity called upon to determine by whom the individual incomes are to be spent.s</w:t>
      </w:r>
    </w:p>
    <w:p w14:paraId="231F8752" w14:textId="77777777" w:rsidR="00B0589A" w:rsidRPr="009C4A5A" w:rsidRDefault="00B0589A">
      <w:pPr>
        <w:rPr>
          <w:rFonts w:eastAsiaTheme="majorEastAsia" w:cstheme="majorBidi"/>
          <w:b/>
          <w:iCs/>
          <w:sz w:val="16"/>
        </w:rPr>
      </w:pPr>
      <w:r w:rsidRPr="009C4A5A">
        <w:rPr>
          <w:sz w:val="16"/>
        </w:rPr>
        <w:br w:type="page"/>
      </w:r>
    </w:p>
    <w:p w14:paraId="65D87BAD" w14:textId="3BCB6ED2" w:rsidR="008732A1" w:rsidRPr="009C4A5A" w:rsidRDefault="0028370D" w:rsidP="008732A1">
      <w:pPr>
        <w:pStyle w:val="Heading4"/>
        <w:rPr>
          <w:szCs w:val="26"/>
        </w:rPr>
      </w:pPr>
      <w:r w:rsidRPr="009C4A5A">
        <w:rPr>
          <w:szCs w:val="26"/>
        </w:rPr>
        <w:t xml:space="preserve">Public good provision causes </w:t>
      </w:r>
      <w:r w:rsidR="008732A1" w:rsidRPr="009C4A5A">
        <w:rPr>
          <w:szCs w:val="26"/>
        </w:rPr>
        <w:t>Bureaucratic authoritarianism</w:t>
      </w:r>
      <w:r w:rsidRPr="009C4A5A">
        <w:rPr>
          <w:szCs w:val="26"/>
        </w:rPr>
        <w:t xml:space="preserve"> – insular expert culture, government propaganda, and inability to be regulated by non-experts</w:t>
      </w:r>
    </w:p>
    <w:p w14:paraId="3D0D7E61" w14:textId="3AC0DCB7" w:rsidR="008732A1" w:rsidRPr="00DD2D90" w:rsidRDefault="008732A1" w:rsidP="008732A1">
      <w:r w:rsidRPr="009C4A5A">
        <w:rPr>
          <w:b/>
          <w:bCs/>
          <w:sz w:val="26"/>
          <w:szCs w:val="26"/>
        </w:rPr>
        <w:t>Hayek 60</w:t>
      </w:r>
      <w:r w:rsidRPr="00DD2D90">
        <w:t xml:space="preserve"> [Friedrich A. Hayek, political economy philosopher with a Nobel Prize in economics, 1960, “The Constitution </w:t>
      </w:r>
      <w:proofErr w:type="gramStart"/>
      <w:r w:rsidRPr="00DD2D90">
        <w:t>Of</w:t>
      </w:r>
      <w:proofErr w:type="gramEnd"/>
      <w:r w:rsidRPr="00DD2D90">
        <w:t xml:space="preserve"> Liberty,” University of Chicago Press, https://www.mises.at/static/literatur/Buch/hayek-the-constitution-of-liberty.pdf]/Kankee</w:t>
      </w:r>
    </w:p>
    <w:p w14:paraId="49B6239B" w14:textId="77777777" w:rsidR="008732A1" w:rsidRPr="00DD2D90" w:rsidRDefault="008732A1" w:rsidP="008732A1">
      <w:r w:rsidRPr="00DD2D90">
        <w:t>*OCR errors exist</w:t>
      </w:r>
    </w:p>
    <w:p w14:paraId="6B80DF60" w14:textId="77777777" w:rsidR="008732A1" w:rsidRPr="009C4A5A" w:rsidRDefault="008732A1" w:rsidP="008732A1">
      <w:pPr>
        <w:rPr>
          <w:sz w:val="16"/>
        </w:rPr>
      </w:pPr>
      <w:r w:rsidRPr="009C4A5A">
        <w:rPr>
          <w:sz w:val="16"/>
        </w:rPr>
        <w:t xml:space="preserve">Though a redistribution of incomes was never the avowed initial purpose of the apparatus of social security, it has now become the actual and admitted aim everywhere. 4 No system of monopolistic compulsory insurance has resisted this transformation into some- thing quite different, an instrument for the compulsory redistribu- tion of income. The ethics of such a system, in which it is not a majority of givers who determine what should be given to the unfortunate few, but a majority of takers who decide what they will take from a wealthier minority, will occupy us in the ':text chapter. At the moment we are concerned only with the process by which an apparatus originally meant to relieve poverty is gen- erally being turned into a tool of egalitarian redistribution. It is as a means of socializing income, of creating a sort of household , state which allocates benefits in m0!1ey or in kind to those who are thought to be most deserving, that the welfare state has for many become the substitute for old-fashioned socialism. Seen as an alternative to the now discredited method of directly steering production, the technique of the welfare state, which attempts to bring about a "just distribution" by handing out income in such proportions and forms as it sees fit, is indeed merely a new method of pursuing the old aims of socialism. The reason why it has come to be so much more widely accepted than the older socialism is that it was at first regularly presented as though it were no more than an efficient method of providing for the specially needy. But the acceptance of this seemingly reasonable proposal for a welfare organization was then interpreted as a commitment to something very different. It was mainly through decisions that seemed to most people to concern minor technical issues, where the essential distinctions were often deliberately obscured by an assiduous and skilful propaganda, that the transformation was effected. It is essential that we become clearly aware of the line that separates a ,stMe of affairs in which the community accepts the duty of preventing destitution and of providing a minimum level of welfare from that in which it assumes the power to determine the "just" position of everybody and allocates to each what it thinks he deserves. Freedom is critically threat~ned when the government is given exclusive powers to provide certain services-powers which, in order to achieve its purpose, it must use for the discretionary coercion of individuals.6 3. </w:t>
      </w:r>
      <w:r w:rsidRPr="00DD2D90">
        <w:rPr>
          <w:rStyle w:val="StyleUnderline"/>
        </w:rPr>
        <w:t xml:space="preserve">The extreme </w:t>
      </w:r>
      <w:r w:rsidRPr="00DD2D90">
        <w:rPr>
          <w:rStyle w:val="Emphasis"/>
          <w:highlight w:val="green"/>
        </w:rPr>
        <w:t>complexity</w:t>
      </w:r>
      <w:r w:rsidRPr="00DD2D90">
        <w:rPr>
          <w:rStyle w:val="StyleUnderline"/>
          <w:highlight w:val="green"/>
        </w:rPr>
        <w:t xml:space="preserve"> and</w:t>
      </w:r>
      <w:r w:rsidRPr="009C4A5A">
        <w:rPr>
          <w:sz w:val="16"/>
        </w:rPr>
        <w:t xml:space="preserve"> consequent </w:t>
      </w:r>
      <w:r w:rsidRPr="00DD2D90">
        <w:rPr>
          <w:rStyle w:val="Emphasis"/>
          <w:highlight w:val="green"/>
        </w:rPr>
        <w:t>incomprehensibility</w:t>
      </w:r>
      <w:r w:rsidRPr="009C4A5A">
        <w:rPr>
          <w:sz w:val="16"/>
        </w:rPr>
        <w:t xml:space="preserve"> </w:t>
      </w:r>
      <w:r w:rsidRPr="00DD2D90">
        <w:rPr>
          <w:rStyle w:val="StyleUnderline"/>
        </w:rPr>
        <w:t>of the social</w:t>
      </w:r>
      <w:r w:rsidRPr="009C4A5A">
        <w:rPr>
          <w:sz w:val="16"/>
        </w:rPr>
        <w:t xml:space="preserve"> security </w:t>
      </w:r>
      <w:r w:rsidRPr="00DD2D90">
        <w:rPr>
          <w:rStyle w:val="StyleUnderline"/>
        </w:rPr>
        <w:t xml:space="preserve">systems </w:t>
      </w:r>
      <w:r w:rsidRPr="00DD2D90">
        <w:rPr>
          <w:rStyle w:val="StyleUnderline"/>
          <w:highlight w:val="green"/>
        </w:rPr>
        <w:t xml:space="preserve">create for democracy a </w:t>
      </w:r>
      <w:r w:rsidRPr="00DD2D90">
        <w:rPr>
          <w:rStyle w:val="Emphasis"/>
          <w:highlight w:val="green"/>
        </w:rPr>
        <w:t>serious prob- lem</w:t>
      </w:r>
      <w:r w:rsidRPr="009C4A5A">
        <w:rPr>
          <w:sz w:val="16"/>
        </w:rPr>
        <w:t xml:space="preserve">. It is hardly an exaggeration to say that; though the develop- ment of the immense social security apparatus has been a chief factor in the transformation of our economy, </w:t>
      </w:r>
      <w:r w:rsidRPr="00DD2D90">
        <w:rPr>
          <w:rStyle w:val="StyleUnderline"/>
        </w:rPr>
        <w:t>it is</w:t>
      </w:r>
      <w:r w:rsidRPr="009C4A5A">
        <w:rPr>
          <w:sz w:val="16"/>
        </w:rPr>
        <w:t xml:space="preserve"> also </w:t>
      </w:r>
      <w:r w:rsidRPr="00DD2D90">
        <w:rPr>
          <w:rStyle w:val="StyleUnderline"/>
        </w:rPr>
        <w:t>the least understood</w:t>
      </w:r>
      <w:r w:rsidRPr="009C4A5A">
        <w:rPr>
          <w:sz w:val="16"/>
        </w:rPr>
        <w:t xml:space="preserve">. This is seen not only in the persisting belief6 that the indi vidual beneficiary has a moral claim to the services, since he has paid for them, but also in the curious fact that major pieces of social security legislation are sometimes presented </w:t>
      </w:r>
      <w:r w:rsidRPr="00DD2D90">
        <w:rPr>
          <w:rStyle w:val="StyleUnderline"/>
        </w:rPr>
        <w:t>to</w:t>
      </w:r>
      <w:r w:rsidRPr="009C4A5A">
        <w:rPr>
          <w:sz w:val="16"/>
        </w:rPr>
        <w:t xml:space="preserve"> the </w:t>
      </w:r>
      <w:r w:rsidRPr="00DD2D90">
        <w:rPr>
          <w:rStyle w:val="StyleUnderline"/>
          <w:highlight w:val="green"/>
        </w:rPr>
        <w:t>legislatures</w:t>
      </w:r>
      <w:r w:rsidRPr="009C4A5A">
        <w:rPr>
          <w:sz w:val="16"/>
        </w:rPr>
        <w:t xml:space="preserve"> in a mt'l.nner </w:t>
      </w:r>
      <w:r w:rsidRPr="00DD2D90">
        <w:rPr>
          <w:rStyle w:val="StyleUnderline"/>
        </w:rPr>
        <w:t xml:space="preserve">which </w:t>
      </w:r>
      <w:r w:rsidRPr="00DD2D90">
        <w:rPr>
          <w:rStyle w:val="StyleUnderline"/>
          <w:highlight w:val="green"/>
        </w:rPr>
        <w:t>leaves them no choice but to accept or reject them whole and which precludes</w:t>
      </w:r>
      <w:r w:rsidRPr="00DD2D90">
        <w:rPr>
          <w:rStyle w:val="StyleUnderline"/>
        </w:rPr>
        <w:t xml:space="preserve"> </w:t>
      </w:r>
      <w:r w:rsidRPr="009C4A5A">
        <w:rPr>
          <w:sz w:val="16"/>
        </w:rPr>
        <w:t>any</w:t>
      </w:r>
      <w:r w:rsidRPr="00DD2D90">
        <w:rPr>
          <w:rStyle w:val="StyleUnderline"/>
        </w:rPr>
        <w:t xml:space="preserve"> </w:t>
      </w:r>
      <w:r w:rsidRPr="00DD2D90">
        <w:rPr>
          <w:rStyle w:val="StyleUnderline"/>
          <w:highlight w:val="green"/>
        </w:rPr>
        <w:t>modifications</w:t>
      </w:r>
      <w:r w:rsidRPr="009C4A5A">
        <w:rPr>
          <w:sz w:val="16"/>
        </w:rPr>
        <w:t xml:space="preserve"> by them. 7And </w:t>
      </w:r>
      <w:r w:rsidRPr="00DD2D90">
        <w:rPr>
          <w:rStyle w:val="StyleUnderline"/>
        </w:rPr>
        <w:t xml:space="preserve">it produces the </w:t>
      </w:r>
      <w:r w:rsidRPr="00DD2D90">
        <w:rPr>
          <w:rStyle w:val="Emphasis"/>
        </w:rPr>
        <w:t>paradox</w:t>
      </w:r>
      <w:r w:rsidRPr="009C4A5A">
        <w:rPr>
          <w:sz w:val="16"/>
        </w:rPr>
        <w:t xml:space="preserve"> </w:t>
      </w:r>
      <w:r w:rsidRPr="00DD2D90">
        <w:rPr>
          <w:rStyle w:val="StyleUnderline"/>
        </w:rPr>
        <w:t>that the</w:t>
      </w:r>
      <w:r w:rsidRPr="009C4A5A">
        <w:rPr>
          <w:sz w:val="16"/>
        </w:rPr>
        <w:t xml:space="preserve"> same majority of the </w:t>
      </w:r>
      <w:r w:rsidRPr="00DD2D90">
        <w:rPr>
          <w:rStyle w:val="StyleUnderline"/>
        </w:rPr>
        <w:t>people</w:t>
      </w:r>
      <w:r w:rsidRPr="009C4A5A">
        <w:rPr>
          <w:sz w:val="16"/>
        </w:rPr>
        <w:t xml:space="preserve"> </w:t>
      </w:r>
      <w:r w:rsidRPr="00DD2D90">
        <w:rPr>
          <w:rStyle w:val="StyleUnderline"/>
        </w:rPr>
        <w:t>whose assumed inability to choose wisely for themselves is made the pretext for administering</w:t>
      </w:r>
      <w:r w:rsidRPr="009C4A5A">
        <w:rPr>
          <w:sz w:val="16"/>
        </w:rPr>
        <w:t xml:space="preserve"> a large part of </w:t>
      </w:r>
      <w:r w:rsidRPr="00DD2D90">
        <w:rPr>
          <w:rStyle w:val="StyleUnderline"/>
        </w:rPr>
        <w:t>their income for them is in its collective capacity called upon to determine by whom the individual incomes are to be spent</w:t>
      </w:r>
      <w:r w:rsidRPr="009C4A5A">
        <w:rPr>
          <w:sz w:val="16"/>
        </w:rPr>
        <w:t xml:space="preserve">.s It is not only the lay members of the general public, however, to whom the intricacies of social security are largely a mystery. </w:t>
      </w:r>
      <w:r w:rsidRPr="00DD2D90">
        <w:rPr>
          <w:rStyle w:val="StyleUnderline"/>
        </w:rPr>
        <w:t>The ordinary economist or sociologist or lawyer is today nearly as ignorant of the details of that complex and ever changing sys- , tem</w:t>
      </w:r>
      <w:r w:rsidRPr="009C4A5A">
        <w:rPr>
          <w:sz w:val="16"/>
        </w:rPr>
        <w:t xml:space="preserve">. As a result, </w:t>
      </w:r>
      <w:r w:rsidRPr="00DD2D90">
        <w:rPr>
          <w:rStyle w:val="StyleUnderline"/>
          <w:highlight w:val="green"/>
        </w:rPr>
        <w:t xml:space="preserve">the expert has come to </w:t>
      </w:r>
      <w:r w:rsidRPr="00DD2D90">
        <w:rPr>
          <w:rStyle w:val="Emphasis"/>
          <w:highlight w:val="green"/>
        </w:rPr>
        <w:t>dominate</w:t>
      </w:r>
      <w:r w:rsidRPr="009C4A5A">
        <w:rPr>
          <w:sz w:val="16"/>
        </w:rPr>
        <w:t xml:space="preserve"> in this field as in others. The new kind of expert, whom we also find in such fields as labor, agriculture, housing, and education, is an expert in a particu- lar institutional setup. The organizations we have created in these fields have grown so complex that it takes more or less the whole of a person's time to master them. The institutional expert is not necessarily a person who knows all that is needed to enable him to judge the value of the institution, but frequently he is the only one who understands its organization fully and who therefore is indispensable. The reasons why he has become interested in and approves of the particular institution have often little to do with any expert qualifications. But, almost invariably, </w:t>
      </w:r>
      <w:r w:rsidRPr="00DD2D90">
        <w:rPr>
          <w:rStyle w:val="StyleUnderline"/>
        </w:rPr>
        <w:t>this</w:t>
      </w:r>
      <w:r w:rsidRPr="009C4A5A">
        <w:rPr>
          <w:sz w:val="16"/>
        </w:rPr>
        <w:t xml:space="preserve"> new kind of </w:t>
      </w:r>
      <w:r w:rsidRPr="00DD2D90">
        <w:rPr>
          <w:rStyle w:val="StyleUnderline"/>
        </w:rPr>
        <w:t>expert</w:t>
      </w:r>
      <w:r w:rsidRPr="009C4A5A">
        <w:rPr>
          <w:sz w:val="16"/>
        </w:rPr>
        <w:t xml:space="preserve"> has one distinguishing characteristic: he </w:t>
      </w:r>
      <w:r w:rsidRPr="00DD2D90">
        <w:rPr>
          <w:rStyle w:val="StyleUnderline"/>
        </w:rPr>
        <w:t>is unhesitatingly in favor of the institutions on which he is expert</w:t>
      </w:r>
      <w:r w:rsidRPr="009C4A5A">
        <w:rPr>
          <w:sz w:val="16"/>
        </w:rPr>
        <w:t xml:space="preserve">. This is so not merely because only one who approves of the aims of the institu- tion will have the interest and the patience to master the details, but even more because such an effort would hardly be worth the while of anybody else: </w:t>
      </w:r>
      <w:r w:rsidRPr="00DD2D90">
        <w:rPr>
          <w:rStyle w:val="StyleUnderline"/>
          <w:highlight w:val="green"/>
        </w:rPr>
        <w:t>the views of anybody</w:t>
      </w:r>
      <w:r w:rsidRPr="00DD2D90">
        <w:rPr>
          <w:rStyle w:val="StyleUnderline"/>
        </w:rPr>
        <w:t xml:space="preserve"> who is </w:t>
      </w:r>
      <w:r w:rsidRPr="00DD2D90">
        <w:rPr>
          <w:rStyle w:val="StyleUnderline"/>
          <w:highlight w:val="green"/>
        </w:rPr>
        <w:t>not prepared to accept the principles of the</w:t>
      </w:r>
      <w:r w:rsidRPr="00DD2D90">
        <w:rPr>
          <w:rStyle w:val="StyleUnderline"/>
        </w:rPr>
        <w:t xml:space="preserve"> existing </w:t>
      </w:r>
      <w:r w:rsidRPr="00DD2D90">
        <w:rPr>
          <w:rStyle w:val="StyleUnderline"/>
          <w:highlight w:val="green"/>
        </w:rPr>
        <w:t>institutions</w:t>
      </w:r>
      <w:r w:rsidRPr="00DD2D90">
        <w:rPr>
          <w:rStyle w:val="StyleUnderline"/>
        </w:rPr>
        <w:t xml:space="preserve"> </w:t>
      </w:r>
      <w:r w:rsidRPr="00DD2D90">
        <w:rPr>
          <w:rStyle w:val="StyleUnderline"/>
          <w:highlight w:val="green"/>
        </w:rPr>
        <w:t>are not likely to be taken seriously and will carry no weight</w:t>
      </w:r>
      <w:r w:rsidRPr="009C4A5A">
        <w:rPr>
          <w:sz w:val="16"/>
        </w:rPr>
        <w:t xml:space="preserve"> in the discussions determining current policy. 9 I t is a fact of considerable importance that, as a result of this development, in more and more fields of policy nearly all the recog- nized "experts" are, almost by definition, persons who are in favor of the principles underlying the policy. </w:t>
      </w:r>
      <w:r w:rsidRPr="00DD2D90">
        <w:rPr>
          <w:rStyle w:val="StyleUnderline"/>
        </w:rPr>
        <w:t>This</w:t>
      </w:r>
      <w:r w:rsidRPr="009C4A5A">
        <w:rPr>
          <w:sz w:val="16"/>
        </w:rPr>
        <w:t xml:space="preserve"> is indeed one of the factors which tend to </w:t>
      </w:r>
      <w:r w:rsidRPr="00DD2D90">
        <w:rPr>
          <w:rStyle w:val="StyleUnderline"/>
        </w:rPr>
        <w:t>make</w:t>
      </w:r>
      <w:r w:rsidRPr="009C4A5A">
        <w:rPr>
          <w:sz w:val="16"/>
        </w:rPr>
        <w:t xml:space="preserve"> so many contemporary </w:t>
      </w:r>
      <w:r w:rsidRPr="00DD2D90">
        <w:rPr>
          <w:rStyle w:val="StyleUnderline"/>
        </w:rPr>
        <w:t>developments</w:t>
      </w:r>
      <w:r w:rsidRPr="009C4A5A">
        <w:rPr>
          <w:sz w:val="16"/>
        </w:rPr>
        <w:t xml:space="preserve"> </w:t>
      </w:r>
      <w:r w:rsidRPr="00DD2D90">
        <w:rPr>
          <w:rStyle w:val="Emphasis"/>
        </w:rPr>
        <w:t>self-accelerating</w:t>
      </w:r>
      <w:r w:rsidRPr="009C4A5A">
        <w:rPr>
          <w:sz w:val="16"/>
        </w:rPr>
        <w:t>. The politician who, in recommending some fur- ther development of current policies, claims that "</w:t>
      </w:r>
      <w:r w:rsidRPr="00DD2D90">
        <w:rPr>
          <w:rStyle w:val="StyleUnderline"/>
        </w:rPr>
        <w:t>all</w:t>
      </w:r>
      <w:r w:rsidRPr="009C4A5A">
        <w:rPr>
          <w:sz w:val="16"/>
        </w:rPr>
        <w:t xml:space="preserve"> the </w:t>
      </w:r>
      <w:r w:rsidRPr="00DD2D90">
        <w:rPr>
          <w:rStyle w:val="StyleUnderline"/>
          <w:highlight w:val="green"/>
        </w:rPr>
        <w:t>experts</w:t>
      </w:r>
      <w:r w:rsidRPr="009C4A5A">
        <w:rPr>
          <w:sz w:val="16"/>
          <w:highlight w:val="green"/>
        </w:rPr>
        <w:t xml:space="preserve"> </w:t>
      </w:r>
      <w:r w:rsidRPr="00DD2D90">
        <w:rPr>
          <w:rStyle w:val="StyleUnderline"/>
          <w:highlight w:val="green"/>
        </w:rPr>
        <w:t>favor it</w:t>
      </w:r>
      <w:r w:rsidRPr="009C4A5A">
        <w:rPr>
          <w:sz w:val="16"/>
        </w:rPr>
        <w:t xml:space="preserve">," is often perfectly honest, </w:t>
      </w:r>
      <w:r w:rsidRPr="00DD2D90">
        <w:rPr>
          <w:rStyle w:val="StyleUnderline"/>
          <w:highlight w:val="green"/>
        </w:rPr>
        <w:t>because</w:t>
      </w:r>
      <w:r w:rsidRPr="009C4A5A">
        <w:rPr>
          <w:sz w:val="16"/>
          <w:highlight w:val="green"/>
        </w:rPr>
        <w:t xml:space="preserve"> </w:t>
      </w:r>
      <w:r w:rsidRPr="00DD2D90">
        <w:rPr>
          <w:rStyle w:val="StyleUnderline"/>
          <w:highlight w:val="green"/>
        </w:rPr>
        <w:t>only those who favor the development have become experts</w:t>
      </w:r>
      <w:r w:rsidRPr="00DD2D90">
        <w:rPr>
          <w:rStyle w:val="StyleUnderline"/>
        </w:rPr>
        <w:t xml:space="preserve"> in this institutional sense</w:t>
      </w:r>
      <w:r w:rsidRPr="009C4A5A">
        <w:rPr>
          <w:sz w:val="16"/>
        </w:rPr>
        <w:t xml:space="preserve">, </w:t>
      </w:r>
      <w:r w:rsidRPr="00DD2D90">
        <w:rPr>
          <w:rStyle w:val="StyleUnderline"/>
        </w:rPr>
        <w:t>and the uncommitted economists</w:t>
      </w:r>
      <w:r w:rsidRPr="009C4A5A">
        <w:rPr>
          <w:sz w:val="16"/>
        </w:rPr>
        <w:t xml:space="preserve"> or lawyers </w:t>
      </w:r>
      <w:r w:rsidRPr="00DD2D90">
        <w:rPr>
          <w:rStyle w:val="StyleUnderline"/>
        </w:rPr>
        <w:t xml:space="preserve">who oppose </w:t>
      </w:r>
      <w:r w:rsidRPr="009C4A5A">
        <w:rPr>
          <w:sz w:val="16"/>
        </w:rPr>
        <w:t xml:space="preserve">. </w:t>
      </w:r>
      <w:r w:rsidRPr="00DD2D90">
        <w:rPr>
          <w:rStyle w:val="StyleUnderline"/>
        </w:rPr>
        <w:t>are not counted as experts</w:t>
      </w:r>
      <w:r w:rsidRPr="009C4A5A">
        <w:rPr>
          <w:sz w:val="16"/>
        </w:rPr>
        <w:t xml:space="preserve">. Once the apparatus is established, its future development will be shaped by what those who have chosen to serve it regard as its needs. 10 , 4. It is something of a paradox that the state should today . advance its claims for the superiority of the exclusive single-track development by -authority in a field that illustrates perhaps more clearly than any other how new institutions emerge not from design but by a gradual evolutionary process. Our modern con- ception of providing against risks by insurance is not the result of anyone's ever having seen the need. and devising a rational solution. We are so familiar with the operation of insurance that we are likely to imagine that any intelligent man, after a little reflection, would rapidly discover its principles. In fact, the way in which insurance has evolved is the most telling commentary on the presumption of those who want to confine future evolution to a single channel enforced by authority. It has been well said that 'Ino man ever aimed at creating marine insurance as social insurance was later created" and that we owe our present tech- niques to a gradual growth in which the successive steps due to "the uncounted contributions of anonymous or historical individ- uals have in the end ~reated a work of such perfection that in comparison with the whole all the clever conceptions due to single creative intelligences must seem very primitive."ll </w:t>
      </w:r>
      <w:r w:rsidRPr="00DD2D90">
        <w:rPr>
          <w:rStyle w:val="StyleUnderline"/>
        </w:rPr>
        <w:t>Are we</w:t>
      </w:r>
      <w:r w:rsidRPr="009C4A5A">
        <w:rPr>
          <w:sz w:val="16"/>
        </w:rPr>
        <w:t xml:space="preserve"> really </w:t>
      </w:r>
      <w:r w:rsidRPr="00DD2D90">
        <w:rPr>
          <w:rStyle w:val="StyleUnderline"/>
        </w:rPr>
        <w:t>so confident that we have achieved the end of all wisdom that</w:t>
      </w:r>
      <w:r w:rsidRPr="009C4A5A">
        <w:rPr>
          <w:sz w:val="16"/>
        </w:rPr>
        <w:t xml:space="preserve">, in ·order to reach more quickly certain now visible goals, </w:t>
      </w:r>
      <w:r w:rsidRPr="00DD2D90">
        <w:rPr>
          <w:rStyle w:val="StyleUnderline"/>
        </w:rPr>
        <w:t>we can</w:t>
      </w:r>
      <w:r w:rsidRPr="009C4A5A">
        <w:rPr>
          <w:sz w:val="16"/>
        </w:rPr>
        <w:t xml:space="preserve"> afford to </w:t>
      </w:r>
      <w:r w:rsidRPr="00DD2D90">
        <w:rPr>
          <w:rStyle w:val="StyleUnderline"/>
        </w:rPr>
        <w:t>dispense with the</w:t>
      </w:r>
      <w:r w:rsidRPr="009C4A5A">
        <w:rPr>
          <w:sz w:val="16"/>
        </w:rPr>
        <w:t xml:space="preserve"> </w:t>
      </w:r>
      <w:r w:rsidRPr="00DD2D90">
        <w:rPr>
          <w:rStyle w:val="StyleUnderline"/>
        </w:rPr>
        <w:t>assistance</w:t>
      </w:r>
      <w:r w:rsidRPr="009C4A5A">
        <w:rPr>
          <w:sz w:val="16"/>
        </w:rPr>
        <w:t xml:space="preserve"> which </w:t>
      </w:r>
      <w:r w:rsidRPr="00DD2D90">
        <w:rPr>
          <w:rStyle w:val="StyleUnderline"/>
        </w:rPr>
        <w:t>we received</w:t>
      </w:r>
      <w:r w:rsidRPr="009C4A5A">
        <w:rPr>
          <w:sz w:val="16"/>
        </w:rPr>
        <w:t xml:space="preserve"> in the past </w:t>
      </w:r>
      <w:r w:rsidRPr="00DD2D90">
        <w:rPr>
          <w:rStyle w:val="StyleUnderline"/>
        </w:rPr>
        <w:t>from unplanned development and</w:t>
      </w:r>
      <w:r w:rsidRPr="009C4A5A">
        <w:rPr>
          <w:sz w:val="16"/>
        </w:rPr>
        <w:t xml:space="preserve"> from our </w:t>
      </w:r>
      <w:r w:rsidRPr="00DD2D90">
        <w:rPr>
          <w:rStyle w:val="StyleUnderline"/>
        </w:rPr>
        <w:t>gradual adaptation</w:t>
      </w:r>
      <w:r w:rsidRPr="009C4A5A">
        <w:rPr>
          <w:sz w:val="16"/>
        </w:rPr>
        <w:t xml:space="preserve"> of old arrangements to new purposes? Significantly enough, in the two main fields which </w:t>
      </w:r>
      <w:r w:rsidRPr="00DD2D90">
        <w:rPr>
          <w:rStyle w:val="StyleUnderline"/>
        </w:rPr>
        <w:t>the state threatens to monopolize-the provision for</w:t>
      </w:r>
      <w:r w:rsidRPr="009C4A5A">
        <w:rPr>
          <w:sz w:val="16"/>
        </w:rPr>
        <w:t xml:space="preserve"> old age and for </w:t>
      </w:r>
      <w:r w:rsidRPr="00DD2D90">
        <w:rPr>
          <w:rStyle w:val="Emphasis"/>
        </w:rPr>
        <w:t>medical care</w:t>
      </w:r>
      <w:r w:rsidRPr="009C4A5A">
        <w:rPr>
          <w:sz w:val="16"/>
        </w:rPr>
        <w:t xml:space="preserve">-we are witnessing the most rapid spoQtaneous growth of new methods wherever the state has not yet taken complete control, a variety of experiments which are almost certain to produce new answers to current needs, answers which no advance planning can contemplate. 12 Is it really likely, then, that in the long run we shall be better off under state monopoly? </w:t>
      </w:r>
      <w:r w:rsidRPr="00DD2D90">
        <w:rPr>
          <w:rStyle w:val="StyleUnderline"/>
        </w:rPr>
        <w:t xml:space="preserve">To make </w:t>
      </w:r>
      <w:r w:rsidRPr="009C4A5A">
        <w:rPr>
          <w:sz w:val="16"/>
        </w:rPr>
        <w:t xml:space="preserve">the best </w:t>
      </w:r>
      <w:r w:rsidRPr="00DD2D90">
        <w:rPr>
          <w:rStyle w:val="StyleUnderline"/>
        </w:rPr>
        <w:t xml:space="preserve">available knowledge </w:t>
      </w:r>
      <w:r w:rsidRPr="009C4A5A">
        <w:rPr>
          <w:sz w:val="16"/>
        </w:rPr>
        <w:t>at any given moment</w:t>
      </w:r>
      <w:r w:rsidRPr="00DD2D90">
        <w:rPr>
          <w:rStyle w:val="StyleUnderline"/>
        </w:rPr>
        <w:t xml:space="preserve"> the compulsory standard for all future endeavor may </w:t>
      </w:r>
      <w:r w:rsidRPr="009C4A5A">
        <w:rPr>
          <w:sz w:val="16"/>
        </w:rPr>
        <w:t xml:space="preserve">well be the most certain way to </w:t>
      </w:r>
      <w:r w:rsidRPr="00DD2D90">
        <w:rPr>
          <w:rStyle w:val="StyleUnderline"/>
        </w:rPr>
        <w:t>prevent new knowledge from emerging</w:t>
      </w:r>
      <w:r w:rsidRPr="009C4A5A">
        <w:rPr>
          <w:sz w:val="16"/>
        </w:rPr>
        <w:t xml:space="preserve">. 5. We have seen how the practice of providing out of the public purse for those in great want, in combination with that of compel- ling people to provide against these wants so that they should not become a burden on the rest, have in the end produced almost everywhere a third and different systern, 11nder which people in certain circumstances, such as sickness or old age, are provided for, irrespective of want and irrespective of whether or not they have made provisions for themselves. 1S Under this system all are provided with that standard of welfare which it is thought they, should enjoy, irrespective of what they can do for themselves, what personal contributions they have made, or what further contribution they are still capable of making. The transition to this third system has generally been effected by first supplementing out of public funds what was obtained through compulsory, insurance and then giving to the people as a matter of right what they have only to a small extent paid for. Making these compulsory income transfers a legal right cannot, of course, alter the fact that they can be justified only on the score of special need and that they are therefore still charity. But this character is usually disguised by giving this right to all or nearly all and simply taking Otlt of the pockets of those who are better off a multiple of what they receive. The alleged aversion of the majority to receiving anything they know they have not earned and is given only in consideration of personal need, and their dislike of a "means test," have been made the pretext of so wrap- ping up the whole arrangement that </w:t>
      </w:r>
      <w:r w:rsidRPr="00DD2D90">
        <w:rPr>
          <w:rStyle w:val="StyleUnderline"/>
          <w:highlight w:val="green"/>
        </w:rPr>
        <w:t>the individual can no longer know what he has</w:t>
      </w:r>
      <w:r w:rsidRPr="00DD2D90">
        <w:rPr>
          <w:rStyle w:val="StyleUnderline"/>
        </w:rPr>
        <w:t xml:space="preserve"> and what he has not </w:t>
      </w:r>
      <w:r w:rsidRPr="00DD2D90">
        <w:rPr>
          <w:rStyle w:val="StyleUnderline"/>
          <w:highlight w:val="green"/>
        </w:rPr>
        <w:t>paid for</w:t>
      </w:r>
      <w:r w:rsidRPr="009C4A5A">
        <w:rPr>
          <w:sz w:val="16"/>
        </w:rPr>
        <w:t xml:space="preserve">. 14 </w:t>
      </w:r>
      <w:r w:rsidRPr="00DD2D90">
        <w:rPr>
          <w:rStyle w:val="StyleUnderline"/>
          <w:highlight w:val="green"/>
        </w:rPr>
        <w:t>This is</w:t>
      </w:r>
      <w:r w:rsidRPr="009C4A5A">
        <w:rPr>
          <w:sz w:val="16"/>
        </w:rPr>
        <w:t xml:space="preserve"> all part of </w:t>
      </w:r>
      <w:r w:rsidRPr="00DD2D90">
        <w:rPr>
          <w:rStyle w:val="StyleUnderline"/>
          <w:highlight w:val="green"/>
        </w:rPr>
        <w:t xml:space="preserve">the endeavor to persuade public opinion, through </w:t>
      </w:r>
      <w:r w:rsidRPr="00DD2D90">
        <w:rPr>
          <w:rStyle w:val="Emphasis"/>
          <w:highlight w:val="green"/>
        </w:rPr>
        <w:t>conceal- ment</w:t>
      </w:r>
      <w:r w:rsidRPr="009C4A5A">
        <w:rPr>
          <w:sz w:val="16"/>
        </w:rPr>
        <w:t xml:space="preserve">, </w:t>
      </w:r>
      <w:r w:rsidRPr="00DD2D90">
        <w:rPr>
          <w:rStyle w:val="StyleUnderline"/>
          <w:highlight w:val="green"/>
        </w:rPr>
        <w:t>to accept</w:t>
      </w:r>
      <w:r w:rsidRPr="00DD2D90">
        <w:rPr>
          <w:rStyle w:val="StyleUnderline"/>
        </w:rPr>
        <w:t xml:space="preserve"> a new method of </w:t>
      </w:r>
      <w:r w:rsidRPr="009C4A5A">
        <w:rPr>
          <w:sz w:val="16"/>
        </w:rPr>
        <w:t xml:space="preserve">income distribution, which the managers of the new machine seem from the beginning to have regarded as a merely transitional half-measure which must be developed into an apparatus expressly aimed at </w:t>
      </w:r>
      <w:r w:rsidRPr="00DD2D90">
        <w:rPr>
          <w:rStyle w:val="StyleUnderline"/>
          <w:highlight w:val="green"/>
        </w:rPr>
        <w:t>redistribution</w:t>
      </w:r>
      <w:r w:rsidRPr="009C4A5A">
        <w:rPr>
          <w:sz w:val="16"/>
        </w:rPr>
        <w:t xml:space="preserve">. 15 This development can be prevented only if, from the outset, the distinction is clearly made between benefits for which the recipient has fully paid, to which he has therefore a moral as well as a legal right) and those based on need and therefore dependent on proof of need. In this connection we must note still another peculiarity of the unitary state machine of social security: </w:t>
      </w:r>
      <w:r w:rsidRPr="00DD2D90">
        <w:rPr>
          <w:rStyle w:val="StyleUnderline"/>
          <w:highlight w:val="green"/>
        </w:rPr>
        <w:t>its power to use funds raised by compulsory means to make propaganda for an extension of this compulsory system</w:t>
      </w:r>
      <w:r w:rsidRPr="009C4A5A">
        <w:rPr>
          <w:sz w:val="16"/>
        </w:rPr>
        <w:t xml:space="preserve">. </w:t>
      </w:r>
      <w:r w:rsidRPr="00DD2D90">
        <w:rPr>
          <w:rStyle w:val="StyleUnderline"/>
        </w:rPr>
        <w:t>The</w:t>
      </w:r>
      <w:r w:rsidRPr="009C4A5A">
        <w:rPr>
          <w:sz w:val="16"/>
        </w:rPr>
        <w:t xml:space="preserve"> fundamental absurdity of a </w:t>
      </w:r>
      <w:r w:rsidRPr="00DD2D90">
        <w:rPr>
          <w:rStyle w:val="StyleUnderline"/>
        </w:rPr>
        <w:t>majority</w:t>
      </w:r>
      <w:r w:rsidRPr="009C4A5A">
        <w:rPr>
          <w:sz w:val="16"/>
        </w:rPr>
        <w:t xml:space="preserve"> </w:t>
      </w:r>
      <w:r w:rsidRPr="00DD2D90">
        <w:rPr>
          <w:rStyle w:val="StyleUnderline"/>
        </w:rPr>
        <w:t>tax</w:t>
      </w:r>
      <w:r w:rsidRPr="009C4A5A">
        <w:rPr>
          <w:sz w:val="16"/>
        </w:rPr>
        <w:t xml:space="preserve">ing </w:t>
      </w:r>
      <w:r w:rsidRPr="00DD2D90">
        <w:rPr>
          <w:rStyle w:val="StyleUnderline"/>
        </w:rPr>
        <w:t>itself</w:t>
      </w:r>
      <w:r w:rsidRPr="009C4A5A">
        <w:rPr>
          <w:sz w:val="16"/>
        </w:rPr>
        <w:t xml:space="preserve"> in order </w:t>
      </w:r>
      <w:r w:rsidRPr="00DD2D90">
        <w:rPr>
          <w:rStyle w:val="StyleUnderline"/>
        </w:rPr>
        <w:t>to maintain a· propaganda organization aimed at persuading the same majority to go further than it is yet willing</w:t>
      </w:r>
      <w:r w:rsidRPr="009C4A5A">
        <w:rPr>
          <w:sz w:val="16"/>
        </w:rPr>
        <w:t xml:space="preserve"> should be obvious. Although, at least in the United States, the employment by public agencies of "public 'relations" techniques that are legitimate enough in private business . has come to be widely accepted, the propriety of such agencies in a democracy spending public funds on publicity in favor of extending their activities Jnust remain questionable. And in no other field has this become so general a phenomenon, 'on both a national and an international scale, as in that of social security. It amounts to nothing less than a group of </w:t>
      </w:r>
      <w:r w:rsidRPr="00DD2D90">
        <w:rPr>
          <w:rStyle w:val="StyleUnderline"/>
        </w:rPr>
        <w:t>specialists</w:t>
      </w:r>
      <w:r w:rsidRPr="009C4A5A">
        <w:rPr>
          <w:sz w:val="16"/>
        </w:rPr>
        <w:t xml:space="preserve"> interested in a particular development being allowed to </w:t>
      </w:r>
      <w:r w:rsidRPr="00DD2D90">
        <w:rPr>
          <w:rStyle w:val="StyleUnderline"/>
        </w:rPr>
        <w:t>use public funds for the purpose of manipulating public opinion in its favor</w:t>
      </w:r>
      <w:r w:rsidRPr="009C4A5A">
        <w:rPr>
          <w:sz w:val="16"/>
        </w:rPr>
        <w:t xml:space="preserve">. The result is that both </w:t>
      </w:r>
      <w:r w:rsidRPr="00DD2D90">
        <w:rPr>
          <w:rStyle w:val="StyleUnderline"/>
        </w:rPr>
        <w:t xml:space="preserve">voters and </w:t>
      </w:r>
      <w:r w:rsidRPr="00DD2D90">
        <w:rPr>
          <w:rStyle w:val="StyleUnderline"/>
          <w:highlight w:val="green"/>
        </w:rPr>
        <w:t>legislators receive</w:t>
      </w:r>
      <w:r w:rsidRPr="00DD2D90">
        <w:rPr>
          <w:rStyle w:val="StyleUnderline"/>
        </w:rPr>
        <w:t xml:space="preserve"> their </w:t>
      </w:r>
      <w:r w:rsidRPr="00DD2D90">
        <w:rPr>
          <w:rStyle w:val="StyleUnderline"/>
          <w:highlight w:val="green"/>
        </w:rPr>
        <w:t>info</w:t>
      </w:r>
      <w:r w:rsidRPr="00DD2D90">
        <w:rPr>
          <w:rStyle w:val="StyleUnderline"/>
        </w:rPr>
        <w:t xml:space="preserve">rma- tion almost exclusively </w:t>
      </w:r>
      <w:r w:rsidRPr="00DD2D90">
        <w:rPr>
          <w:rStyle w:val="StyleUnderline"/>
          <w:highlight w:val="green"/>
        </w:rPr>
        <w:t>from those whose activities they ought to direct</w:t>
      </w:r>
      <w:r w:rsidRPr="009C4A5A">
        <w:rPr>
          <w:sz w:val="16"/>
        </w:rPr>
        <w:t xml:space="preserve">. It is difficult to overestimate the extent to which this factor has helped to accelerate development far beyond what the public would otherwise have allowed. Such </w:t>
      </w:r>
      <w:r w:rsidRPr="00DD2D90">
        <w:rPr>
          <w:rStyle w:val="StyleUnderline"/>
        </w:rPr>
        <w:t>subsidized propaganda</w:t>
      </w:r>
      <w:r w:rsidRPr="009C4A5A">
        <w:rPr>
          <w:sz w:val="16"/>
        </w:rPr>
        <w:t xml:space="preserve">, which is </w:t>
      </w:r>
      <w:r w:rsidRPr="00DD2D90">
        <w:rPr>
          <w:rStyle w:val="StyleUnderline"/>
        </w:rPr>
        <w:t>conducted by a</w:t>
      </w:r>
      <w:r w:rsidRPr="009C4A5A">
        <w:rPr>
          <w:sz w:val="16"/>
        </w:rPr>
        <w:t xml:space="preserve"> single </w:t>
      </w:r>
      <w:r w:rsidRPr="00DD2D90">
        <w:rPr>
          <w:rStyle w:val="StyleUnderline"/>
        </w:rPr>
        <w:t>tax-maintained organization</w:t>
      </w:r>
      <w:r w:rsidRPr="009C4A5A">
        <w:rPr>
          <w:sz w:val="16"/>
        </w:rPr>
        <w:t xml:space="preserve">, </w:t>
      </w:r>
      <w:r w:rsidRPr="00DD2D90">
        <w:rPr>
          <w:rStyle w:val="StyleUnderline"/>
        </w:rPr>
        <w:t>can in no way be compared with</w:t>
      </w:r>
      <w:r w:rsidRPr="009C4A5A">
        <w:rPr>
          <w:sz w:val="16"/>
        </w:rPr>
        <w:t xml:space="preserve"> competitive </w:t>
      </w:r>
      <w:r w:rsidRPr="00DD2D90">
        <w:rPr>
          <w:rStyle w:val="StyleUnderline"/>
        </w:rPr>
        <w:t>advertising</w:t>
      </w:r>
      <w:r w:rsidRPr="009C4A5A">
        <w:rPr>
          <w:sz w:val="16"/>
        </w:rPr>
        <w:t xml:space="preserve">. </w:t>
      </w:r>
      <w:r w:rsidRPr="00DD2D90">
        <w:rPr>
          <w:rStyle w:val="StyleUnderline"/>
          <w:highlight w:val="green"/>
        </w:rPr>
        <w:t>It confers</w:t>
      </w:r>
      <w:r w:rsidRPr="009C4A5A">
        <w:rPr>
          <w:sz w:val="16"/>
          <w:highlight w:val="green"/>
        </w:rPr>
        <w:t xml:space="preserve"> </w:t>
      </w:r>
      <w:r w:rsidRPr="00DD2D90">
        <w:rPr>
          <w:rStyle w:val="StyleUnderline"/>
          <w:highlight w:val="green"/>
        </w:rPr>
        <w:t>on the organization a power over minds</w:t>
      </w:r>
      <w:r w:rsidRPr="009C4A5A">
        <w:rPr>
          <w:sz w:val="16"/>
        </w:rPr>
        <w:t xml:space="preserve"> that is in the same class. </w:t>
      </w:r>
      <w:r w:rsidRPr="00DD2D90">
        <w:rPr>
          <w:rStyle w:val="StyleUnderline"/>
          <w:highlight w:val="green"/>
        </w:rPr>
        <w:t>with the powers</w:t>
      </w:r>
      <w:r w:rsidRPr="009C4A5A">
        <w:rPr>
          <w:sz w:val="16"/>
          <w:highlight w:val="green"/>
        </w:rPr>
        <w:t xml:space="preserve"> </w:t>
      </w:r>
      <w:r w:rsidRPr="00DD2D90">
        <w:rPr>
          <w:rStyle w:val="StyleUnderline"/>
          <w:highlight w:val="green"/>
        </w:rPr>
        <w:t xml:space="preserve">of a </w:t>
      </w:r>
      <w:r w:rsidRPr="00DD2D90">
        <w:rPr>
          <w:rStyle w:val="Emphasis"/>
          <w:highlight w:val="green"/>
        </w:rPr>
        <w:t>totalitarian</w:t>
      </w:r>
      <w:r w:rsidRPr="00DD2D90">
        <w:rPr>
          <w:rStyle w:val="StyleUnderline"/>
          <w:highlight w:val="green"/>
        </w:rPr>
        <w:t xml:space="preserve"> state</w:t>
      </w:r>
      <w:r w:rsidRPr="00DD2D90">
        <w:rPr>
          <w:rStyle w:val="StyleUnderline"/>
        </w:rPr>
        <w:t xml:space="preserve"> which has the mo- nopoly of the means of supplying information</w:t>
      </w:r>
      <w:r w:rsidRPr="009C4A5A">
        <w:rPr>
          <w:sz w:val="16"/>
        </w:rPr>
        <w:t xml:space="preserve">. 16 Though in a formal sense the existing social security systems have been created by democratic decisions, one may well </w:t>
      </w:r>
      <w:r w:rsidRPr="00DD2D90">
        <w:rPr>
          <w:rStyle w:val="StyleUnderline"/>
        </w:rPr>
        <w:t>doubt whether the majority of the beneficiaries would really approve of them if they were fully aware of what they involved</w:t>
      </w:r>
      <w:r w:rsidRPr="009C4A5A">
        <w:rPr>
          <w:sz w:val="16"/>
        </w:rPr>
        <w:t xml:space="preserve">. The burden which they accept by allowing the state to divert a part of their incomes to ends of its choosing is particularly heavy in the relatively poor countries, where increase in material productiv- ity is most urgently needed. Does anyone really believe that the average semiskilled worker in Italy is better off because 44 per cent of his employer's total outlay fOf his work is handed over to the state or, in concrete figures, because of the 49 cents which his employer pays for an hour of his work, he receives only 27 cents, while 22 cents are spent for him by the state?17 Or that, if the worker understood the situation and were given the choice between this and having his disposable income nearly doubled without social security, he would choose the former? Or that in France, where the figure for all workers amounts to an average of about one-third of total labor cost,18 the percentage is not more than the workers would willingly surrender for the services that the state offers in return? Or that in Germany, _ where about 20 per cent of the total national income is placed in the hands of the social security administration,19 this is not a cpmpulsory diversion of a share of resources much greater than the people would expressly wish? Can it be seriously denied that </w:t>
      </w:r>
      <w:r w:rsidRPr="00DD2D90">
        <w:rPr>
          <w:rStyle w:val="StyleUnderline"/>
        </w:rPr>
        <w:t>most of those people would be better off if the money were hand- ed over to them and they were free to buy their insurance from private concerns</w:t>
      </w:r>
      <w:r w:rsidRPr="009C4A5A">
        <w:rPr>
          <w:sz w:val="16"/>
        </w:rPr>
        <w:t xml:space="preserve"> ?20 6. We can consider more specifically only the chief branches of social security here: the provision for old age, for permanent disablement from other causes, and for loss of the breadwinner of the family; the provision of medical and hospital care; and the protection against loss of income through unemployment. The numerous other services that are supplied in various countries either as part of those or separately, such as maternity and chil- dren's allowances, raise distinct problems in that they are con- ceived as part of what is called "population policy," an aspect of modern policy which we shall not consider. The field in which most countries have committed themselves furthest and which is likely to create the most serious problems is the provision for old age and dependents (except perhaps in Great Britain, where the establishment of a free </w:t>
      </w:r>
      <w:r w:rsidRPr="00DD2D90">
        <w:rPr>
          <w:rStyle w:val="StyleUnderline"/>
        </w:rPr>
        <w:t>National Health Service</w:t>
      </w:r>
      <w:r w:rsidRPr="009C4A5A">
        <w:rPr>
          <w:sz w:val="16"/>
        </w:rPr>
        <w:t xml:space="preserve"> has </w:t>
      </w:r>
      <w:r w:rsidRPr="00DD2D90">
        <w:rPr>
          <w:rStyle w:val="StyleUnderline"/>
        </w:rPr>
        <w:t>created problems</w:t>
      </w:r>
      <w:r w:rsidRPr="009C4A5A">
        <w:rPr>
          <w:sz w:val="16"/>
        </w:rPr>
        <w:t xml:space="preserve"> of a similar magnitude). The problem ofthe aged is particularly serious, for in most parts of the Western world today it is the fault of governments that the old have been deprived of the means of support that they may have endeavored to provide for themselves. By failing to keep faith and not dis- charging their duty of maintaining a stable currency, governments everywhere have created a situation in which the generation going into retirement in the third quarter of our century has been robbed of a great part of what they had attempted to put aside for their retirement and in which many more people than there would otherwise have been are undeservedly facing poverty, despite their earlier efforts to avoid such a predicament. It cannot be said too often that inflation is never an unavoidable natural disaster; it is always the result of the weakness or ignorance of those in charge of monetary policy-though the division of responsibili ty may be spread so wide that nobody is alone to blame. The authorities may have regarded wh::ttever they tried to avert through inflation as greater evils; it is always their choice of policy, however, that brings about inflation. Yet, even if we approach the problem of provision for old , age, as we ought to, in full awareness of the special responsibility which governments have incurred, we can but question whether the damage done to one generation (which, in the last resort, shares the responsibility) can justify the imposition upon a nation of a permanent system under which the normal soun~e of income above a certain age is a politically determined pension paid out of current taxation. The whole Western world is, however, tending toward this system, which is bound to produce problems that will dominate future policy to an extent yet uncompre- hended by most. </w:t>
      </w:r>
      <w:r w:rsidRPr="00DD2D90">
        <w:rPr>
          <w:rStyle w:val="StyleUnderline"/>
        </w:rPr>
        <w:t>In our efforts to remedy-one ill, we may well saddle future generations with a burden greater than they will be willing to bea</w:t>
      </w:r>
      <w:r w:rsidRPr="009C4A5A">
        <w:rPr>
          <w:sz w:val="16"/>
        </w:rPr>
        <w:t xml:space="preserve">r, so </w:t>
      </w:r>
      <w:r w:rsidRPr="00DD2D90">
        <w:rPr>
          <w:rStyle w:val="Emphasis"/>
        </w:rPr>
        <w:t>tying their hands</w:t>
      </w:r>
      <w:r w:rsidRPr="009C4A5A">
        <w:rPr>
          <w:sz w:val="16"/>
        </w:rPr>
        <w:t xml:space="preserve"> that,. after many efforts to extricate themselves, they will probably in the end do so by an even greater breach of faith than we have committed. The problem arises in serious form as soon as government under- takes to secure not only a minimum but an "adequate" provision for all the aged, regardless o( the individual's need or the contribu- tionsmade by him. There are two critical steps that are almost invariably taken, once,the state assumes the monopoly of provid- ing this protection: first, the protection is granted not only to those who have through their contributions gained a claim to it, but to those who have not yet had time to do so; and, second, when the pensions are due, they are not paid out of the yield of an additional capital accumulated for the purpose and therefore out of additional income due to the efforts of the beneficiary, but are a transfer of partof the fruits of the work of those currently producing. This holds equally true whether the government nom- inally builds up a reserve fund and "invests" it in government securities (i.e., lends it to itself and in fact currently spends the money) or whether it openly covers current o'bligations by current taxation. 21 (The conceivable, but never practiced, alternative of the government's investing the reserve funds in productive capital would rapidly produce an ever increasing governmental control of the capital of industry.) These two regular consequences of old age pensions' being pI:ovided by the state are usually also the chief reasons why this kind of organization is insisted upon. It is easy to see how such a complete </w:t>
      </w:r>
      <w:r w:rsidRPr="00DD2D90">
        <w:rPr>
          <w:rStyle w:val="StyleUnderline"/>
        </w:rPr>
        <w:t xml:space="preserve">abandonment of </w:t>
      </w:r>
      <w:r w:rsidRPr="009C4A5A">
        <w:rPr>
          <w:sz w:val="16"/>
        </w:rPr>
        <w:t xml:space="preserve">the </w:t>
      </w:r>
      <w:r w:rsidRPr="00DD2D90">
        <w:rPr>
          <w:rStyle w:val="StyleUnderline"/>
        </w:rPr>
        <w:t>in- surance</w:t>
      </w:r>
      <w:r w:rsidRPr="009C4A5A">
        <w:rPr>
          <w:sz w:val="16"/>
        </w:rPr>
        <w:t xml:space="preserve"> character of the arrangement, with the recognition of the right of all over a certain age (and all the dependents or incapacitated) to an "adequate" income that is currently deter- mined by the majority (of which the beneficiaries form a substan- tial part), must </w:t>
      </w:r>
      <w:r w:rsidRPr="00DD2D90">
        <w:rPr>
          <w:rStyle w:val="StyleUnderline"/>
        </w:rPr>
        <w:t>turn the</w:t>
      </w:r>
      <w:r w:rsidRPr="009C4A5A">
        <w:rPr>
          <w:sz w:val="16"/>
        </w:rPr>
        <w:t xml:space="preserve"> whole </w:t>
      </w:r>
      <w:r w:rsidRPr="00DD2D90">
        <w:rPr>
          <w:rStyle w:val="StyleUnderline"/>
        </w:rPr>
        <w:t xml:space="preserve">system into a tool </w:t>
      </w:r>
      <w:r w:rsidRPr="009C4A5A">
        <w:rPr>
          <w:sz w:val="16"/>
        </w:rPr>
        <w:t xml:space="preserve">of politics, a play ball </w:t>
      </w:r>
      <w:r w:rsidRPr="00DD2D90">
        <w:rPr>
          <w:rStyle w:val="StyleUnderline"/>
        </w:rPr>
        <w:t>for vote-catching demagogues</w:t>
      </w:r>
      <w:r w:rsidRPr="009C4A5A">
        <w:rPr>
          <w:sz w:val="16"/>
        </w:rPr>
        <w:t xml:space="preserve">. It is vain to believe that any objective standard of justice will set a limit on the extent to which those who have reached the privileged age,even it capable of continued work, can insist on being "adequately" maintained by those still at work-who in turn will find consola- tion only in the thought that at some future date, when they will ' be proportionally even more numerous and possess correspond- ingly greater voting strength, they will be in a still better position to make those at work provide for their needs. Assiduous propaganda has completely obscured the fact that this scheme of adequate pensions for all must mean that many who have at last reached the long-hoped-for time of retirement and who can retire on their savings will nevertheless be the recipients of a gratuity at the expense of those who have not yet reached it, many of whom would at once retire if they were assured of the same income,22 and that in a wealthy society not devastated by inflation it is normal that a large proportion of the retired should be more comfortably off than those still at work. How seriously public opinion has been deliberately misguided in this matter is well illustrated by the often quoted assertion (accepted by the United States Supreme Court) that in the United States in 1935, "approximately 3 out of 4 persons 65 and older were probably dependent partly or wholly on others for support"-a statement based on statistics which explicitly as~ Burned that all property held' by old couples was owned by the hus- bands and that consequently all the wives were "dependent" !23 An inevitable result of this situation, which has become a normal feature in other countries besides the United States, is that at the beginning of every election year there is speculation as to how much social security benefits will again be raised. 24 That </w:t>
      </w:r>
      <w:r w:rsidRPr="00DD2D90">
        <w:rPr>
          <w:rStyle w:val="StyleUnderline"/>
        </w:rPr>
        <w:t>there is no limit to the demands</w:t>
      </w:r>
      <w:r w:rsidRPr="009C4A5A">
        <w:rPr>
          <w:sz w:val="16"/>
        </w:rPr>
        <w:t xml:space="preserve"> that will be pressed {or is most clearly shown by a recent pronouncement of the British Labour Party to the effect that a really adequate pension "means the right to go on living in the same neighbourhood, to enjoy the same hobbies and to be able to mix with the same circle of friends."25 It will probably not be long before it is argued that, because the retired have more time to spend money, they must be given more than those still at work; and, with the age distribu- tionwe are approaching, there is no reason why the majority over forty should not soon attempt to make those of a lower age , toil for them. I t may be only at that point that the physically stronger will rebel and depri ve the old of both their political rights and their legal claims to be maintained. The British Labour document just mentioned is significant also because, besides being motivated by the desire to help the aged, it so clearly betrays the wish to makp. them unable to help themselves and to make them exclusively dependent on govern- ment support. An animosity toward all private pension schemes or other similar arrangements pervades it; and what is even more noteworthy is the cool assumption underlying the figures of the proposed plan that prices will double between 1960 and 1980.26 If this is the degree of inflation planned for in advance, the real outcome is indeed likely to be such that most of those who will re- tire at the end of the century will be dependent on the charity of the younger generation. And ultimately not morals but the fact that the young supply the police and the army will decide the issue: concentration camps for the aged unable to maintain them- selves are likely to be the fate of an old generation whose income is entirely dependent on coercing the young.</w:t>
      </w:r>
    </w:p>
    <w:p w14:paraId="41A56B01" w14:textId="77777777" w:rsidR="00B0589A" w:rsidRPr="009C4A5A" w:rsidRDefault="00B0589A">
      <w:pPr>
        <w:rPr>
          <w:rFonts w:eastAsiaTheme="majorEastAsia" w:cstheme="majorBidi"/>
          <w:b/>
          <w:iCs/>
          <w:sz w:val="16"/>
        </w:rPr>
      </w:pPr>
      <w:r w:rsidRPr="009C4A5A">
        <w:rPr>
          <w:sz w:val="16"/>
        </w:rPr>
        <w:br w:type="page"/>
      </w:r>
    </w:p>
    <w:p w14:paraId="4A065F8F" w14:textId="025CF462" w:rsidR="008732A1" w:rsidRPr="009C4A5A" w:rsidRDefault="003A2F08" w:rsidP="008732A1">
      <w:pPr>
        <w:pStyle w:val="Heading4"/>
        <w:rPr>
          <w:szCs w:val="26"/>
        </w:rPr>
      </w:pPr>
      <w:r w:rsidRPr="009C4A5A">
        <w:rPr>
          <w:szCs w:val="26"/>
        </w:rPr>
        <w:t xml:space="preserve">Central planning makes doctors collect biopolitical knowledge about patients that would otherwise be secret – this is abused by the state. </w:t>
      </w:r>
    </w:p>
    <w:p w14:paraId="718CCA30" w14:textId="518502E7" w:rsidR="008732A1" w:rsidRPr="00DD2D90" w:rsidRDefault="008732A1" w:rsidP="008732A1">
      <w:r w:rsidRPr="009C4A5A">
        <w:rPr>
          <w:b/>
          <w:bCs/>
          <w:sz w:val="26"/>
          <w:szCs w:val="26"/>
        </w:rPr>
        <w:t>Hayek 60</w:t>
      </w:r>
      <w:r w:rsidRPr="00DD2D90">
        <w:t xml:space="preserve"> [Friedrich A. Hayek, political economy philosopher with a Nobel Prize in economics, 1960, “The Constitution </w:t>
      </w:r>
      <w:proofErr w:type="gramStart"/>
      <w:r w:rsidRPr="00DD2D90">
        <w:t>Of</w:t>
      </w:r>
      <w:proofErr w:type="gramEnd"/>
      <w:r w:rsidRPr="00DD2D90">
        <w:t xml:space="preserve"> Liberty,” University of Chicago Press, https://www.mises.at/static/literatur/Buch/hayek-the-constitution-of-liberty.pdf]/Kankee</w:t>
      </w:r>
    </w:p>
    <w:p w14:paraId="41357A17" w14:textId="77777777" w:rsidR="008732A1" w:rsidRPr="00DD2D90" w:rsidRDefault="008732A1" w:rsidP="008732A1">
      <w:r w:rsidRPr="00DD2D90">
        <w:t>*OCR errors exist</w:t>
      </w:r>
    </w:p>
    <w:p w14:paraId="1524E35C" w14:textId="574AB7BE" w:rsidR="003A2F08" w:rsidRPr="009C4A5A" w:rsidRDefault="008732A1" w:rsidP="008732A1">
      <w:pPr>
        <w:rPr>
          <w:sz w:val="16"/>
        </w:rPr>
      </w:pPr>
      <w:r w:rsidRPr="009C4A5A">
        <w:rPr>
          <w:sz w:val="16"/>
        </w:rPr>
        <w:t xml:space="preserve">The problems raised by a free health service are made even more difficult by the fact that the progress of medicine tends to increase its efforts not mainly toward restoring working capacity but toward the alleviation of suffering and the prolongation of life; these, of course, cannot be justified on economic but only on humanitarian grounds. Yet, while the task of combating the serious diseases which befall and disable some in manhood is a relatively limited one, the task of slowing down the chronic processes which must bring about the ultimate decay of all of us is unlimited. The latter presents a problem which can, under no conceivable condition, be solved by an unlimited provision , of medical facilities and which, therefore, must continue to present a painful choice between competing aims. Under a system of state medicine this choice will have to be imposed by authority upon the individuals. It may seem harsh, but it is probably in the interest of all that under a free system those with full earning capacity should often be rapidly cured of a temporary and not dangerous disablement at the expense of some neglect of the aged and mortally ill. Where systems of state medicine operate, we generally find that those who could be promptly restored to full activity have to wait, for long periods because all the hospital facilities are taken up by people who will never again contribute to the needs of the rest. 31 </w:t>
      </w:r>
      <w:r w:rsidRPr="00DD2D90">
        <w:rPr>
          <w:rStyle w:val="StyleUnderline"/>
        </w:rPr>
        <w:t>There are so many serious problems raised by the nationaliza tion of medicine that we cannot mention even all the</w:t>
      </w:r>
      <w:r w:rsidRPr="009C4A5A">
        <w:rPr>
          <w:sz w:val="16"/>
        </w:rPr>
        <w:t xml:space="preserve"> more </w:t>
      </w:r>
      <w:r w:rsidRPr="00DD2D90">
        <w:rPr>
          <w:rStyle w:val="StyleUnderline"/>
        </w:rPr>
        <w:t>important ones</w:t>
      </w:r>
      <w:r w:rsidRPr="009C4A5A">
        <w:rPr>
          <w:sz w:val="16"/>
        </w:rPr>
        <w:t xml:space="preserve">. But there is one the gravity of which the public has scarcely yet percerved and which is likely to be of the greatest importance. </w:t>
      </w:r>
      <w:r w:rsidRPr="00DD2D90">
        <w:rPr>
          <w:rStyle w:val="StyleUnderline"/>
          <w:highlight w:val="green"/>
        </w:rPr>
        <w:t>This is the</w:t>
      </w:r>
      <w:r w:rsidRPr="009C4A5A">
        <w:rPr>
          <w:sz w:val="16"/>
        </w:rPr>
        <w:t xml:space="preserve"> inevitable </w:t>
      </w:r>
      <w:r w:rsidRPr="00DD2D90">
        <w:rPr>
          <w:rStyle w:val="StyleUnderline"/>
          <w:highlight w:val="green"/>
        </w:rPr>
        <w:t>transformation of doctors</w:t>
      </w:r>
      <w:r w:rsidRPr="009C4A5A">
        <w:rPr>
          <w:sz w:val="16"/>
        </w:rPr>
        <w:t xml:space="preserve">, who have been members of a free profession primarily responsible to their patients, </w:t>
      </w:r>
      <w:r w:rsidRPr="00DD2D90">
        <w:rPr>
          <w:rStyle w:val="StyleUnderline"/>
          <w:highlight w:val="green"/>
        </w:rPr>
        <w:t>into paid servants of the state</w:t>
      </w:r>
      <w:r w:rsidRPr="009C4A5A">
        <w:rPr>
          <w:sz w:val="16"/>
        </w:rPr>
        <w:t xml:space="preserve">, officials who are necessarily </w:t>
      </w:r>
      <w:r w:rsidRPr="00DD2D90">
        <w:rPr>
          <w:rStyle w:val="StyleUnderline"/>
          <w:highlight w:val="green"/>
        </w:rPr>
        <w:t>subject to instruction by authority</w:t>
      </w:r>
      <w:r w:rsidRPr="009C4A5A">
        <w:rPr>
          <w:sz w:val="16"/>
          <w:highlight w:val="green"/>
        </w:rPr>
        <w:t xml:space="preserve"> </w:t>
      </w:r>
      <w:r w:rsidRPr="00DD2D90">
        <w:rPr>
          <w:rStyle w:val="StyleUnderline"/>
          <w:highlight w:val="green"/>
        </w:rPr>
        <w:t>and</w:t>
      </w:r>
      <w:r w:rsidRPr="009C4A5A">
        <w:rPr>
          <w:sz w:val="16"/>
        </w:rPr>
        <w:t xml:space="preserve"> who must be </w:t>
      </w:r>
      <w:r w:rsidRPr="00DD2D90">
        <w:rPr>
          <w:rStyle w:val="StyleUnderline"/>
          <w:highlight w:val="green"/>
        </w:rPr>
        <w:t>released from the duty of secrecy</w:t>
      </w:r>
      <w:r w:rsidRPr="009C4A5A">
        <w:rPr>
          <w:sz w:val="16"/>
        </w:rPr>
        <w:t xml:space="preserve"> so far as authority is concerned. The most dangerous aspect of the new development may well prove to be that, at a time when </w:t>
      </w:r>
      <w:r w:rsidRPr="00DD2D90">
        <w:rPr>
          <w:rStyle w:val="StyleUnderline"/>
          <w:highlight w:val="green"/>
        </w:rPr>
        <w:t xml:space="preserve">the increase in medical knowledge tends to confer </w:t>
      </w:r>
      <w:r w:rsidRPr="00DD2D90">
        <w:rPr>
          <w:rStyle w:val="StyleUnderline"/>
        </w:rPr>
        <w:t>more</w:t>
      </w:r>
      <w:r w:rsidRPr="009C4A5A">
        <w:rPr>
          <w:sz w:val="16"/>
        </w:rPr>
        <w:t xml:space="preserve"> and more </w:t>
      </w:r>
      <w:r w:rsidRPr="00DD2D90">
        <w:rPr>
          <w:rStyle w:val="StyleUnderline"/>
          <w:highlight w:val="green"/>
        </w:rPr>
        <w:t>power</w:t>
      </w:r>
      <w:r w:rsidRPr="009C4A5A">
        <w:rPr>
          <w:sz w:val="16"/>
        </w:rPr>
        <w:t xml:space="preserve"> </w:t>
      </w:r>
      <w:r w:rsidRPr="00DD2D90">
        <w:rPr>
          <w:rStyle w:val="StyleUnderline"/>
          <w:highlight w:val="green"/>
        </w:rPr>
        <w:t>over the minds of men</w:t>
      </w:r>
      <w:r w:rsidRPr="009C4A5A">
        <w:rPr>
          <w:sz w:val="16"/>
          <w:highlight w:val="green"/>
        </w:rPr>
        <w:t xml:space="preserve"> </w:t>
      </w:r>
      <w:r w:rsidRPr="00DD2D90">
        <w:rPr>
          <w:rStyle w:val="StyleUnderline"/>
          <w:highlight w:val="green"/>
        </w:rPr>
        <w:t>to</w:t>
      </w:r>
      <w:r w:rsidRPr="009C4A5A">
        <w:rPr>
          <w:sz w:val="16"/>
          <w:highlight w:val="green"/>
        </w:rPr>
        <w:t xml:space="preserve"> </w:t>
      </w:r>
      <w:r w:rsidRPr="00DD2D90">
        <w:rPr>
          <w:rStyle w:val="StyleUnderline"/>
          <w:highlight w:val="green"/>
        </w:rPr>
        <w:t>those who pO'ssess it</w:t>
      </w:r>
      <w:r w:rsidRPr="009C4A5A">
        <w:rPr>
          <w:sz w:val="16"/>
        </w:rPr>
        <w:t xml:space="preserve">, they should be made dependent on a unified organization under single direction and be guided by </w:t>
      </w:r>
      <w:r w:rsidRPr="00DD2D90">
        <w:rPr>
          <w:rStyle w:val="StyleUnderline"/>
        </w:rPr>
        <w:t>the</w:t>
      </w:r>
      <w:r w:rsidRPr="009C4A5A">
        <w:rPr>
          <w:sz w:val="16"/>
        </w:rPr>
        <w:t xml:space="preserve"> same reasons of </w:t>
      </w:r>
      <w:r w:rsidRPr="00DD2D90">
        <w:rPr>
          <w:rStyle w:val="StyleUnderline"/>
        </w:rPr>
        <w:t>state</w:t>
      </w:r>
      <w:r w:rsidRPr="009C4A5A">
        <w:rPr>
          <w:sz w:val="16"/>
        </w:rPr>
        <w:t xml:space="preserve"> that generally govern policy. </w:t>
      </w:r>
      <w:r w:rsidRPr="00DD2D90">
        <w:rPr>
          <w:rStyle w:val="StyleUnderline"/>
        </w:rPr>
        <w:t>A system</w:t>
      </w:r>
      <w:r w:rsidRPr="009C4A5A">
        <w:rPr>
          <w:sz w:val="16"/>
        </w:rPr>
        <w:t xml:space="preserve"> that gives the indispensable helper of the individual, who is at the same time </w:t>
      </w:r>
      <w:r w:rsidRPr="00DD2D90">
        <w:rPr>
          <w:rStyle w:val="StyleUnderline"/>
        </w:rPr>
        <w:t xml:space="preserve">an agent of the </w:t>
      </w:r>
      <w:r w:rsidRPr="00DD2D90">
        <w:rPr>
          <w:rStyle w:val="StyleUnderline"/>
          <w:highlight w:val="green"/>
        </w:rPr>
        <w:t>state</w:t>
      </w:r>
      <w:r w:rsidRPr="00DD2D90">
        <w:rPr>
          <w:rStyle w:val="StyleUnderline"/>
        </w:rPr>
        <w:t xml:space="preserve">, an </w:t>
      </w:r>
      <w:r w:rsidRPr="00DD2D90">
        <w:rPr>
          <w:rStyle w:val="StyleUnderline"/>
          <w:highlight w:val="green"/>
        </w:rPr>
        <w:t xml:space="preserve">insight into the other's </w:t>
      </w:r>
      <w:r w:rsidRPr="00DD2D90">
        <w:rPr>
          <w:rStyle w:val="Emphasis"/>
          <w:highlight w:val="green"/>
        </w:rPr>
        <w:t>most intimate</w:t>
      </w:r>
      <w:r w:rsidRPr="00DD2D90">
        <w:rPr>
          <w:rStyle w:val="StyleUnderline"/>
          <w:highlight w:val="green"/>
        </w:rPr>
        <w:t xml:space="preserve"> concerns</w:t>
      </w:r>
      <w:r w:rsidRPr="009C4A5A">
        <w:rPr>
          <w:sz w:val="16"/>
          <w:highlight w:val="green"/>
        </w:rPr>
        <w:t xml:space="preserve"> </w:t>
      </w:r>
      <w:r w:rsidRPr="00DD2D90">
        <w:rPr>
          <w:rStyle w:val="StyleUnderline"/>
          <w:highlight w:val="green"/>
        </w:rPr>
        <w:t>and creates conditions</w:t>
      </w:r>
      <w:r w:rsidRPr="00DD2D90">
        <w:rPr>
          <w:rStyle w:val="StyleUnderline"/>
        </w:rPr>
        <w:t xml:space="preserve">, </w:t>
      </w:r>
      <w:r w:rsidRPr="00DD2D90">
        <w:rPr>
          <w:rStyle w:val="StyleUnderline"/>
          <w:highlight w:val="green"/>
        </w:rPr>
        <w:t>in which he must reveal this knowledge</w:t>
      </w:r>
      <w:r w:rsidRPr="00DD2D90">
        <w:rPr>
          <w:rStyle w:val="StyleUnderline"/>
        </w:rPr>
        <w:t xml:space="preserve"> to a superior</w:t>
      </w:r>
      <w:r w:rsidRPr="009C4A5A">
        <w:rPr>
          <w:sz w:val="16"/>
        </w:rPr>
        <w:t xml:space="preserve"> and use it for the , purposes determined. by </w:t>
      </w:r>
      <w:r w:rsidRPr="00DD2D90">
        <w:rPr>
          <w:rStyle w:val="StyleUnderline"/>
        </w:rPr>
        <w:t>authority opens frightening prospects</w:t>
      </w:r>
      <w:r w:rsidRPr="009C4A5A">
        <w:rPr>
          <w:sz w:val="16"/>
        </w:rPr>
        <w:t xml:space="preserve">. The manner in which </w:t>
      </w:r>
      <w:r w:rsidRPr="00DD2D90">
        <w:rPr>
          <w:rStyle w:val="StyleUnderline"/>
          <w:highlight w:val="green"/>
        </w:rPr>
        <w:t xml:space="preserve">state medicine has been used in </w:t>
      </w:r>
      <w:r w:rsidRPr="00DD2D90">
        <w:rPr>
          <w:rStyle w:val="Emphasis"/>
          <w:highlight w:val="green"/>
        </w:rPr>
        <w:t>Russia</w:t>
      </w:r>
      <w:r w:rsidRPr="00DD2D90">
        <w:rPr>
          <w:rStyle w:val="StyleUnderline"/>
          <w:highlight w:val="green"/>
        </w:rPr>
        <w:t xml:space="preserve"> as an instrument of industrial discipline</w:t>
      </w:r>
      <w:r w:rsidRPr="009C4A5A">
        <w:rPr>
          <w:sz w:val="16"/>
        </w:rPr>
        <w:t xml:space="preserve">32 gives us a foretaste of the uses to which such a system can be put. 8. The branch of social security which seemed the most im~ portant in the period before the last war, the provision against unemployment, has become relatively unimportant in recent years. Though there can be no question that the prevention of large-scale unemployment is more important than the method of providing for the unemployed, we cannot be certain that we have permanently solved the former problem and that the latter will not again assume major importance. Nor can we be sure that the character of our provision for the unemployed will not prove to be one of the most important factors determining the extent of unemployment. </w:t>
      </w:r>
    </w:p>
    <w:p w14:paraId="1C07E959" w14:textId="77777777" w:rsidR="00F81E93" w:rsidRPr="009C4A5A" w:rsidRDefault="00F81E93">
      <w:pPr>
        <w:rPr>
          <w:rFonts w:eastAsiaTheme="majorEastAsia" w:cstheme="majorBidi"/>
          <w:b/>
          <w:iCs/>
          <w:sz w:val="16"/>
        </w:rPr>
      </w:pPr>
      <w:r w:rsidRPr="009C4A5A">
        <w:rPr>
          <w:sz w:val="16"/>
        </w:rPr>
        <w:br w:type="page"/>
      </w:r>
    </w:p>
    <w:p w14:paraId="2F02EF46" w14:textId="485911AD" w:rsidR="00605696" w:rsidRPr="009C4A5A" w:rsidRDefault="003A2F08" w:rsidP="006D2A86">
      <w:pPr>
        <w:pStyle w:val="Heading4"/>
        <w:rPr>
          <w:szCs w:val="26"/>
        </w:rPr>
      </w:pPr>
      <w:r w:rsidRPr="009C4A5A">
        <w:rPr>
          <w:szCs w:val="26"/>
        </w:rPr>
        <w:t xml:space="preserve">State </w:t>
      </w:r>
      <w:r w:rsidR="008B440C" w:rsidRPr="009C4A5A">
        <w:rPr>
          <w:szCs w:val="26"/>
        </w:rPr>
        <w:t xml:space="preserve">healthcare </w:t>
      </w:r>
      <w:r w:rsidRPr="009C4A5A">
        <w:rPr>
          <w:szCs w:val="26"/>
        </w:rPr>
        <w:t xml:space="preserve">provision was key to Nazism, Russian psychiatric abuses, and American lobotomies, </w:t>
      </w:r>
    </w:p>
    <w:p w14:paraId="04C05E58" w14:textId="164B3032" w:rsidR="006D2A86" w:rsidRPr="00DD2D90" w:rsidRDefault="00882855" w:rsidP="006D2A86">
      <w:r w:rsidRPr="009C4A5A">
        <w:rPr>
          <w:b/>
          <w:bCs/>
          <w:sz w:val="26"/>
          <w:szCs w:val="26"/>
        </w:rPr>
        <w:t>Yanovskiy and Socol 25</w:t>
      </w:r>
      <w:r w:rsidRPr="00DD2D90">
        <w:t xml:space="preserve"> [</w:t>
      </w:r>
      <w:r w:rsidR="006D2A86" w:rsidRPr="00DD2D90">
        <w:t>Moshe Yanovskiy, and Yehoshua Socol</w:t>
      </w:r>
      <w:r w:rsidR="00AE1F07" w:rsidRPr="00DD2D90">
        <w:t>,</w:t>
      </w:r>
      <w:r w:rsidR="003D7FA7" w:rsidRPr="00DD2D90">
        <w:t xml:space="preserve"> both researchers at the Jerusalem College of Technology Havaad Haleumi, 2025,</w:t>
      </w:r>
      <w:r w:rsidR="00AE1F07" w:rsidRPr="00DD2D90">
        <w:t xml:space="preserve"> “Power abuse &amp; Monopoly Risk in Healthcare System: Heterodox</w:t>
      </w:r>
      <w:r w:rsidR="003D7FA7" w:rsidRPr="00DD2D90">
        <w:t xml:space="preserve"> </w:t>
      </w:r>
      <w:r w:rsidR="00AE1F07" w:rsidRPr="00DD2D90">
        <w:t>Analysis &amp; Empiric Illustration,” Semestre Económico (Puno), http://www.scielo.org.pe/scielo.php?script=sci_arttext&amp;pid=S2523-08402025000100021]/Kankee</w:t>
      </w:r>
    </w:p>
    <w:p w14:paraId="7834B31D" w14:textId="54C577E5" w:rsidR="00B0589A" w:rsidRPr="009C4A5A" w:rsidRDefault="006D2A86" w:rsidP="00A45A77">
      <w:pPr>
        <w:rPr>
          <w:rFonts w:eastAsiaTheme="majorEastAsia" w:cstheme="majorBidi"/>
          <w:b/>
          <w:iCs/>
          <w:sz w:val="16"/>
        </w:rPr>
      </w:pPr>
      <w:r w:rsidRPr="009C4A5A">
        <w:rPr>
          <w:sz w:val="16"/>
        </w:rPr>
        <w:t>Abstract</w:t>
      </w:r>
      <w:r w:rsidR="00A45A77" w:rsidRPr="009C4A5A">
        <w:rPr>
          <w:sz w:val="16"/>
        </w:rPr>
        <w:t xml:space="preserve"> </w:t>
      </w:r>
      <w:r w:rsidRPr="009C4A5A">
        <w:rPr>
          <w:sz w:val="16"/>
        </w:rPr>
        <w:t xml:space="preserve">It is generally accepted that the potential for </w:t>
      </w:r>
      <w:r w:rsidRPr="00DD2D90">
        <w:rPr>
          <w:rStyle w:val="StyleUnderline"/>
          <w:highlight w:val="green"/>
        </w:rPr>
        <w:t>the abuse of power is inherent in medicine</w:t>
      </w:r>
      <w:r w:rsidRPr="00DD2D90">
        <w:rPr>
          <w:rStyle w:val="StyleUnderline"/>
        </w:rPr>
        <w:t xml:space="preserve">, especially </w:t>
      </w:r>
      <w:r w:rsidRPr="00DD2D90">
        <w:rPr>
          <w:rStyle w:val="StyleUnderline"/>
          <w:highlight w:val="green"/>
        </w:rPr>
        <w:t>under</w:t>
      </w:r>
      <w:r w:rsidRPr="00DD2D90">
        <w:rPr>
          <w:rStyle w:val="StyleUnderline"/>
        </w:rPr>
        <w:t xml:space="preserve"> a</w:t>
      </w:r>
      <w:r w:rsidR="00A45A77" w:rsidRPr="00DD2D90">
        <w:rPr>
          <w:rStyle w:val="StyleUnderline"/>
        </w:rPr>
        <w:t xml:space="preserve"> </w:t>
      </w:r>
      <w:r w:rsidRPr="00DD2D90">
        <w:rPr>
          <w:rStyle w:val="StyleUnderline"/>
        </w:rPr>
        <w:t>monopolistic system.</w:t>
      </w:r>
      <w:r w:rsidRPr="009C4A5A">
        <w:rPr>
          <w:sz w:val="16"/>
        </w:rPr>
        <w:t xml:space="preserve"> The case of doctors in </w:t>
      </w:r>
      <w:r w:rsidRPr="00DD2D90">
        <w:rPr>
          <w:rStyle w:val="StyleUnderline"/>
        </w:rPr>
        <w:t>Nazi</w:t>
      </w:r>
      <w:r w:rsidRPr="009C4A5A">
        <w:rPr>
          <w:sz w:val="16"/>
        </w:rPr>
        <w:t xml:space="preserve"> </w:t>
      </w:r>
      <w:r w:rsidRPr="00DD2D90">
        <w:rPr>
          <w:rStyle w:val="StyleUnderline"/>
        </w:rPr>
        <w:t xml:space="preserve">Germany provides a frightening example of </w:t>
      </w:r>
      <w:r w:rsidRPr="009C4A5A">
        <w:rPr>
          <w:sz w:val="16"/>
        </w:rPr>
        <w:t>such</w:t>
      </w:r>
      <w:r w:rsidRPr="00DD2D90">
        <w:rPr>
          <w:rStyle w:val="StyleUnderline"/>
        </w:rPr>
        <w:t xml:space="preserve"> power</w:t>
      </w:r>
      <w:r w:rsidR="00A45A77" w:rsidRPr="00DD2D90">
        <w:rPr>
          <w:rStyle w:val="StyleUnderline"/>
        </w:rPr>
        <w:t xml:space="preserve"> </w:t>
      </w:r>
      <w:r w:rsidRPr="00DD2D90">
        <w:rPr>
          <w:rStyle w:val="StyleUnderline"/>
        </w:rPr>
        <w:t>abuse</w:t>
      </w:r>
      <w:r w:rsidRPr="009C4A5A">
        <w:rPr>
          <w:sz w:val="16"/>
        </w:rPr>
        <w:t xml:space="preserve">. History provides additional examples of grave power abuse </w:t>
      </w:r>
      <w:r w:rsidRPr="00DD2D90">
        <w:rPr>
          <w:rStyle w:val="StyleUnderline"/>
        </w:rPr>
        <w:t xml:space="preserve">by </w:t>
      </w:r>
      <w:r w:rsidRPr="00DD2D90">
        <w:rPr>
          <w:rStyle w:val="StyleUnderline"/>
          <w:highlight w:val="green"/>
        </w:rPr>
        <w:t>government</w:t>
      </w:r>
      <w:r w:rsidRPr="00DD2D90">
        <w:rPr>
          <w:rStyle w:val="StyleUnderline"/>
        </w:rPr>
        <w:t xml:space="preserve">-run </w:t>
      </w:r>
      <w:r w:rsidRPr="00DD2D90">
        <w:rPr>
          <w:rStyle w:val="StyleUnderline"/>
          <w:highlight w:val="green"/>
        </w:rPr>
        <w:t>healthcare</w:t>
      </w:r>
      <w:r w:rsidRPr="00DD2D90">
        <w:rPr>
          <w:rStyle w:val="StyleUnderline"/>
        </w:rPr>
        <w:t xml:space="preserve"> entities</w:t>
      </w:r>
      <w:r w:rsidRPr="009C4A5A">
        <w:rPr>
          <w:sz w:val="16"/>
        </w:rPr>
        <w:t>. In</w:t>
      </w:r>
      <w:r w:rsidR="00A45A77" w:rsidRPr="009C4A5A">
        <w:rPr>
          <w:sz w:val="16"/>
        </w:rPr>
        <w:t xml:space="preserve"> </w:t>
      </w:r>
      <w:r w:rsidRPr="009C4A5A">
        <w:rPr>
          <w:sz w:val="16"/>
        </w:rPr>
        <w:t>this paper, we first analyze the historical and institutional context of doctors’ behavior in Nazi Germany and</w:t>
      </w:r>
      <w:r w:rsidR="00A45A77" w:rsidRPr="009C4A5A">
        <w:rPr>
          <w:sz w:val="16"/>
        </w:rPr>
        <w:t xml:space="preserve"> </w:t>
      </w:r>
      <w:r w:rsidRPr="009C4A5A">
        <w:rPr>
          <w:sz w:val="16"/>
        </w:rPr>
        <w:t>then proceed to analyze instances of medical power abuse in other totalitarian countries. Subsequently, we</w:t>
      </w:r>
      <w:r w:rsidR="00A45A77" w:rsidRPr="009C4A5A">
        <w:rPr>
          <w:sz w:val="16"/>
        </w:rPr>
        <w:t xml:space="preserve"> </w:t>
      </w:r>
      <w:r w:rsidRPr="009C4A5A">
        <w:rPr>
          <w:sz w:val="16"/>
        </w:rPr>
        <w:t>examine some dangerous trends in modern democracies. While state-run medicine has the capability to</w:t>
      </w:r>
      <w:r w:rsidR="00A45A77" w:rsidRPr="009C4A5A">
        <w:rPr>
          <w:sz w:val="16"/>
        </w:rPr>
        <w:t xml:space="preserve"> </w:t>
      </w:r>
      <w:r w:rsidRPr="009C4A5A">
        <w:rPr>
          <w:sz w:val="16"/>
        </w:rPr>
        <w:t xml:space="preserve">provide effective solutions in certain cases, </w:t>
      </w:r>
      <w:r w:rsidRPr="00DD2D90">
        <w:rPr>
          <w:rStyle w:val="StyleUnderline"/>
        </w:rPr>
        <w:t xml:space="preserve">we should not overlook the potential dangers of </w:t>
      </w:r>
      <w:r w:rsidRPr="00DD2D90">
        <w:rPr>
          <w:rStyle w:val="Emphasis"/>
        </w:rPr>
        <w:t>power abuse</w:t>
      </w:r>
      <w:r w:rsidR="00A45A77" w:rsidRPr="00DD2D90">
        <w:rPr>
          <w:rStyle w:val="StyleUnderline"/>
        </w:rPr>
        <w:t xml:space="preserve"> </w:t>
      </w:r>
      <w:r w:rsidRPr="00DD2D90">
        <w:rPr>
          <w:rStyle w:val="StyleUnderline"/>
        </w:rPr>
        <w:t>and the degradation of service quality resulting from the state’s domination in healthcare</w:t>
      </w:r>
      <w:r w:rsidRPr="009C4A5A">
        <w:rPr>
          <w:sz w:val="16"/>
        </w:rPr>
        <w:t>. It is questionable</w:t>
      </w:r>
      <w:r w:rsidR="00A45A77" w:rsidRPr="009C4A5A">
        <w:rPr>
          <w:sz w:val="16"/>
        </w:rPr>
        <w:t xml:space="preserve"> </w:t>
      </w:r>
      <w:r w:rsidRPr="009C4A5A">
        <w:rPr>
          <w:sz w:val="16"/>
        </w:rPr>
        <w:t>whether ethical guidelines and proper education alone can substitute institutional means to safeguard patients’</w:t>
      </w:r>
      <w:r w:rsidR="00A45A77" w:rsidRPr="009C4A5A">
        <w:rPr>
          <w:sz w:val="16"/>
        </w:rPr>
        <w:t xml:space="preserve"> </w:t>
      </w:r>
      <w:r w:rsidRPr="009C4A5A">
        <w:rPr>
          <w:sz w:val="16"/>
        </w:rPr>
        <w:t>rights. These dangers need to be carefully analyzed when determining medical policy. For example, the</w:t>
      </w:r>
      <w:r w:rsidR="00A45A77" w:rsidRPr="009C4A5A">
        <w:rPr>
          <w:sz w:val="16"/>
        </w:rPr>
        <w:t xml:space="preserve"> </w:t>
      </w:r>
      <w:r w:rsidRPr="009C4A5A">
        <w:rPr>
          <w:sz w:val="16"/>
        </w:rPr>
        <w:t xml:space="preserve">well-known problem of </w:t>
      </w:r>
      <w:r w:rsidRPr="00DD2D90">
        <w:rPr>
          <w:rStyle w:val="StyleUnderline"/>
        </w:rPr>
        <w:t>information asymmetry between doctors and patients can be effectively mitigated in</w:t>
      </w:r>
      <w:r w:rsidR="00A45A77" w:rsidRPr="00DD2D90">
        <w:rPr>
          <w:rStyle w:val="StyleUnderline"/>
        </w:rPr>
        <w:t xml:space="preserve"> </w:t>
      </w:r>
      <w:r w:rsidRPr="00DD2D90">
        <w:rPr>
          <w:rStyle w:val="StyleUnderline"/>
        </w:rPr>
        <w:t>a free society with a competitive market for healthcare</w:t>
      </w:r>
      <w:r w:rsidRPr="009C4A5A">
        <w:rPr>
          <w:sz w:val="16"/>
        </w:rPr>
        <w:t>. 1. Introduction</w:t>
      </w:r>
      <w:r w:rsidR="00A45A77" w:rsidRPr="009C4A5A">
        <w:rPr>
          <w:sz w:val="16"/>
        </w:rPr>
        <w:t xml:space="preserve"> </w:t>
      </w:r>
      <w:r w:rsidRPr="009C4A5A">
        <w:rPr>
          <w:sz w:val="16"/>
        </w:rPr>
        <w:t>It is generally accepted that the potential for abuse of power is inherent to medicine (Reis &amp; Wald,</w:t>
      </w:r>
      <w:r w:rsidR="00A45A77" w:rsidRPr="009C4A5A">
        <w:rPr>
          <w:sz w:val="16"/>
        </w:rPr>
        <w:t xml:space="preserve"> </w:t>
      </w:r>
      <w:r w:rsidRPr="009C4A5A">
        <w:rPr>
          <w:sz w:val="16"/>
        </w:rPr>
        <w:t>2019). The case of doctors in Nazi Germany provides a frightening example of such power abuse. We</w:t>
      </w:r>
      <w:r w:rsidR="00A45A77" w:rsidRPr="009C4A5A">
        <w:rPr>
          <w:sz w:val="16"/>
        </w:rPr>
        <w:t xml:space="preserve"> </w:t>
      </w:r>
      <w:r w:rsidRPr="009C4A5A">
        <w:rPr>
          <w:sz w:val="16"/>
        </w:rPr>
        <w:t xml:space="preserve">should stress the amazing popularity of the Nazi party (NSDAP) among German physicians: </w:t>
      </w:r>
      <w:r w:rsidRPr="00DD2D90">
        <w:rPr>
          <w:rStyle w:val="StyleUnderline"/>
          <w:highlight w:val="green"/>
        </w:rPr>
        <w:t>40% of</w:t>
      </w:r>
      <w:r w:rsidR="00A45A77" w:rsidRPr="00DD2D90">
        <w:rPr>
          <w:rStyle w:val="StyleUnderline"/>
          <w:highlight w:val="green"/>
        </w:rPr>
        <w:t xml:space="preserve"> </w:t>
      </w:r>
      <w:r w:rsidRPr="00DD2D90">
        <w:rPr>
          <w:rStyle w:val="StyleUnderline"/>
          <w:highlight w:val="green"/>
        </w:rPr>
        <w:t>physicians joined NSDAP</w:t>
      </w:r>
      <w:r w:rsidRPr="009C4A5A">
        <w:rPr>
          <w:sz w:val="16"/>
        </w:rPr>
        <w:t xml:space="preserve"> (Kater, 1987), </w:t>
      </w:r>
      <w:r w:rsidRPr="00DD2D90">
        <w:rPr>
          <w:rStyle w:val="StyleUnderline"/>
        </w:rPr>
        <w:t>as compared to 10% on average</w:t>
      </w:r>
      <w:r w:rsidRPr="009C4A5A">
        <w:rPr>
          <w:sz w:val="16"/>
        </w:rPr>
        <w:t xml:space="preserve"> (Kater, 1983) </w:t>
      </w:r>
      <w:r w:rsidRPr="00DD2D90">
        <w:rPr>
          <w:rStyle w:val="StyleUnderline"/>
        </w:rPr>
        <w:t>and to 22%</w:t>
      </w:r>
      <w:r w:rsidR="00A45A77" w:rsidRPr="00DD2D90">
        <w:rPr>
          <w:rStyle w:val="StyleUnderline"/>
        </w:rPr>
        <w:t xml:space="preserve"> </w:t>
      </w:r>
      <w:r w:rsidRPr="00DD2D90">
        <w:rPr>
          <w:rStyle w:val="StyleUnderline"/>
        </w:rPr>
        <w:t>among teachers</w:t>
      </w:r>
      <w:r w:rsidRPr="009C4A5A">
        <w:rPr>
          <w:sz w:val="16"/>
        </w:rPr>
        <w:t xml:space="preserve"> (Jaraush &amp; Arminger, 1989). Two means to mitigate the threat of abuse are usually</w:t>
      </w:r>
      <w:r w:rsidR="00A45A77" w:rsidRPr="009C4A5A">
        <w:rPr>
          <w:sz w:val="16"/>
        </w:rPr>
        <w:t xml:space="preserve"> </w:t>
      </w:r>
      <w:r w:rsidRPr="009C4A5A">
        <w:rPr>
          <w:sz w:val="16"/>
        </w:rPr>
        <w:t>discussed. One is due ethical guidelines and proper doctors’ education (Gallin et al., 2020); another</w:t>
      </w:r>
      <w:r w:rsidR="00A45A77" w:rsidRPr="009C4A5A">
        <w:rPr>
          <w:sz w:val="16"/>
        </w:rPr>
        <w:t xml:space="preserve"> </w:t>
      </w:r>
      <w:r w:rsidRPr="009C4A5A">
        <w:rPr>
          <w:sz w:val="16"/>
        </w:rPr>
        <w:t xml:space="preserve">is proper government regulation and control, as well as legal liability of the </w:t>
      </w:r>
      <w:r w:rsidRPr="00DD2D90">
        <w:rPr>
          <w:rStyle w:val="StyleUnderline"/>
        </w:rPr>
        <w:t>medical professionals</w:t>
      </w:r>
      <w:r w:rsidRPr="009C4A5A">
        <w:rPr>
          <w:sz w:val="16"/>
        </w:rPr>
        <w:t>.</w:t>
      </w:r>
      <w:r w:rsidR="00A45A77" w:rsidRPr="009C4A5A">
        <w:rPr>
          <w:sz w:val="16"/>
        </w:rPr>
        <w:t xml:space="preserve"> </w:t>
      </w:r>
      <w:r w:rsidRPr="009C4A5A">
        <w:rPr>
          <w:sz w:val="16"/>
        </w:rPr>
        <w:t xml:space="preserve">However, we hypothesized that under certain circumstances both means </w:t>
      </w:r>
      <w:r w:rsidRPr="00DD2D90">
        <w:rPr>
          <w:rStyle w:val="StyleUnderline"/>
        </w:rPr>
        <w:t>may miss their target or even</w:t>
      </w:r>
      <w:r w:rsidR="00A45A77" w:rsidRPr="00DD2D90">
        <w:rPr>
          <w:rStyle w:val="StyleUnderline"/>
        </w:rPr>
        <w:t xml:space="preserve"> </w:t>
      </w:r>
      <w:r w:rsidRPr="00DD2D90">
        <w:rPr>
          <w:rStyle w:val="StyleUnderline"/>
        </w:rPr>
        <w:t>promote abuse of power instead of protecting the patients</w:t>
      </w:r>
      <w:r w:rsidRPr="009C4A5A">
        <w:rPr>
          <w:sz w:val="16"/>
        </w:rPr>
        <w:t>. In this paper we elaborate on the following</w:t>
      </w:r>
      <w:r w:rsidR="00A45A77" w:rsidRPr="009C4A5A">
        <w:rPr>
          <w:sz w:val="16"/>
        </w:rPr>
        <w:t xml:space="preserve"> </w:t>
      </w:r>
      <w:r w:rsidRPr="009C4A5A">
        <w:rPr>
          <w:sz w:val="16"/>
        </w:rPr>
        <w:t>research questions:</w:t>
      </w:r>
      <w:r w:rsidR="00A45A77" w:rsidRPr="009C4A5A">
        <w:rPr>
          <w:sz w:val="16"/>
        </w:rPr>
        <w:t xml:space="preserve"> </w:t>
      </w:r>
      <w:r w:rsidRPr="009C4A5A">
        <w:rPr>
          <w:sz w:val="16"/>
        </w:rPr>
        <w:t>• Can one point on an institutional background of medical power abuse in pre-Nazi Germany?</w:t>
      </w:r>
      <w:r w:rsidR="00A45A77" w:rsidRPr="009C4A5A">
        <w:rPr>
          <w:sz w:val="16"/>
        </w:rPr>
        <w:t xml:space="preserve"> </w:t>
      </w:r>
      <w:r w:rsidRPr="009C4A5A">
        <w:rPr>
          <w:sz w:val="16"/>
        </w:rPr>
        <w:t>• If yes, does such a background exist in other countries, including democracies?</w:t>
      </w:r>
      <w:r w:rsidR="00A45A77" w:rsidRPr="009C4A5A">
        <w:rPr>
          <w:sz w:val="16"/>
        </w:rPr>
        <w:t xml:space="preserve"> </w:t>
      </w:r>
      <w:r w:rsidRPr="009C4A5A">
        <w:rPr>
          <w:sz w:val="16"/>
        </w:rPr>
        <w:t>• Do we see dangerous trends in modern democracies?</w:t>
      </w:r>
      <w:r w:rsidR="00A45A77" w:rsidRPr="009C4A5A">
        <w:rPr>
          <w:sz w:val="16"/>
        </w:rPr>
        <w:t xml:space="preserve"> </w:t>
      </w:r>
      <w:r w:rsidRPr="009C4A5A">
        <w:rPr>
          <w:sz w:val="16"/>
        </w:rPr>
        <w:t>• If yes, what can be done?</w:t>
      </w:r>
      <w:r w:rsidR="00A45A77" w:rsidRPr="009C4A5A">
        <w:rPr>
          <w:sz w:val="16"/>
        </w:rPr>
        <w:t xml:space="preserve"> </w:t>
      </w:r>
      <w:r w:rsidRPr="009C4A5A">
        <w:rPr>
          <w:sz w:val="16"/>
        </w:rPr>
        <w:t>2. Theoretical and methodological frameworks</w:t>
      </w:r>
      <w:r w:rsidR="00A45A77" w:rsidRPr="009C4A5A">
        <w:rPr>
          <w:sz w:val="16"/>
        </w:rPr>
        <w:t xml:space="preserve"> </w:t>
      </w:r>
      <w:r w:rsidRPr="009C4A5A">
        <w:rPr>
          <w:sz w:val="16"/>
        </w:rPr>
        <w:t>This review applies the heterodox analysis from Austrian Economics (i.e., Menger, Mises, Hayek,</w:t>
      </w:r>
      <w:r w:rsidR="00A45A77" w:rsidRPr="009C4A5A">
        <w:rPr>
          <w:sz w:val="16"/>
        </w:rPr>
        <w:t xml:space="preserve"> </w:t>
      </w:r>
      <w:r w:rsidRPr="009C4A5A">
        <w:rPr>
          <w:sz w:val="16"/>
        </w:rPr>
        <w:t>Rothbard, et al., Huerta de Soto, 2000; Zanotti, 2012), New-Institutional Economics (i.e., Coase,</w:t>
      </w:r>
      <w:r w:rsidR="00A45A77" w:rsidRPr="009C4A5A">
        <w:rPr>
          <w:sz w:val="16"/>
        </w:rPr>
        <w:t xml:space="preserve"> </w:t>
      </w:r>
      <w:r w:rsidRPr="009C4A5A">
        <w:rPr>
          <w:sz w:val="16"/>
        </w:rPr>
        <w:t>Buchanan, Tullock, Fogel, et al., Buchanan &amp; Tullock, 1962; Brennan &amp; Buchanan, 1985), and its</w:t>
      </w:r>
      <w:r w:rsidR="00A45A77" w:rsidRPr="009C4A5A">
        <w:rPr>
          <w:sz w:val="16"/>
        </w:rPr>
        <w:t xml:space="preserve"> </w:t>
      </w:r>
      <w:r w:rsidRPr="009C4A5A">
        <w:rPr>
          <w:sz w:val="16"/>
        </w:rPr>
        <w:t>mixture (Sánchez-Bayón, 2022a, 2023a, and 2024a-b). This heterodox synthesis (Sánchez-Bayón,</w:t>
      </w:r>
      <w:r w:rsidR="00A45A77" w:rsidRPr="009C4A5A">
        <w:rPr>
          <w:sz w:val="16"/>
        </w:rPr>
        <w:t xml:space="preserve"> </w:t>
      </w:r>
      <w:r w:rsidRPr="009C4A5A">
        <w:rPr>
          <w:sz w:val="16"/>
        </w:rPr>
        <w:t>2022b-c and 2023b-c) is based on a mainline foundation (Boettke et al, 2016) , and common tools and</w:t>
      </w:r>
      <w:r w:rsidR="00A45A77" w:rsidRPr="009C4A5A">
        <w:rPr>
          <w:sz w:val="16"/>
        </w:rPr>
        <w:t xml:space="preserve"> </w:t>
      </w:r>
      <w:r w:rsidRPr="009C4A5A">
        <w:rPr>
          <w:sz w:val="16"/>
        </w:rPr>
        <w:t>approaches: methodological individualism (included the State, which includes other economic agents:</w:t>
      </w:r>
      <w:r w:rsidR="00A45A77" w:rsidRPr="009C4A5A">
        <w:rPr>
          <w:sz w:val="16"/>
        </w:rPr>
        <w:t xml:space="preserve"> </w:t>
      </w:r>
      <w:r w:rsidRPr="009C4A5A">
        <w:rPr>
          <w:sz w:val="16"/>
        </w:rPr>
        <w:t>bureaucrats, politicians and lobbies; Buchanan &amp; Tullock, 1962; Anderson, 1986), principle of realism</w:t>
      </w:r>
      <w:r w:rsidR="00A45A77" w:rsidRPr="009C4A5A">
        <w:rPr>
          <w:sz w:val="16"/>
        </w:rPr>
        <w:t xml:space="preserve"> </w:t>
      </w:r>
      <w:r w:rsidRPr="009C4A5A">
        <w:rPr>
          <w:sz w:val="16"/>
        </w:rPr>
        <w:t>(realistic and positive study and not normative and econometric biases, i.e., F-twist, mathiness, Romer,</w:t>
      </w:r>
      <w:r w:rsidR="00A45A77" w:rsidRPr="009C4A5A">
        <w:rPr>
          <w:sz w:val="16"/>
        </w:rPr>
        <w:t xml:space="preserve"> </w:t>
      </w:r>
      <w:r w:rsidRPr="009C4A5A">
        <w:rPr>
          <w:sz w:val="16"/>
        </w:rPr>
        <w:t>2015; Sánchez-Bayón et al., 2023), etc.</w:t>
      </w:r>
      <w:r w:rsidR="00A45A77" w:rsidRPr="009C4A5A">
        <w:rPr>
          <w:sz w:val="16"/>
        </w:rPr>
        <w:t xml:space="preserve"> </w:t>
      </w:r>
      <w:r w:rsidRPr="009C4A5A">
        <w:rPr>
          <w:sz w:val="16"/>
        </w:rPr>
        <w:t>According to this heterodox analysis, this review realizes 3 kinds or levels of analysis:</w:t>
      </w:r>
      <w:r w:rsidR="00A45A77" w:rsidRPr="009C4A5A">
        <w:rPr>
          <w:sz w:val="16"/>
        </w:rPr>
        <w:t xml:space="preserve"> </w:t>
      </w:r>
      <w:r w:rsidRPr="009C4A5A">
        <w:rPr>
          <w:sz w:val="16"/>
        </w:rPr>
        <w:t>• Comparative analysis of healthcare systems in the 19th-20th centuries.</w:t>
      </w:r>
      <w:r w:rsidR="00A45A77" w:rsidRPr="009C4A5A">
        <w:rPr>
          <w:sz w:val="16"/>
        </w:rPr>
        <w:t xml:space="preserve"> </w:t>
      </w:r>
      <w:r w:rsidRPr="009C4A5A">
        <w:rPr>
          <w:sz w:val="16"/>
        </w:rPr>
        <w:t>• Institutional analysis of public health systems in different countries—totalitarian and democratic.</w:t>
      </w:r>
      <w:r w:rsidR="00A45A77" w:rsidRPr="009C4A5A">
        <w:rPr>
          <w:sz w:val="16"/>
        </w:rPr>
        <w:t xml:space="preserve"> </w:t>
      </w:r>
      <w:r w:rsidRPr="009C4A5A">
        <w:rPr>
          <w:sz w:val="16"/>
        </w:rPr>
        <w:t>• Narrative review of alarming trends in modern democracies.</w:t>
      </w:r>
      <w:r w:rsidR="00A45A77" w:rsidRPr="009C4A5A">
        <w:rPr>
          <w:sz w:val="16"/>
        </w:rPr>
        <w:t xml:space="preserve"> </w:t>
      </w:r>
      <w:r w:rsidRPr="009C4A5A">
        <w:rPr>
          <w:sz w:val="16"/>
        </w:rPr>
        <w:t>3. Results</w:t>
      </w:r>
      <w:r w:rsidR="00A45A77" w:rsidRPr="009C4A5A">
        <w:rPr>
          <w:sz w:val="16"/>
        </w:rPr>
        <w:t xml:space="preserve"> </w:t>
      </w:r>
      <w:r w:rsidRPr="009C4A5A">
        <w:rPr>
          <w:sz w:val="16"/>
        </w:rPr>
        <w:t>3.1 State-dominated healthcare in Germany and the Holocaust</w:t>
      </w:r>
      <w:r w:rsidR="00A45A77" w:rsidRPr="009C4A5A">
        <w:rPr>
          <w:sz w:val="16"/>
        </w:rPr>
        <w:t xml:space="preserve"> </w:t>
      </w:r>
      <w:r w:rsidRPr="009C4A5A">
        <w:rPr>
          <w:sz w:val="16"/>
        </w:rPr>
        <w:t xml:space="preserve">Decades </w:t>
      </w:r>
      <w:r w:rsidRPr="00DD2D90">
        <w:rPr>
          <w:rStyle w:val="StyleUnderline"/>
        </w:rPr>
        <w:t>before Hitler</w:t>
      </w:r>
      <w:r w:rsidRPr="009C4A5A">
        <w:rPr>
          <w:sz w:val="16"/>
        </w:rPr>
        <w:t xml:space="preserve"> came to power, </w:t>
      </w:r>
      <w:r w:rsidRPr="00DD2D90">
        <w:rPr>
          <w:rStyle w:val="StyleUnderline"/>
        </w:rPr>
        <w:t xml:space="preserve">Germany had </w:t>
      </w:r>
      <w:r w:rsidRPr="009C4A5A">
        <w:rPr>
          <w:sz w:val="16"/>
        </w:rPr>
        <w:t>a tradition of government intervention in health-</w:t>
      </w:r>
      <w:r w:rsidR="00A45A77" w:rsidRPr="009C4A5A">
        <w:rPr>
          <w:sz w:val="16"/>
        </w:rPr>
        <w:t xml:space="preserve"> </w:t>
      </w:r>
      <w:r w:rsidRPr="009C4A5A">
        <w:rPr>
          <w:sz w:val="16"/>
        </w:rPr>
        <w:t>care. State-run health insurance GKV (Gesetzliche Krankenversicherung) was established by Bismark</w:t>
      </w:r>
      <w:r w:rsidR="00A45A77" w:rsidRPr="009C4A5A">
        <w:rPr>
          <w:sz w:val="16"/>
        </w:rPr>
        <w:t xml:space="preserve"> </w:t>
      </w:r>
      <w:r w:rsidRPr="009C4A5A">
        <w:rPr>
          <w:sz w:val="16"/>
        </w:rPr>
        <w:t>in 1890 (IQEHC, 2015); noncommercial health insurance run by the oppositional Social-Democratic</w:t>
      </w:r>
      <w:r w:rsidR="00A45A77" w:rsidRPr="009C4A5A">
        <w:rPr>
          <w:sz w:val="16"/>
        </w:rPr>
        <w:t xml:space="preserve"> </w:t>
      </w:r>
      <w:r w:rsidRPr="009C4A5A">
        <w:rPr>
          <w:sz w:val="16"/>
        </w:rPr>
        <w:t>party was dissolved on political grounds (WHO HiT, 2000). In other countries like Britain, France,</w:t>
      </w:r>
      <w:r w:rsidR="00A45A77" w:rsidRPr="009C4A5A">
        <w:rPr>
          <w:sz w:val="16"/>
        </w:rPr>
        <w:t xml:space="preserve"> </w:t>
      </w:r>
      <w:r w:rsidRPr="009C4A5A">
        <w:rPr>
          <w:sz w:val="16"/>
        </w:rPr>
        <w:t>and Belgium, state-run health programs were created only after the Second World War; meanwhile,</w:t>
      </w:r>
      <w:r w:rsidR="00A45A77" w:rsidRPr="009C4A5A">
        <w:rPr>
          <w:sz w:val="16"/>
        </w:rPr>
        <w:t xml:space="preserve"> </w:t>
      </w:r>
      <w:r w:rsidRPr="009C4A5A">
        <w:rPr>
          <w:sz w:val="16"/>
        </w:rPr>
        <w:t>non-commercial health programs for the needy developed successfully (Green, 1993; Rodwin, 2003;</w:t>
      </w:r>
      <w:r w:rsidR="00A45A77" w:rsidRPr="009C4A5A">
        <w:rPr>
          <w:sz w:val="16"/>
        </w:rPr>
        <w:t xml:space="preserve"> </w:t>
      </w:r>
      <w:r w:rsidRPr="009C4A5A">
        <w:rPr>
          <w:sz w:val="16"/>
        </w:rPr>
        <w:t>WHO, 2004). In Germany, however, governmental policies promoted expansion of the state-run</w:t>
      </w:r>
      <w:r w:rsidR="00A45A77" w:rsidRPr="009C4A5A">
        <w:rPr>
          <w:sz w:val="16"/>
        </w:rPr>
        <w:t xml:space="preserve"> </w:t>
      </w:r>
      <w:r w:rsidRPr="009C4A5A">
        <w:rPr>
          <w:sz w:val="16"/>
        </w:rPr>
        <w:t xml:space="preserve">healthcare. The presence of </w:t>
      </w:r>
      <w:r w:rsidRPr="00DD2D90">
        <w:rPr>
          <w:rStyle w:val="StyleUnderline"/>
        </w:rPr>
        <w:t xml:space="preserve">free healthcare </w:t>
      </w:r>
      <w:r w:rsidRPr="009C4A5A">
        <w:rPr>
          <w:sz w:val="16"/>
        </w:rPr>
        <w:t>(at taxpayers’ expense) influenced the competition in</w:t>
      </w:r>
      <w:r w:rsidR="00A45A77" w:rsidRPr="009C4A5A">
        <w:rPr>
          <w:sz w:val="16"/>
        </w:rPr>
        <w:t xml:space="preserve"> </w:t>
      </w:r>
      <w:r w:rsidRPr="009C4A5A">
        <w:rPr>
          <w:sz w:val="16"/>
        </w:rPr>
        <w:t>providing medical services. Clearly, a provider like GKV—whose service is free—was able to suggest</w:t>
      </w:r>
      <w:r w:rsidR="00A45A77" w:rsidRPr="009C4A5A">
        <w:rPr>
          <w:sz w:val="16"/>
        </w:rPr>
        <w:t xml:space="preserve"> </w:t>
      </w:r>
      <w:r w:rsidRPr="009C4A5A">
        <w:rPr>
          <w:sz w:val="16"/>
        </w:rPr>
        <w:t>even a low standard of care and still enjoy a significant market share. This share was growing, sup-</w:t>
      </w:r>
      <w:r w:rsidR="00A45A77" w:rsidRPr="009C4A5A">
        <w:rPr>
          <w:sz w:val="16"/>
        </w:rPr>
        <w:t xml:space="preserve"> </w:t>
      </w:r>
      <w:r w:rsidRPr="009C4A5A">
        <w:rPr>
          <w:sz w:val="16"/>
        </w:rPr>
        <w:t>ported by the state budget. And in the private sector, physicians and hospitals were more and more</w:t>
      </w:r>
      <w:r w:rsidR="00A45A77" w:rsidRPr="009C4A5A">
        <w:rPr>
          <w:sz w:val="16"/>
        </w:rPr>
        <w:t xml:space="preserve"> </w:t>
      </w:r>
      <w:r w:rsidRPr="009C4A5A">
        <w:rPr>
          <w:sz w:val="16"/>
        </w:rPr>
        <w:t>busy searching for alternative means to maintain or increase market share—namely, the alliance with</w:t>
      </w:r>
      <w:r w:rsidR="00A45A77" w:rsidRPr="009C4A5A">
        <w:rPr>
          <w:sz w:val="16"/>
        </w:rPr>
        <w:t xml:space="preserve"> </w:t>
      </w:r>
      <w:r w:rsidRPr="009C4A5A">
        <w:rPr>
          <w:sz w:val="16"/>
        </w:rPr>
        <w:t>regulatory authorities. Ultimately, GKV covered most of the population by 1927.</w:t>
      </w:r>
      <w:r w:rsidR="00A45A77" w:rsidRPr="009C4A5A">
        <w:rPr>
          <w:sz w:val="16"/>
        </w:rPr>
        <w:t xml:space="preserve"> </w:t>
      </w:r>
      <w:r w:rsidRPr="009C4A5A">
        <w:rPr>
          <w:sz w:val="16"/>
        </w:rPr>
        <w:t>The long-term decision to adopt state-run healthcare in Germany was not prompted by a crisis in</w:t>
      </w:r>
      <w:r w:rsidR="00A45A77" w:rsidRPr="009C4A5A">
        <w:rPr>
          <w:sz w:val="16"/>
        </w:rPr>
        <w:t xml:space="preserve"> </w:t>
      </w:r>
      <w:r w:rsidRPr="009C4A5A">
        <w:rPr>
          <w:sz w:val="16"/>
        </w:rPr>
        <w:t xml:space="preserve">private healthcare. We propose that </w:t>
      </w:r>
      <w:r w:rsidRPr="00DD2D90">
        <w:rPr>
          <w:rStyle w:val="StyleUnderline"/>
        </w:rPr>
        <w:t>this</w:t>
      </w:r>
      <w:r w:rsidRPr="009C4A5A">
        <w:rPr>
          <w:sz w:val="16"/>
        </w:rPr>
        <w:t xml:space="preserve"> choice </w:t>
      </w:r>
      <w:r w:rsidRPr="00DD2D90">
        <w:rPr>
          <w:rStyle w:val="StyleUnderline"/>
        </w:rPr>
        <w:t>was driven by</w:t>
      </w:r>
      <w:r w:rsidRPr="009C4A5A">
        <w:rPr>
          <w:sz w:val="16"/>
        </w:rPr>
        <w:t xml:space="preserve"> two intertwined bureaucratic incentives:</w:t>
      </w:r>
      <w:r w:rsidR="00A45A77" w:rsidRPr="009C4A5A">
        <w:rPr>
          <w:sz w:val="16"/>
        </w:rPr>
        <w:t xml:space="preserve"> </w:t>
      </w:r>
      <w:r w:rsidRPr="00DD2D90">
        <w:rPr>
          <w:rStyle w:val="StyleUnderline"/>
        </w:rPr>
        <w:t>the desire to expand discretionary power and gain electoral support for this</w:t>
      </w:r>
      <w:r w:rsidRPr="009C4A5A">
        <w:rPr>
          <w:sz w:val="16"/>
        </w:rPr>
        <w:t xml:space="preserve"> expansion (Jasay, 1985)</w:t>
      </w:r>
      <w:r w:rsidR="00A45A77" w:rsidRPr="009C4A5A">
        <w:rPr>
          <w:sz w:val="16"/>
        </w:rPr>
        <w:t xml:space="preserve"> </w:t>
      </w:r>
      <w:r w:rsidRPr="00DD2D90">
        <w:rPr>
          <w:rStyle w:val="StyleUnderline"/>
        </w:rPr>
        <w:t>and the aim to maximize public spending while maintaining control over resources</w:t>
      </w:r>
      <w:r w:rsidRPr="009C4A5A">
        <w:rPr>
          <w:sz w:val="16"/>
        </w:rPr>
        <w:t xml:space="preserve"> (Tullock, 1965;</w:t>
      </w:r>
      <w:r w:rsidR="00A45A77" w:rsidRPr="009C4A5A">
        <w:rPr>
          <w:sz w:val="16"/>
        </w:rPr>
        <w:t xml:space="preserve"> </w:t>
      </w:r>
      <w:r w:rsidRPr="009C4A5A">
        <w:rPr>
          <w:sz w:val="16"/>
        </w:rPr>
        <w:t xml:space="preserve">Niskanen, 1971). Also, </w:t>
      </w:r>
      <w:r w:rsidRPr="00DD2D90">
        <w:rPr>
          <w:rStyle w:val="StyleUnderline"/>
          <w:highlight w:val="green"/>
        </w:rPr>
        <w:t>deep in</w:t>
      </w:r>
      <w:r w:rsidRPr="009C4A5A">
        <w:rPr>
          <w:sz w:val="16"/>
        </w:rPr>
        <w:t xml:space="preserve"> this kind of </w:t>
      </w:r>
      <w:r w:rsidRPr="00DD2D90">
        <w:rPr>
          <w:rStyle w:val="StyleUnderline"/>
          <w:highlight w:val="green"/>
        </w:rPr>
        <w:t>interventionism</w:t>
      </w:r>
      <w:r w:rsidRPr="009C4A5A">
        <w:rPr>
          <w:sz w:val="16"/>
        </w:rPr>
        <w:t xml:space="preserve"> there </w:t>
      </w:r>
      <w:r w:rsidRPr="00DD2D90">
        <w:rPr>
          <w:rStyle w:val="StyleUnderline"/>
          <w:highlight w:val="green"/>
        </w:rPr>
        <w:t>are</w:t>
      </w:r>
      <w:r w:rsidRPr="009C4A5A">
        <w:rPr>
          <w:sz w:val="16"/>
        </w:rPr>
        <w:t xml:space="preserve"> unwanted effects and failures</w:t>
      </w:r>
      <w:r w:rsidR="00A45A77" w:rsidRPr="009C4A5A">
        <w:rPr>
          <w:sz w:val="16"/>
        </w:rPr>
        <w:t xml:space="preserve"> </w:t>
      </w:r>
      <w:r w:rsidRPr="009C4A5A">
        <w:rPr>
          <w:sz w:val="16"/>
        </w:rPr>
        <w:t xml:space="preserve">(Sánchez-Bayón, 2023c-d &amp; 2024b-c), and </w:t>
      </w:r>
      <w:r w:rsidRPr="00DD2D90">
        <w:rPr>
          <w:rStyle w:val="StyleUnderline"/>
          <w:highlight w:val="green"/>
        </w:rPr>
        <w:t xml:space="preserve">the risk of </w:t>
      </w:r>
      <w:r w:rsidRPr="00DD2D90">
        <w:rPr>
          <w:rStyle w:val="Emphasis"/>
          <w:highlight w:val="green"/>
        </w:rPr>
        <w:t>omnipotent</w:t>
      </w:r>
      <w:r w:rsidRPr="00DD2D90">
        <w:rPr>
          <w:rStyle w:val="StyleUnderline"/>
          <w:highlight w:val="green"/>
        </w:rPr>
        <w:t xml:space="preserve"> government</w:t>
      </w:r>
      <w:r w:rsidRPr="009C4A5A">
        <w:rPr>
          <w:sz w:val="16"/>
        </w:rPr>
        <w:t xml:space="preserve"> (Mises, 1944) </w:t>
      </w:r>
      <w:r w:rsidRPr="00DD2D90">
        <w:rPr>
          <w:rStyle w:val="StyleUnderline"/>
          <w:highlight w:val="green"/>
        </w:rPr>
        <w:t>and the</w:t>
      </w:r>
      <w:r w:rsidR="00A45A77" w:rsidRPr="00DD2D90">
        <w:rPr>
          <w:rStyle w:val="StyleUnderline"/>
          <w:highlight w:val="green"/>
        </w:rPr>
        <w:t xml:space="preserve"> </w:t>
      </w:r>
      <w:r w:rsidRPr="00DD2D90">
        <w:rPr>
          <w:rStyle w:val="Emphasis"/>
          <w:highlight w:val="green"/>
        </w:rPr>
        <w:t>road to serfdom</w:t>
      </w:r>
      <w:r w:rsidRPr="009C4A5A">
        <w:rPr>
          <w:sz w:val="16"/>
        </w:rPr>
        <w:t xml:space="preserve"> (Hayek, 1944).</w:t>
      </w:r>
      <w:r w:rsidR="00A45A77" w:rsidRPr="009C4A5A">
        <w:rPr>
          <w:sz w:val="16"/>
        </w:rPr>
        <w:t xml:space="preserve"> </w:t>
      </w:r>
      <w:r w:rsidRPr="009C4A5A">
        <w:rPr>
          <w:sz w:val="16"/>
        </w:rPr>
        <w:t>Additionally, as depicted in Figure 1, the state’s assumption of healthcare responsibilities did not</w:t>
      </w:r>
      <w:r w:rsidR="00A45A77" w:rsidRPr="009C4A5A">
        <w:rPr>
          <w:sz w:val="16"/>
        </w:rPr>
        <w:t xml:space="preserve"> </w:t>
      </w:r>
      <w:r w:rsidRPr="009C4A5A">
        <w:rPr>
          <w:sz w:val="16"/>
        </w:rPr>
        <w:t>lead to noticeable improvements. This same trend is evident in other countries—refer to the cases of</w:t>
      </w:r>
      <w:r w:rsidR="00A45A77" w:rsidRPr="009C4A5A">
        <w:rPr>
          <w:sz w:val="16"/>
        </w:rPr>
        <w:t xml:space="preserve"> </w:t>
      </w:r>
      <w:r w:rsidRPr="009C4A5A">
        <w:rPr>
          <w:sz w:val="16"/>
        </w:rPr>
        <w:t>the USA, UK, and Belgium in the Supplementary Materials (Data Set1). In all instances following</w:t>
      </w:r>
      <w:r w:rsidR="00A45A77" w:rsidRPr="009C4A5A">
        <w:rPr>
          <w:sz w:val="16"/>
        </w:rPr>
        <w:t xml:space="preserve"> </w:t>
      </w:r>
      <w:r w:rsidRPr="009C4A5A">
        <w:rPr>
          <w:sz w:val="16"/>
        </w:rPr>
        <w:t>the implementation of state control, healthcare costs experienced a more rapid increase than the rate</w:t>
      </w:r>
      <w:r w:rsidR="00A45A77" w:rsidRPr="009C4A5A">
        <w:rPr>
          <w:sz w:val="16"/>
        </w:rPr>
        <w:t xml:space="preserve"> </w:t>
      </w:r>
      <w:r w:rsidRPr="009C4A5A">
        <w:rPr>
          <w:sz w:val="16"/>
        </w:rPr>
        <w:t>of economic growth. The extension of healthcare bureaucracy’s authority has become a prevalent</w:t>
      </w:r>
      <w:r w:rsidR="00A45A77" w:rsidRPr="009C4A5A">
        <w:rPr>
          <w:sz w:val="16"/>
        </w:rPr>
        <w:t xml:space="preserve"> </w:t>
      </w:r>
      <w:r w:rsidRPr="009C4A5A">
        <w:rPr>
          <w:sz w:val="16"/>
        </w:rPr>
        <w:t>phenomenon in Western countries.</w:t>
      </w:r>
      <w:r w:rsidR="00A45A77" w:rsidRPr="009C4A5A">
        <w:rPr>
          <w:sz w:val="16"/>
        </w:rPr>
        <w:t xml:space="preserve"> </w:t>
      </w:r>
      <w:r w:rsidRPr="009C4A5A">
        <w:rPr>
          <w:sz w:val="16"/>
        </w:rPr>
        <w:t>This historical development may explain the phenomenon of the amazing popularity of the NSDAP</w:t>
      </w:r>
      <w:r w:rsidR="00A45A77" w:rsidRPr="009C4A5A">
        <w:rPr>
          <w:sz w:val="16"/>
        </w:rPr>
        <w:t xml:space="preserve"> </w:t>
      </w:r>
      <w:r w:rsidRPr="009C4A5A">
        <w:rPr>
          <w:sz w:val="16"/>
        </w:rPr>
        <w:t>among German physicians mentioned above. Namely, under free society and limited government, the</w:t>
      </w:r>
      <w:r w:rsidR="00A45A77" w:rsidRPr="009C4A5A">
        <w:rPr>
          <w:sz w:val="16"/>
        </w:rPr>
        <w:t xml:space="preserve"> </w:t>
      </w:r>
      <w:r w:rsidRPr="009C4A5A">
        <w:rPr>
          <w:sz w:val="16"/>
        </w:rPr>
        <w:t>free market causes tough competition between service providers, and therefore the client (here, patient)</w:t>
      </w:r>
      <w:r w:rsidR="00A45A77" w:rsidRPr="009C4A5A">
        <w:rPr>
          <w:sz w:val="16"/>
        </w:rPr>
        <w:t xml:space="preserve"> </w:t>
      </w:r>
      <w:r w:rsidRPr="009C4A5A">
        <w:rPr>
          <w:sz w:val="16"/>
        </w:rPr>
        <w:t xml:space="preserve">is a king. </w:t>
      </w:r>
      <w:r w:rsidRPr="00DD2D90">
        <w:rPr>
          <w:rStyle w:val="StyleUnderline"/>
        </w:rPr>
        <w:t xml:space="preserve">Under </w:t>
      </w:r>
      <w:r w:rsidRPr="009C4A5A">
        <w:rPr>
          <w:sz w:val="16"/>
        </w:rPr>
        <w:t xml:space="preserve">lack of freedom (numerous </w:t>
      </w:r>
      <w:r w:rsidRPr="00DD2D90">
        <w:rPr>
          <w:rStyle w:val="StyleUnderline"/>
        </w:rPr>
        <w:t>restrictions on competition</w:t>
      </w:r>
      <w:r w:rsidRPr="009C4A5A">
        <w:rPr>
          <w:sz w:val="16"/>
        </w:rPr>
        <w:t xml:space="preserve">), </w:t>
      </w:r>
      <w:r w:rsidRPr="00DD2D90">
        <w:rPr>
          <w:rStyle w:val="StyleUnderline"/>
        </w:rPr>
        <w:t>doctors escape competition</w:t>
      </w:r>
      <w:r w:rsidR="00A45A77" w:rsidRPr="00DD2D90">
        <w:rPr>
          <w:rStyle w:val="StyleUnderline"/>
        </w:rPr>
        <w:t xml:space="preserve"> </w:t>
      </w:r>
      <w:r w:rsidRPr="00DD2D90">
        <w:rPr>
          <w:rStyle w:val="StyleUnderline"/>
        </w:rPr>
        <w:t>and enjoy de facto exemption from liability</w:t>
      </w:r>
      <w:r w:rsidRPr="009C4A5A">
        <w:rPr>
          <w:sz w:val="16"/>
        </w:rPr>
        <w:t>. Even the best doctors’ benefit from such circumstances.</w:t>
      </w:r>
      <w:r w:rsidR="00A45A77" w:rsidRPr="009C4A5A">
        <w:rPr>
          <w:sz w:val="16"/>
        </w:rPr>
        <w:t xml:space="preserve"> </w:t>
      </w:r>
      <w:r w:rsidRPr="009C4A5A">
        <w:rPr>
          <w:sz w:val="16"/>
        </w:rPr>
        <w:t>Membership in the party solidifies the abovementioned advantages.</w:t>
      </w:r>
      <w:r w:rsidR="00A45A77" w:rsidRPr="009C4A5A">
        <w:rPr>
          <w:sz w:val="16"/>
        </w:rPr>
        <w:t xml:space="preserve"> </w:t>
      </w:r>
      <w:r w:rsidRPr="009C4A5A">
        <w:rPr>
          <w:sz w:val="16"/>
        </w:rPr>
        <w:t xml:space="preserve">There is another extremely important point: change in doctors’ perception of the patient. </w:t>
      </w:r>
      <w:r w:rsidRPr="00DD2D90">
        <w:rPr>
          <w:rStyle w:val="StyleUnderline"/>
          <w:highlight w:val="green"/>
        </w:rPr>
        <w:t>Absence</w:t>
      </w:r>
      <w:r w:rsidR="00A45A77" w:rsidRPr="00DD2D90">
        <w:rPr>
          <w:rStyle w:val="StyleUnderline"/>
          <w:highlight w:val="green"/>
        </w:rPr>
        <w:t xml:space="preserve"> </w:t>
      </w:r>
      <w:r w:rsidRPr="00DD2D90">
        <w:rPr>
          <w:rStyle w:val="StyleUnderline"/>
          <w:highlight w:val="green"/>
        </w:rPr>
        <w:t>of liability developed a habit to decide for an unenlightened patient</w:t>
      </w:r>
      <w:r w:rsidRPr="00DD2D90">
        <w:rPr>
          <w:rStyle w:val="StyleUnderline"/>
        </w:rPr>
        <w:t>—in the best interest of the patient</w:t>
      </w:r>
      <w:r w:rsidR="00A45A77" w:rsidRPr="00DD2D90">
        <w:rPr>
          <w:rStyle w:val="StyleUnderline"/>
        </w:rPr>
        <w:t xml:space="preserve"> </w:t>
      </w:r>
      <w:r w:rsidRPr="00DD2D90">
        <w:rPr>
          <w:rStyle w:val="StyleUnderline"/>
        </w:rPr>
        <w:t>himself</w:t>
      </w:r>
      <w:r w:rsidRPr="009C4A5A">
        <w:rPr>
          <w:sz w:val="16"/>
        </w:rPr>
        <w:t xml:space="preserve">, of course. Thus, </w:t>
      </w:r>
      <w:r w:rsidRPr="00DD2D90">
        <w:rPr>
          <w:rStyle w:val="StyleUnderline"/>
          <w:highlight w:val="green"/>
        </w:rPr>
        <w:t>they</w:t>
      </w:r>
      <w:r w:rsidRPr="00DD2D90">
        <w:rPr>
          <w:rStyle w:val="StyleUnderline"/>
        </w:rPr>
        <w:t xml:space="preserve"> turned open to </w:t>
      </w:r>
      <w:r w:rsidRPr="00DD2D90">
        <w:rPr>
          <w:rStyle w:val="StyleUnderline"/>
          <w:highlight w:val="green"/>
        </w:rPr>
        <w:t xml:space="preserve">accept </w:t>
      </w:r>
      <w:r w:rsidRPr="00DD2D90">
        <w:rPr>
          <w:rStyle w:val="Emphasis"/>
          <w:highlight w:val="green"/>
        </w:rPr>
        <w:t>totalitarian ideology</w:t>
      </w:r>
      <w:r w:rsidRPr="009C4A5A">
        <w:rPr>
          <w:sz w:val="16"/>
        </w:rPr>
        <w:t xml:space="preserve">, </w:t>
      </w:r>
      <w:r w:rsidRPr="00DD2D90">
        <w:rPr>
          <w:rStyle w:val="StyleUnderline"/>
          <w:highlight w:val="green"/>
        </w:rPr>
        <w:t>which</w:t>
      </w:r>
      <w:r w:rsidRPr="009C4A5A">
        <w:rPr>
          <w:sz w:val="16"/>
        </w:rPr>
        <w:t xml:space="preserve"> also </w:t>
      </w:r>
      <w:r w:rsidRPr="00DD2D90">
        <w:rPr>
          <w:rStyle w:val="StyleUnderline"/>
          <w:highlight w:val="green"/>
        </w:rPr>
        <w:t>legitimized</w:t>
      </w:r>
      <w:r w:rsidR="00A45A77" w:rsidRPr="00DD2D90">
        <w:rPr>
          <w:rStyle w:val="StyleUnderline"/>
        </w:rPr>
        <w:t xml:space="preserve"> </w:t>
      </w:r>
      <w:r w:rsidRPr="00DD2D90">
        <w:rPr>
          <w:rStyle w:val="StyleUnderline"/>
          <w:highlight w:val="green"/>
        </w:rPr>
        <w:t>their</w:t>
      </w:r>
      <w:r w:rsidRPr="00DD2D90">
        <w:rPr>
          <w:rStyle w:val="StyleUnderline"/>
        </w:rPr>
        <w:t xml:space="preserve"> power and</w:t>
      </w:r>
      <w:r w:rsidRPr="009C4A5A">
        <w:rPr>
          <w:sz w:val="16"/>
        </w:rPr>
        <w:t>, eventually,</w:t>
      </w:r>
      <w:r w:rsidRPr="00DD2D90">
        <w:rPr>
          <w:rStyle w:val="StyleUnderline"/>
        </w:rPr>
        <w:t xml:space="preserve"> their </w:t>
      </w:r>
      <w:r w:rsidRPr="00DD2D90">
        <w:rPr>
          <w:rStyle w:val="StyleUnderline"/>
          <w:highlight w:val="green"/>
        </w:rPr>
        <w:t>irresponsibility</w:t>
      </w:r>
      <w:r w:rsidRPr="009C4A5A">
        <w:rPr>
          <w:sz w:val="16"/>
        </w:rPr>
        <w:t xml:space="preserve"> (Reis et al., 2019). The habit is hard to break, so the</w:t>
      </w:r>
      <w:r w:rsidR="00A45A77" w:rsidRPr="009C4A5A">
        <w:rPr>
          <w:sz w:val="16"/>
        </w:rPr>
        <w:t xml:space="preserve"> </w:t>
      </w:r>
      <w:r w:rsidRPr="00DD2D90">
        <w:rPr>
          <w:rStyle w:val="StyleUnderline"/>
          <w:highlight w:val="green"/>
        </w:rPr>
        <w:t>doctors began to make</w:t>
      </w:r>
      <w:r w:rsidRPr="00DD2D90">
        <w:rPr>
          <w:rStyle w:val="StyleUnderline"/>
        </w:rPr>
        <w:t xml:space="preserve"> their </w:t>
      </w:r>
      <w:r w:rsidRPr="00DD2D90">
        <w:rPr>
          <w:rStyle w:val="StyleUnderline"/>
          <w:highlight w:val="green"/>
        </w:rPr>
        <w:t>decisions in the best interests of the</w:t>
      </w:r>
      <w:r w:rsidRPr="009C4A5A">
        <w:rPr>
          <w:sz w:val="16"/>
        </w:rPr>
        <w:t xml:space="preserve"> nation (and of the </w:t>
      </w:r>
      <w:r w:rsidRPr="00DD2D90">
        <w:rPr>
          <w:rStyle w:val="StyleUnderline"/>
          <w:highlight w:val="green"/>
        </w:rPr>
        <w:t>party</w:t>
      </w:r>
      <w:r w:rsidRPr="009C4A5A">
        <w:rPr>
          <w:sz w:val="16"/>
        </w:rPr>
        <w:t>) as well—</w:t>
      </w:r>
      <w:r w:rsidRPr="00DD2D90">
        <w:rPr>
          <w:rStyle w:val="StyleUnderline"/>
        </w:rPr>
        <w:t>and</w:t>
      </w:r>
      <w:r w:rsidR="00A45A77" w:rsidRPr="00DD2D90">
        <w:rPr>
          <w:rStyle w:val="StyleUnderline"/>
        </w:rPr>
        <w:t xml:space="preserve"> </w:t>
      </w:r>
      <w:r w:rsidRPr="00DD2D90">
        <w:rPr>
          <w:rStyle w:val="StyleUnderline"/>
        </w:rPr>
        <w:t xml:space="preserve">to </w:t>
      </w:r>
      <w:r w:rsidRPr="00DD2D90">
        <w:rPr>
          <w:rStyle w:val="StyleUnderline"/>
          <w:highlight w:val="green"/>
        </w:rPr>
        <w:t xml:space="preserve">perform </w:t>
      </w:r>
      <w:r w:rsidRPr="00DD2D90">
        <w:rPr>
          <w:rStyle w:val="Emphasis"/>
          <w:highlight w:val="green"/>
        </w:rPr>
        <w:t>euthanasia</w:t>
      </w:r>
      <w:r w:rsidRPr="00DD2D90">
        <w:rPr>
          <w:rStyle w:val="StyleUnderline"/>
        </w:rPr>
        <w:t xml:space="preserve"> on the mentally ill</w:t>
      </w:r>
      <w:r w:rsidRPr="009C4A5A">
        <w:rPr>
          <w:sz w:val="16"/>
        </w:rPr>
        <w:t xml:space="preserve">, etc., </w:t>
      </w:r>
      <w:r w:rsidRPr="00DD2D90">
        <w:rPr>
          <w:rStyle w:val="StyleUnderline"/>
          <w:highlight w:val="green"/>
        </w:rPr>
        <w:t xml:space="preserve">as well as </w:t>
      </w:r>
      <w:r w:rsidRPr="00DD2D90">
        <w:rPr>
          <w:rStyle w:val="Emphasis"/>
          <w:highlight w:val="green"/>
        </w:rPr>
        <w:t>medical experiments</w:t>
      </w:r>
      <w:r w:rsidRPr="00DD2D90">
        <w:rPr>
          <w:rStyle w:val="StyleUnderline"/>
        </w:rPr>
        <w:t xml:space="preserve"> on</w:t>
      </w:r>
      <w:r w:rsidRPr="009C4A5A">
        <w:rPr>
          <w:sz w:val="16"/>
        </w:rPr>
        <w:t xml:space="preserve"> </w:t>
      </w:r>
      <w:r w:rsidRPr="00DD2D90">
        <w:rPr>
          <w:rStyle w:val="StyleUnderline"/>
        </w:rPr>
        <w:t>prisoners</w:t>
      </w:r>
      <w:r w:rsidRPr="009C4A5A">
        <w:rPr>
          <w:sz w:val="16"/>
        </w:rPr>
        <w:t>, causing</w:t>
      </w:r>
      <w:r w:rsidR="00A45A77" w:rsidRPr="009C4A5A">
        <w:rPr>
          <w:sz w:val="16"/>
        </w:rPr>
        <w:t xml:space="preserve"> </w:t>
      </w:r>
      <w:r w:rsidRPr="009C4A5A">
        <w:rPr>
          <w:sz w:val="16"/>
        </w:rPr>
        <w:t>suffering, permanent disability, and death (Wiendling et al, 2016).</w:t>
      </w:r>
      <w:r w:rsidR="00A45A77" w:rsidRPr="009C4A5A">
        <w:rPr>
          <w:sz w:val="16"/>
        </w:rPr>
        <w:t xml:space="preserve"> </w:t>
      </w:r>
      <w:r w:rsidRPr="009C4A5A">
        <w:rPr>
          <w:sz w:val="16"/>
        </w:rPr>
        <w:t>One may suggest an alternative explanation of the NSDAP’s popularity among German physicians:</w:t>
      </w:r>
      <w:r w:rsidR="00A45A77" w:rsidRPr="009C4A5A">
        <w:rPr>
          <w:sz w:val="16"/>
        </w:rPr>
        <w:t xml:space="preserve"> </w:t>
      </w:r>
      <w:r w:rsidRPr="009C4A5A">
        <w:rPr>
          <w:sz w:val="16"/>
        </w:rPr>
        <w:t>Jewish doctors enjoyed a pretty significant share of the healthcare services market before 1933. The</w:t>
      </w:r>
      <w:r w:rsidR="00A45A77" w:rsidRPr="009C4A5A">
        <w:rPr>
          <w:sz w:val="16"/>
        </w:rPr>
        <w:t xml:space="preserve"> </w:t>
      </w:r>
      <w:r w:rsidRPr="009C4A5A">
        <w:rPr>
          <w:sz w:val="16"/>
        </w:rPr>
        <w:t>percentage of Jewish physicians was about 10%, with higher representation in big cities, probably up</w:t>
      </w:r>
      <w:r w:rsidR="00A45A77" w:rsidRPr="009C4A5A">
        <w:rPr>
          <w:sz w:val="16"/>
        </w:rPr>
        <w:t xml:space="preserve"> </w:t>
      </w:r>
      <w:r w:rsidRPr="009C4A5A">
        <w:rPr>
          <w:sz w:val="16"/>
        </w:rPr>
        <w:t>to 40% in Berlin (Kater, 1987). Therefore, one may suggest that Aryan doctors could wish to join</w:t>
      </w:r>
      <w:r w:rsidR="00A45A77" w:rsidRPr="009C4A5A">
        <w:rPr>
          <w:sz w:val="16"/>
        </w:rPr>
        <w:t xml:space="preserve"> </w:t>
      </w:r>
      <w:r w:rsidRPr="009C4A5A">
        <w:rPr>
          <w:sz w:val="16"/>
        </w:rPr>
        <w:t>the Party to crash Jewish competitors. However, this explanation is rather weak in our opinion. The</w:t>
      </w:r>
      <w:r w:rsidR="00A45A77" w:rsidRPr="009C4A5A">
        <w:rPr>
          <w:sz w:val="16"/>
        </w:rPr>
        <w:t xml:space="preserve"> </w:t>
      </w:r>
      <w:r w:rsidRPr="009C4A5A">
        <w:rPr>
          <w:sz w:val="16"/>
        </w:rPr>
        <w:t>huge majority of doctors joined NSDAP only after Hitler came to power (Kater, 1983), when their</w:t>
      </w:r>
      <w:r w:rsidR="00A45A77" w:rsidRPr="009C4A5A">
        <w:rPr>
          <w:sz w:val="16"/>
        </w:rPr>
        <w:t xml:space="preserve"> </w:t>
      </w:r>
      <w:r w:rsidRPr="009C4A5A">
        <w:rPr>
          <w:sz w:val="16"/>
        </w:rPr>
        <w:t>influence on policy was zero. In addition, people (including physicians) are generally not interested</w:t>
      </w:r>
      <w:r w:rsidR="00A45A77" w:rsidRPr="009C4A5A">
        <w:rPr>
          <w:sz w:val="16"/>
        </w:rPr>
        <w:t xml:space="preserve"> </w:t>
      </w:r>
      <w:r w:rsidRPr="009C4A5A">
        <w:rPr>
          <w:sz w:val="16"/>
        </w:rPr>
        <w:t>in politics and tend not to see political involvement as a reasonable means to promote their personal</w:t>
      </w:r>
      <w:r w:rsidR="00A45A77" w:rsidRPr="009C4A5A">
        <w:rPr>
          <w:sz w:val="16"/>
        </w:rPr>
        <w:t xml:space="preserve"> </w:t>
      </w:r>
      <w:r w:rsidRPr="009C4A5A">
        <w:rPr>
          <w:sz w:val="16"/>
        </w:rPr>
        <w:t>interests; there is substantial literature where authors work hard to explain even minor participation in</w:t>
      </w:r>
      <w:r w:rsidR="00A45A77" w:rsidRPr="009C4A5A">
        <w:rPr>
          <w:sz w:val="16"/>
        </w:rPr>
        <w:t xml:space="preserve"> </w:t>
      </w:r>
      <w:r w:rsidRPr="009C4A5A">
        <w:rPr>
          <w:sz w:val="16"/>
        </w:rPr>
        <w:t>politics, like voting (Downs, 1957). Therefore, we conclude that the latter factor—willingness to get</w:t>
      </w:r>
      <w:r w:rsidR="00A45A77" w:rsidRPr="009C4A5A">
        <w:rPr>
          <w:sz w:val="16"/>
        </w:rPr>
        <w:t xml:space="preserve"> </w:t>
      </w:r>
      <w:r w:rsidRPr="009C4A5A">
        <w:rPr>
          <w:sz w:val="16"/>
        </w:rPr>
        <w:t>rid of Jewish competitors—cannot explain the doctors’ mass membership in the Nazi party.</w:t>
      </w:r>
      <w:r w:rsidR="00A45A77" w:rsidRPr="009C4A5A">
        <w:rPr>
          <w:sz w:val="16"/>
        </w:rPr>
        <w:t xml:space="preserve"> </w:t>
      </w:r>
      <w:r w:rsidRPr="009C4A5A">
        <w:rPr>
          <w:sz w:val="16"/>
        </w:rPr>
        <w:t xml:space="preserve">3.2 </w:t>
      </w:r>
      <w:r w:rsidRPr="00DD2D90">
        <w:rPr>
          <w:rStyle w:val="StyleUnderline"/>
        </w:rPr>
        <w:t xml:space="preserve">Medical power abuse in the </w:t>
      </w:r>
      <w:r w:rsidRPr="00DD2D90">
        <w:rPr>
          <w:rStyle w:val="StyleUnderline"/>
          <w:highlight w:val="green"/>
        </w:rPr>
        <w:t>USSR</w:t>
      </w:r>
      <w:r w:rsidRPr="00DD2D90">
        <w:rPr>
          <w:rStyle w:val="StyleUnderline"/>
        </w:rPr>
        <w:t>: total monopoly and oppression of dissidents</w:t>
      </w:r>
      <w:r w:rsidR="00A45A77" w:rsidRPr="009C4A5A">
        <w:rPr>
          <w:sz w:val="16"/>
        </w:rPr>
        <w:t xml:space="preserve"> </w:t>
      </w:r>
      <w:r w:rsidRPr="009C4A5A">
        <w:rPr>
          <w:sz w:val="16"/>
        </w:rPr>
        <w:t xml:space="preserve">We should mention here that </w:t>
      </w:r>
      <w:r w:rsidRPr="00DD2D90">
        <w:rPr>
          <w:rStyle w:val="StyleUnderline"/>
        </w:rPr>
        <w:t>neglect of patients’ rights and interests is not unique to Nazi Germany</w:t>
      </w:r>
      <w:r w:rsidRPr="009C4A5A">
        <w:rPr>
          <w:sz w:val="16"/>
        </w:rPr>
        <w:t xml:space="preserve"> (i.e.,</w:t>
      </w:r>
      <w:r w:rsidR="00A45A77" w:rsidRPr="009C4A5A">
        <w:rPr>
          <w:sz w:val="16"/>
        </w:rPr>
        <w:t xml:space="preserve"> </w:t>
      </w:r>
      <w:r w:rsidRPr="009C4A5A">
        <w:rPr>
          <w:sz w:val="16"/>
        </w:rPr>
        <w:t>the USSR legislation never mentioned patients’ rights).</w:t>
      </w:r>
      <w:r w:rsidRPr="00DD2D90">
        <w:rPr>
          <w:rStyle w:val="StyleUnderline"/>
        </w:rPr>
        <w:t xml:space="preserve"> The right to free healthcare was proclaimed</w:t>
      </w:r>
      <w:r w:rsidR="00A45A77" w:rsidRPr="00DD2D90">
        <w:rPr>
          <w:rStyle w:val="StyleUnderline"/>
        </w:rPr>
        <w:t xml:space="preserve"> </w:t>
      </w:r>
      <w:r w:rsidRPr="00DD2D90">
        <w:rPr>
          <w:rStyle w:val="StyleUnderline"/>
        </w:rPr>
        <w:t xml:space="preserve">merely </w:t>
      </w:r>
      <w:r w:rsidRPr="00DD2D90">
        <w:rPr>
          <w:rStyle w:val="Emphasis"/>
        </w:rPr>
        <w:t>symbolically</w:t>
      </w:r>
      <w:r w:rsidRPr="009C4A5A">
        <w:rPr>
          <w:sz w:val="16"/>
        </w:rPr>
        <w:t>, taking into consideration the poor quality of medical service for the huge majority</w:t>
      </w:r>
      <w:r w:rsidR="00A45A77" w:rsidRPr="009C4A5A">
        <w:rPr>
          <w:sz w:val="16"/>
        </w:rPr>
        <w:t xml:space="preserve"> </w:t>
      </w:r>
      <w:r w:rsidRPr="009C4A5A">
        <w:rPr>
          <w:sz w:val="16"/>
        </w:rPr>
        <w:t xml:space="preserve">of Soviet citizens (Troshkina, 2014). </w:t>
      </w:r>
      <w:r w:rsidRPr="00DD2D90">
        <w:rPr>
          <w:rStyle w:val="StyleUnderline"/>
          <w:highlight w:val="green"/>
        </w:rPr>
        <w:t>Mental health clinics were routinely used to repress</w:t>
      </w:r>
      <w:r w:rsidRPr="00DD2D90">
        <w:rPr>
          <w:rStyle w:val="StyleUnderline"/>
        </w:rPr>
        <w:t xml:space="preserve"> </w:t>
      </w:r>
      <w:r w:rsidRPr="00DD2D90">
        <w:rPr>
          <w:rStyle w:val="StyleUnderline"/>
          <w:highlight w:val="green"/>
        </w:rPr>
        <w:t>dissidents</w:t>
      </w:r>
      <w:r w:rsidRPr="009C4A5A">
        <w:rPr>
          <w:sz w:val="16"/>
        </w:rPr>
        <w:t>; some</w:t>
      </w:r>
      <w:r w:rsidR="00A45A77" w:rsidRPr="009C4A5A">
        <w:rPr>
          <w:sz w:val="16"/>
        </w:rPr>
        <w:t xml:space="preserve"> </w:t>
      </w:r>
      <w:r w:rsidRPr="009C4A5A">
        <w:rPr>
          <w:sz w:val="16"/>
        </w:rPr>
        <w:t xml:space="preserve">of those </w:t>
      </w:r>
      <w:r w:rsidRPr="00DD2D90">
        <w:rPr>
          <w:rStyle w:val="StyleUnderline"/>
        </w:rPr>
        <w:t xml:space="preserve">dissidents acquired real and </w:t>
      </w:r>
      <w:r w:rsidRPr="00DD2D90">
        <w:rPr>
          <w:rStyle w:val="Emphasis"/>
        </w:rPr>
        <w:t>irreversible</w:t>
      </w:r>
      <w:r w:rsidRPr="00DD2D90">
        <w:rPr>
          <w:rStyle w:val="StyleUnderline"/>
        </w:rPr>
        <w:t xml:space="preserve"> mental health problems because of the abovementioned</w:t>
      </w:r>
      <w:r w:rsidR="00A45A77" w:rsidRPr="00DD2D90">
        <w:rPr>
          <w:rStyle w:val="StyleUnderline"/>
        </w:rPr>
        <w:t xml:space="preserve"> </w:t>
      </w:r>
      <w:r w:rsidRPr="00DD2D90">
        <w:rPr>
          <w:rStyle w:val="StyleUnderline"/>
        </w:rPr>
        <w:t>“mental care</w:t>
      </w:r>
      <w:r w:rsidRPr="009C4A5A">
        <w:rPr>
          <w:sz w:val="16"/>
        </w:rPr>
        <w:t>” (Van Voren, 2010; Bonnie, 2022). The most comprehensive overview is probably the</w:t>
      </w:r>
      <w:r w:rsidR="00A45A77" w:rsidRPr="009C4A5A">
        <w:rPr>
          <w:sz w:val="16"/>
        </w:rPr>
        <w:t xml:space="preserve"> </w:t>
      </w:r>
      <w:r w:rsidRPr="009C4A5A">
        <w:rPr>
          <w:sz w:val="16"/>
        </w:rPr>
        <w:t>Moscow Helsinki Group’s review (MHG, 2004)—unfortunately, in Russian only (for health problems</w:t>
      </w:r>
      <w:r w:rsidR="00A45A77" w:rsidRPr="009C4A5A">
        <w:rPr>
          <w:sz w:val="16"/>
        </w:rPr>
        <w:t xml:space="preserve"> </w:t>
      </w:r>
      <w:r w:rsidRPr="009C4A5A">
        <w:rPr>
          <w:sz w:val="16"/>
        </w:rPr>
        <w:t xml:space="preserve">caused by the ‘treatment’). </w:t>
      </w:r>
      <w:r w:rsidRPr="00DD2D90">
        <w:rPr>
          <w:rStyle w:val="StyleUnderline"/>
        </w:rPr>
        <w:t>Even in modern Russia</w:t>
      </w:r>
      <w:r w:rsidRPr="009C4A5A">
        <w:rPr>
          <w:sz w:val="16"/>
        </w:rPr>
        <w:t>, where people enjoy incomparably more freedom</w:t>
      </w:r>
      <w:r w:rsidR="00A45A77" w:rsidRPr="009C4A5A">
        <w:rPr>
          <w:sz w:val="16"/>
        </w:rPr>
        <w:t xml:space="preserve"> </w:t>
      </w:r>
      <w:r w:rsidRPr="009C4A5A">
        <w:rPr>
          <w:sz w:val="16"/>
        </w:rPr>
        <w:t xml:space="preserve">than in the USSR but the </w:t>
      </w:r>
      <w:r w:rsidRPr="00DD2D90">
        <w:rPr>
          <w:rStyle w:val="StyleUnderline"/>
        </w:rPr>
        <w:t>healthcare is still state-dominated, the problem of medical power abuse is of</w:t>
      </w:r>
      <w:r w:rsidR="00A45A77" w:rsidRPr="00DD2D90">
        <w:rPr>
          <w:rStyle w:val="StyleUnderline"/>
        </w:rPr>
        <w:t xml:space="preserve"> </w:t>
      </w:r>
      <w:r w:rsidRPr="00DD2D90">
        <w:rPr>
          <w:rStyle w:val="Emphasis"/>
        </w:rPr>
        <w:t>great concern</w:t>
      </w:r>
      <w:r w:rsidRPr="009C4A5A">
        <w:rPr>
          <w:sz w:val="16"/>
        </w:rPr>
        <w:t xml:space="preserve"> (ibid.).</w:t>
      </w:r>
      <w:r w:rsidR="00A45A77" w:rsidRPr="009C4A5A">
        <w:rPr>
          <w:sz w:val="16"/>
        </w:rPr>
        <w:t xml:space="preserve"> </w:t>
      </w:r>
      <w:r w:rsidRPr="009C4A5A">
        <w:rPr>
          <w:sz w:val="16"/>
        </w:rPr>
        <w:t xml:space="preserve">The </w:t>
      </w:r>
      <w:r w:rsidRPr="00DD2D90">
        <w:rPr>
          <w:rStyle w:val="StyleUnderline"/>
          <w:highlight w:val="green"/>
        </w:rPr>
        <w:t>American</w:t>
      </w:r>
      <w:r w:rsidRPr="00DD2D90">
        <w:rPr>
          <w:rStyle w:val="StyleUnderline"/>
        </w:rPr>
        <w:t xml:space="preserve"> </w:t>
      </w:r>
      <w:r w:rsidRPr="009C4A5A">
        <w:rPr>
          <w:sz w:val="16"/>
        </w:rPr>
        <w:t>government’s extensive intervention in funding psychiatric health services was</w:t>
      </w:r>
      <w:r w:rsidR="00A45A77" w:rsidRPr="009C4A5A">
        <w:rPr>
          <w:sz w:val="16"/>
        </w:rPr>
        <w:t xml:space="preserve"> </w:t>
      </w:r>
      <w:r w:rsidRPr="009C4A5A">
        <w:rPr>
          <w:sz w:val="16"/>
        </w:rPr>
        <w:t>initially driven by altruistic considerations in the 1870s. The goal was to swiftly move mentally ill</w:t>
      </w:r>
      <w:r w:rsidR="00A45A77" w:rsidRPr="009C4A5A">
        <w:rPr>
          <w:sz w:val="16"/>
        </w:rPr>
        <w:t xml:space="preserve"> </w:t>
      </w:r>
      <w:r w:rsidRPr="009C4A5A">
        <w:rPr>
          <w:sz w:val="16"/>
        </w:rPr>
        <w:t>persons from poorhouses to specialized psychiatric clinics (asylums).</w:t>
      </w:r>
      <w:r w:rsidR="00A45A77" w:rsidRPr="009C4A5A">
        <w:rPr>
          <w:sz w:val="16"/>
        </w:rPr>
        <w:t xml:space="preserve"> </w:t>
      </w:r>
      <w:r w:rsidRPr="009C4A5A">
        <w:rPr>
          <w:sz w:val="16"/>
        </w:rPr>
        <w:t>As state governments became the principal providers of psychiatric health services, psychiatrists</w:t>
      </w:r>
      <w:r w:rsidR="00A45A77" w:rsidRPr="009C4A5A">
        <w:rPr>
          <w:sz w:val="16"/>
        </w:rPr>
        <w:t xml:space="preserve"> </w:t>
      </w:r>
      <w:r w:rsidRPr="009C4A5A">
        <w:rPr>
          <w:sz w:val="16"/>
        </w:rPr>
        <w:t>naturally inherited and adopted incentives inherent in bureaucratic operations, such as lobbying for</w:t>
      </w:r>
      <w:r w:rsidR="00A45A77" w:rsidRPr="009C4A5A">
        <w:rPr>
          <w:sz w:val="16"/>
        </w:rPr>
        <w:t xml:space="preserve"> </w:t>
      </w:r>
      <w:r w:rsidRPr="009C4A5A">
        <w:rPr>
          <w:sz w:val="16"/>
        </w:rPr>
        <w:t>more funds with limited liability and accountability. This development caused a massive expansion in</w:t>
      </w:r>
      <w:r w:rsidR="00A45A77" w:rsidRPr="009C4A5A">
        <w:rPr>
          <w:sz w:val="16"/>
        </w:rPr>
        <w:t xml:space="preserve"> </w:t>
      </w:r>
      <w:r w:rsidRPr="009C4A5A">
        <w:rPr>
          <w:sz w:val="16"/>
        </w:rPr>
        <w:t>the number of patients in government-run facilities, beyond the initial increase caused by the influx</w:t>
      </w:r>
      <w:r w:rsidR="00A45A77" w:rsidRPr="009C4A5A">
        <w:rPr>
          <w:sz w:val="16"/>
        </w:rPr>
        <w:t xml:space="preserve"> </w:t>
      </w:r>
      <w:r w:rsidRPr="009C4A5A">
        <w:rPr>
          <w:sz w:val="16"/>
        </w:rPr>
        <w:t>from poorhouses (Paserman, 2002). The pace of this increase even accelerated after the initial transfer</w:t>
      </w:r>
      <w:r w:rsidR="00A45A77" w:rsidRPr="009C4A5A">
        <w:rPr>
          <w:sz w:val="16"/>
        </w:rPr>
        <w:t xml:space="preserve"> </w:t>
      </w:r>
      <w:r w:rsidRPr="009C4A5A">
        <w:rPr>
          <w:sz w:val="16"/>
        </w:rPr>
        <w:t>of patients (Geloso &amp; March, 2021, Fig. 1). Geloso and March attribute this development to efficient</w:t>
      </w:r>
      <w:r w:rsidR="00A45A77" w:rsidRPr="009C4A5A">
        <w:rPr>
          <w:sz w:val="16"/>
        </w:rPr>
        <w:t xml:space="preserve"> </w:t>
      </w:r>
      <w:r w:rsidRPr="009C4A5A">
        <w:rPr>
          <w:sz w:val="16"/>
        </w:rPr>
        <w:t>lobbying efforts. The number grew at the cost of the share of patients cared for by families and</w:t>
      </w:r>
      <w:r w:rsidR="00A45A77" w:rsidRPr="009C4A5A">
        <w:rPr>
          <w:sz w:val="16"/>
        </w:rPr>
        <w:t xml:space="preserve"> </w:t>
      </w:r>
      <w:r w:rsidRPr="009C4A5A">
        <w:rPr>
          <w:sz w:val="16"/>
        </w:rPr>
        <w:t>privately (charitably) funded almshouses. Governmental facility physicians and superintendents lobbied</w:t>
      </w:r>
      <w:r w:rsidR="00A45A77" w:rsidRPr="009C4A5A">
        <w:rPr>
          <w:sz w:val="16"/>
        </w:rPr>
        <w:t xml:space="preserve"> </w:t>
      </w:r>
      <w:r w:rsidRPr="009C4A5A">
        <w:rPr>
          <w:sz w:val="16"/>
        </w:rPr>
        <w:t>and made noticeable PR efforts to impress public opinion and mobilize more support for funding</w:t>
      </w:r>
      <w:r w:rsidR="00A45A77" w:rsidRPr="009C4A5A">
        <w:rPr>
          <w:sz w:val="16"/>
        </w:rPr>
        <w:t xml:space="preserve"> </w:t>
      </w:r>
      <w:r w:rsidRPr="009C4A5A">
        <w:rPr>
          <w:sz w:val="16"/>
        </w:rPr>
        <w:t>extension, acting under an obvious conflict of interest. The sharp increase in patient numbers could be</w:t>
      </w:r>
      <w:r w:rsidR="00A45A77" w:rsidRPr="009C4A5A">
        <w:rPr>
          <w:sz w:val="16"/>
        </w:rPr>
        <w:t xml:space="preserve"> </w:t>
      </w:r>
      <w:r w:rsidRPr="009C4A5A">
        <w:rPr>
          <w:sz w:val="16"/>
        </w:rPr>
        <w:t>at least partly explained by the rent-seeking motivation of government-run asylum physicians and</w:t>
      </w:r>
      <w:r w:rsidR="00A45A77" w:rsidRPr="009C4A5A">
        <w:rPr>
          <w:sz w:val="16"/>
        </w:rPr>
        <w:t xml:space="preserve"> </w:t>
      </w:r>
      <w:r w:rsidRPr="009C4A5A">
        <w:rPr>
          <w:sz w:val="16"/>
        </w:rPr>
        <w:t>superintendents (ibid.).</w:t>
      </w:r>
      <w:r w:rsidR="00A45A77" w:rsidRPr="009C4A5A">
        <w:rPr>
          <w:sz w:val="16"/>
        </w:rPr>
        <w:t xml:space="preserve"> </w:t>
      </w:r>
      <w:r w:rsidRPr="009C4A5A">
        <w:rPr>
          <w:sz w:val="16"/>
        </w:rPr>
        <w:t>The</w:t>
      </w:r>
      <w:r w:rsidRPr="00DD2D90">
        <w:rPr>
          <w:rStyle w:val="StyleUnderline"/>
        </w:rPr>
        <w:t xml:space="preserve"> </w:t>
      </w:r>
      <w:r w:rsidRPr="00DD2D90">
        <w:rPr>
          <w:rStyle w:val="StyleUnderline"/>
          <w:highlight w:val="green"/>
        </w:rPr>
        <w:t xml:space="preserve">extensive use of </w:t>
      </w:r>
      <w:r w:rsidRPr="00DD2D90">
        <w:rPr>
          <w:rStyle w:val="Emphasis"/>
          <w:highlight w:val="green"/>
        </w:rPr>
        <w:t>lobotomy</w:t>
      </w:r>
      <w:r w:rsidRPr="00DD2D90">
        <w:rPr>
          <w:rStyle w:val="StyleUnderline"/>
        </w:rPr>
        <w:t xml:space="preserve"> treatment, even after professionals understood its medical inefficiency,</w:t>
      </w:r>
      <w:r w:rsidR="00A45A77" w:rsidRPr="00DD2D90">
        <w:rPr>
          <w:rStyle w:val="StyleUnderline"/>
        </w:rPr>
        <w:t xml:space="preserve"> </w:t>
      </w:r>
      <w:r w:rsidRPr="00DD2D90">
        <w:rPr>
          <w:rStyle w:val="StyleUnderline"/>
          <w:highlight w:val="green"/>
        </w:rPr>
        <w:t>could</w:t>
      </w:r>
      <w:r w:rsidRPr="00DD2D90">
        <w:rPr>
          <w:rStyle w:val="StyleUnderline"/>
        </w:rPr>
        <w:t xml:space="preserve"> also </w:t>
      </w:r>
      <w:r w:rsidRPr="00DD2D90">
        <w:rPr>
          <w:rStyle w:val="StyleUnderline"/>
          <w:highlight w:val="green"/>
        </w:rPr>
        <w:t>be traced back to rent-seeking behavior within</w:t>
      </w:r>
      <w:r w:rsidRPr="00DD2D90">
        <w:rPr>
          <w:rStyle w:val="StyleUnderline"/>
        </w:rPr>
        <w:t xml:space="preserve"> the framework of the </w:t>
      </w:r>
      <w:r w:rsidRPr="00DD2D90">
        <w:rPr>
          <w:rStyle w:val="StyleUnderline"/>
          <w:highlight w:val="green"/>
        </w:rPr>
        <w:t>government</w:t>
      </w:r>
      <w:r w:rsidRPr="00DD2D90">
        <w:rPr>
          <w:rStyle w:val="StyleUnderline"/>
        </w:rPr>
        <w:t>-run</w:t>
      </w:r>
      <w:r w:rsidR="00A45A77" w:rsidRPr="00DD2D90">
        <w:rPr>
          <w:rStyle w:val="StyleUnderline"/>
        </w:rPr>
        <w:t xml:space="preserve"> </w:t>
      </w:r>
      <w:r w:rsidRPr="00DD2D90">
        <w:rPr>
          <w:rStyle w:val="StyleUnderline"/>
        </w:rPr>
        <w:t xml:space="preserve">system of </w:t>
      </w:r>
      <w:r w:rsidRPr="00DD2D90">
        <w:rPr>
          <w:rStyle w:val="StyleUnderline"/>
          <w:highlight w:val="green"/>
        </w:rPr>
        <w:t>psychiatric care</w:t>
      </w:r>
      <w:r w:rsidRPr="00DD2D90">
        <w:rPr>
          <w:rStyle w:val="StyleUnderline"/>
        </w:rPr>
        <w:t xml:space="preserve"> facilities</w:t>
      </w:r>
      <w:r w:rsidRPr="009C4A5A">
        <w:rPr>
          <w:sz w:val="16"/>
        </w:rPr>
        <w:t xml:space="preserve"> (March &amp; Geloso, 2020). Thus, despite the absence of politically</w:t>
      </w:r>
      <w:r w:rsidR="00A45A77" w:rsidRPr="009C4A5A">
        <w:rPr>
          <w:sz w:val="16"/>
        </w:rPr>
        <w:t xml:space="preserve"> </w:t>
      </w:r>
      <w:r w:rsidRPr="009C4A5A">
        <w:rPr>
          <w:sz w:val="16"/>
        </w:rPr>
        <w:t xml:space="preserve">motivated malicious intentions, the </w:t>
      </w:r>
      <w:r w:rsidRPr="00DD2D90">
        <w:rPr>
          <w:rStyle w:val="StyleUnderline"/>
        </w:rPr>
        <w:t>American</w:t>
      </w:r>
      <w:r w:rsidRPr="009C4A5A">
        <w:rPr>
          <w:sz w:val="16"/>
        </w:rPr>
        <w:t xml:space="preserve"> experience with </w:t>
      </w:r>
      <w:r w:rsidRPr="00DD2D90">
        <w:rPr>
          <w:rStyle w:val="StyleUnderline"/>
        </w:rPr>
        <w:t>government-run psychiatric healthcare</w:t>
      </w:r>
      <w:r w:rsidR="00A45A77" w:rsidRPr="00DD2D90">
        <w:rPr>
          <w:rStyle w:val="StyleUnderline"/>
        </w:rPr>
        <w:t xml:space="preserve"> </w:t>
      </w:r>
      <w:r w:rsidRPr="00DD2D90">
        <w:rPr>
          <w:rStyle w:val="StyleUnderline"/>
        </w:rPr>
        <w:t>facilities teaches us to be very cautious about large-scale government intervention in health services</w:t>
      </w:r>
      <w:r w:rsidRPr="009C4A5A">
        <w:rPr>
          <w:sz w:val="16"/>
        </w:rPr>
        <w:t>.</w:t>
      </w:r>
      <w:r w:rsidR="00A45A77" w:rsidRPr="009C4A5A">
        <w:rPr>
          <w:sz w:val="16"/>
        </w:rPr>
        <w:t xml:space="preserve"> </w:t>
      </w:r>
      <w:r w:rsidRPr="009C4A5A">
        <w:rPr>
          <w:sz w:val="16"/>
        </w:rPr>
        <w:t xml:space="preserve">Such </w:t>
      </w:r>
      <w:r w:rsidRPr="00DD2D90">
        <w:rPr>
          <w:rStyle w:val="StyleUnderline"/>
        </w:rPr>
        <w:t>intervention could easily result in the reproduction of perverse incentives, conflicts of interest,</w:t>
      </w:r>
      <w:r w:rsidR="00A45A77" w:rsidRPr="00DD2D90">
        <w:rPr>
          <w:rStyle w:val="StyleUnderline"/>
        </w:rPr>
        <w:t xml:space="preserve"> </w:t>
      </w:r>
      <w:r w:rsidRPr="00DD2D90">
        <w:rPr>
          <w:rStyle w:val="StyleUnderline"/>
        </w:rPr>
        <w:t>and consequently, moral hazard</w:t>
      </w:r>
      <w:r w:rsidRPr="009C4A5A">
        <w:rPr>
          <w:sz w:val="16"/>
        </w:rPr>
        <w:t>."</w:t>
      </w:r>
      <w:r w:rsidR="00A45A77" w:rsidRPr="009C4A5A">
        <w:rPr>
          <w:sz w:val="16"/>
        </w:rPr>
        <w:t xml:space="preserve"> </w:t>
      </w:r>
      <w:r w:rsidRPr="009C4A5A">
        <w:rPr>
          <w:sz w:val="16"/>
        </w:rPr>
        <w:t>3.3 Organ harvesting from prisoners in China (PRC)</w:t>
      </w:r>
      <w:r w:rsidR="00A45A77" w:rsidRPr="009C4A5A">
        <w:rPr>
          <w:sz w:val="16"/>
        </w:rPr>
        <w:t xml:space="preserve"> </w:t>
      </w:r>
      <w:r w:rsidRPr="009C4A5A">
        <w:rPr>
          <w:sz w:val="16"/>
        </w:rPr>
        <w:t>Another dangerous example of medical power abuse we find in the organ harvesting from condemned</w:t>
      </w:r>
      <w:r w:rsidR="00A45A77" w:rsidRPr="009C4A5A">
        <w:rPr>
          <w:sz w:val="16"/>
        </w:rPr>
        <w:t xml:space="preserve"> </w:t>
      </w:r>
      <w:r w:rsidRPr="009C4A5A">
        <w:rPr>
          <w:sz w:val="16"/>
        </w:rPr>
        <w:t>prisoners in China (PRC). The officially admitted practice of harvesting organs from executed prisoners</w:t>
      </w:r>
      <w:r w:rsidR="00A45A77" w:rsidRPr="009C4A5A">
        <w:rPr>
          <w:sz w:val="16"/>
        </w:rPr>
        <w:t xml:space="preserve"> </w:t>
      </w:r>
      <w:r w:rsidRPr="009C4A5A">
        <w:rPr>
          <w:sz w:val="16"/>
        </w:rPr>
        <w:t>has been lasting for decades (Hillman &amp; Nathanson, 2001; Stevens, 2017). There have been allegations</w:t>
      </w:r>
      <w:r w:rsidR="00A45A77" w:rsidRPr="009C4A5A">
        <w:rPr>
          <w:sz w:val="16"/>
        </w:rPr>
        <w:t xml:space="preserve"> </w:t>
      </w:r>
      <w:r w:rsidRPr="009C4A5A">
        <w:rPr>
          <w:sz w:val="16"/>
        </w:rPr>
        <w:t>that, besides other ethical issues, not only the process of execution may be modified with donation in</w:t>
      </w:r>
      <w:r w:rsidR="00A45A77" w:rsidRPr="009C4A5A">
        <w:rPr>
          <w:sz w:val="16"/>
        </w:rPr>
        <w:t xml:space="preserve"> </w:t>
      </w:r>
      <w:r w:rsidRPr="009C4A5A">
        <w:rPr>
          <w:sz w:val="16"/>
        </w:rPr>
        <w:t>mind, but even that executions might be organized specifically to obtain organs for transplantation</w:t>
      </w:r>
      <w:r w:rsidR="00A45A77" w:rsidRPr="009C4A5A">
        <w:rPr>
          <w:sz w:val="16"/>
        </w:rPr>
        <w:t xml:space="preserve"> </w:t>
      </w:r>
      <w:r w:rsidRPr="009C4A5A">
        <w:rPr>
          <w:sz w:val="16"/>
        </w:rPr>
        <w:t>(Cameron, Hoffenberg, 1999). The PRC officials repeatedly promised to stop the practice of the above-</w:t>
      </w:r>
      <w:r w:rsidR="00A45A77" w:rsidRPr="009C4A5A">
        <w:rPr>
          <w:sz w:val="16"/>
        </w:rPr>
        <w:t xml:space="preserve"> </w:t>
      </w:r>
      <w:r w:rsidRPr="009C4A5A">
        <w:rPr>
          <w:sz w:val="16"/>
        </w:rPr>
        <w:t>mentioned organ harvesting (NBC, 2012; Dai, Xu, 2015). However, significant changes occurred in</w:t>
      </w:r>
      <w:r w:rsidR="00A45A77" w:rsidRPr="009C4A5A">
        <w:rPr>
          <w:sz w:val="16"/>
        </w:rPr>
        <w:t xml:space="preserve"> </w:t>
      </w:r>
      <w:r w:rsidRPr="009C4A5A">
        <w:rPr>
          <w:sz w:val="16"/>
        </w:rPr>
        <w:t>the PRC political system during the last decade. The system of informal checks and balances crafted by</w:t>
      </w:r>
      <w:r w:rsidR="00A45A77" w:rsidRPr="009C4A5A">
        <w:rPr>
          <w:sz w:val="16"/>
        </w:rPr>
        <w:t xml:space="preserve"> </w:t>
      </w:r>
      <w:r w:rsidRPr="009C4A5A">
        <w:rPr>
          <w:sz w:val="16"/>
        </w:rPr>
        <w:t>Deng Xiaoping had collapsed and was substituted by the unlimited personal rule by Xi Jinping in 2017</w:t>
      </w:r>
      <w:r w:rsidR="00A45A77" w:rsidRPr="009C4A5A">
        <w:rPr>
          <w:sz w:val="16"/>
        </w:rPr>
        <w:t xml:space="preserve"> </w:t>
      </w:r>
      <w:r w:rsidRPr="009C4A5A">
        <w:rPr>
          <w:sz w:val="16"/>
        </w:rPr>
        <w:t>(Georguiev, 2018; Shirk, 2018; Gore, 2019). These changes made improvements less probable. While</w:t>
      </w:r>
      <w:r w:rsidR="00A45A77" w:rsidRPr="009C4A5A">
        <w:rPr>
          <w:sz w:val="16"/>
        </w:rPr>
        <w:t xml:space="preserve"> </w:t>
      </w:r>
      <w:r w:rsidRPr="009C4A5A">
        <w:rPr>
          <w:sz w:val="16"/>
        </w:rPr>
        <w:t>the PRC government denies the allegations of the forced organ harvesting, lack of transparency in</w:t>
      </w:r>
      <w:r w:rsidR="00A45A77" w:rsidRPr="009C4A5A">
        <w:rPr>
          <w:sz w:val="16"/>
        </w:rPr>
        <w:t xml:space="preserve"> </w:t>
      </w:r>
      <w:r w:rsidRPr="009C4A5A">
        <w:rPr>
          <w:sz w:val="16"/>
        </w:rPr>
        <w:t>the PRC makes the denial not trustworthy; there is also some direct evidence of medical power abuse</w:t>
      </w:r>
      <w:r w:rsidR="00A45A77" w:rsidRPr="009C4A5A">
        <w:rPr>
          <w:sz w:val="16"/>
        </w:rPr>
        <w:t xml:space="preserve"> </w:t>
      </w:r>
      <w:r w:rsidRPr="009C4A5A">
        <w:rPr>
          <w:sz w:val="16"/>
        </w:rPr>
        <w:t>(Nice et al., 2020).</w:t>
      </w:r>
      <w:r w:rsidR="00A45A77" w:rsidRPr="009C4A5A">
        <w:rPr>
          <w:sz w:val="16"/>
        </w:rPr>
        <w:t xml:space="preserve"> </w:t>
      </w:r>
      <w:r w:rsidRPr="009C4A5A">
        <w:rPr>
          <w:sz w:val="16"/>
        </w:rPr>
        <w:t>3.4 State-dominated healthcare in UK: conflict of interest and less competence</w:t>
      </w:r>
      <w:r w:rsidR="00A45A77" w:rsidRPr="009C4A5A">
        <w:rPr>
          <w:sz w:val="16"/>
        </w:rPr>
        <w:t xml:space="preserve"> </w:t>
      </w:r>
      <w:r w:rsidRPr="00DD2D90">
        <w:rPr>
          <w:rStyle w:val="StyleUnderline"/>
          <w:highlight w:val="green"/>
        </w:rPr>
        <w:t xml:space="preserve">The </w:t>
      </w:r>
      <w:r w:rsidRPr="00DD2D90">
        <w:rPr>
          <w:rStyle w:val="Emphasis"/>
          <w:highlight w:val="green"/>
        </w:rPr>
        <w:t>conflict-of-interest</w:t>
      </w:r>
      <w:r w:rsidRPr="00DD2D90">
        <w:rPr>
          <w:rStyle w:val="StyleUnderline"/>
          <w:highlight w:val="green"/>
        </w:rPr>
        <w:t xml:space="preserve"> problem is</w:t>
      </w:r>
      <w:r w:rsidRPr="00DD2D90">
        <w:rPr>
          <w:rStyle w:val="StyleUnderline"/>
        </w:rPr>
        <w:t xml:space="preserve"> </w:t>
      </w:r>
      <w:r w:rsidRPr="009C4A5A">
        <w:rPr>
          <w:sz w:val="16"/>
        </w:rPr>
        <w:t>probably</w:t>
      </w:r>
      <w:r w:rsidRPr="00DD2D90">
        <w:rPr>
          <w:rStyle w:val="StyleUnderline"/>
        </w:rPr>
        <w:t xml:space="preserve"> </w:t>
      </w:r>
      <w:r w:rsidRPr="00DD2D90">
        <w:rPr>
          <w:rStyle w:val="StyleUnderline"/>
          <w:highlight w:val="green"/>
        </w:rPr>
        <w:t>immanent to any</w:t>
      </w:r>
      <w:r w:rsidRPr="00DD2D90">
        <w:rPr>
          <w:rStyle w:val="StyleUnderline"/>
        </w:rPr>
        <w:t xml:space="preserve"> </w:t>
      </w:r>
      <w:r w:rsidRPr="00DD2D90">
        <w:rPr>
          <w:rStyle w:val="StyleUnderline"/>
          <w:highlight w:val="green"/>
        </w:rPr>
        <w:t>state</w:t>
      </w:r>
      <w:r w:rsidRPr="00DD2D90">
        <w:rPr>
          <w:rStyle w:val="StyleUnderline"/>
        </w:rPr>
        <w:t xml:space="preserve">-dominated </w:t>
      </w:r>
      <w:r w:rsidRPr="00DD2D90">
        <w:rPr>
          <w:rStyle w:val="StyleUnderline"/>
          <w:highlight w:val="green"/>
        </w:rPr>
        <w:t>healthcare</w:t>
      </w:r>
      <w:r w:rsidRPr="00DD2D90">
        <w:rPr>
          <w:rStyle w:val="StyleUnderline"/>
        </w:rPr>
        <w:t>, even in</w:t>
      </w:r>
      <w:r w:rsidR="00A45A77" w:rsidRPr="00DD2D90">
        <w:rPr>
          <w:rStyle w:val="StyleUnderline"/>
        </w:rPr>
        <w:t xml:space="preserve"> </w:t>
      </w:r>
      <w:r w:rsidRPr="00DD2D90">
        <w:rPr>
          <w:rStyle w:val="StyleUnderline"/>
        </w:rPr>
        <w:t>established democracies</w:t>
      </w:r>
      <w:r w:rsidRPr="009C4A5A">
        <w:rPr>
          <w:sz w:val="16"/>
        </w:rPr>
        <w:t>. As mentioned above, the state’s assumption of healthcare responsibilities did</w:t>
      </w:r>
      <w:r w:rsidR="00A45A77" w:rsidRPr="009C4A5A">
        <w:rPr>
          <w:sz w:val="16"/>
        </w:rPr>
        <w:t xml:space="preserve"> </w:t>
      </w:r>
      <w:r w:rsidRPr="009C4A5A">
        <w:rPr>
          <w:sz w:val="16"/>
        </w:rPr>
        <w:t>not result in significant improvements in any country; instead, healthcare costs consistently experienced</w:t>
      </w:r>
      <w:r w:rsidR="00A45A77" w:rsidRPr="009C4A5A">
        <w:rPr>
          <w:sz w:val="16"/>
        </w:rPr>
        <w:t xml:space="preserve"> </w:t>
      </w:r>
      <w:r w:rsidRPr="009C4A5A">
        <w:rPr>
          <w:sz w:val="16"/>
        </w:rPr>
        <w:t>a more rapid increase than the rate of economic growth. What is even more noteworthy is that the</w:t>
      </w:r>
      <w:r w:rsidR="00A45A77" w:rsidRPr="009C4A5A">
        <w:rPr>
          <w:sz w:val="16"/>
        </w:rPr>
        <w:t xml:space="preserve"> </w:t>
      </w:r>
      <w:r w:rsidRPr="009C4A5A">
        <w:rPr>
          <w:sz w:val="16"/>
        </w:rPr>
        <w:t>expansion of healthcare bureaucracy’s authority has become a widespread phenomenon in Western</w:t>
      </w:r>
      <w:r w:rsidR="00A45A77" w:rsidRPr="009C4A5A">
        <w:rPr>
          <w:sz w:val="16"/>
        </w:rPr>
        <w:t xml:space="preserve"> </w:t>
      </w:r>
      <w:r w:rsidRPr="009C4A5A">
        <w:rPr>
          <w:sz w:val="16"/>
        </w:rPr>
        <w:t>countries.</w:t>
      </w:r>
      <w:r w:rsidR="00A45A77" w:rsidRPr="009C4A5A">
        <w:rPr>
          <w:sz w:val="16"/>
        </w:rPr>
        <w:t xml:space="preserve"> </w:t>
      </w:r>
      <w:r w:rsidRPr="009C4A5A">
        <w:rPr>
          <w:sz w:val="16"/>
        </w:rPr>
        <w:t>The case in the UK where parents were deprived of efforts to save their child by flying him abroad</w:t>
      </w:r>
      <w:r w:rsidR="00A45A77" w:rsidRPr="009C4A5A">
        <w:rPr>
          <w:sz w:val="16"/>
        </w:rPr>
        <w:t xml:space="preserve"> </w:t>
      </w:r>
      <w:r w:rsidRPr="009C4A5A">
        <w:rPr>
          <w:sz w:val="16"/>
        </w:rPr>
        <w:t>for medical treatment (Hammond-Browning, 2017; Wilkinson, Savulescu, 2018) is an important</w:t>
      </w:r>
      <w:r w:rsidR="00A45A77" w:rsidRPr="009C4A5A">
        <w:rPr>
          <w:sz w:val="16"/>
        </w:rPr>
        <w:t xml:space="preserve"> </w:t>
      </w:r>
      <w:r w:rsidRPr="009C4A5A">
        <w:rPr>
          <w:sz w:val="16"/>
        </w:rPr>
        <w:t>warning. The details of the case can be found in the documents of the UK Supreme Court (UK</w:t>
      </w:r>
      <w:r w:rsidR="00A45A77" w:rsidRPr="009C4A5A">
        <w:rPr>
          <w:sz w:val="16"/>
        </w:rPr>
        <w:t xml:space="preserve"> </w:t>
      </w:r>
      <w:r w:rsidRPr="009C4A5A">
        <w:rPr>
          <w:sz w:val="16"/>
        </w:rPr>
        <w:t>Supreme Court, 2017a; UK Supreme Court, 2017b). In this case, the natural desire of the National</w:t>
      </w:r>
      <w:r w:rsidR="00A45A77" w:rsidRPr="009C4A5A">
        <w:rPr>
          <w:sz w:val="16"/>
        </w:rPr>
        <w:t xml:space="preserve"> </w:t>
      </w:r>
      <w:r w:rsidRPr="009C4A5A">
        <w:rPr>
          <w:sz w:val="16"/>
        </w:rPr>
        <w:t>Health Service (NHS) to prevent competition caused a grave conflict of interest. That conflict of</w:t>
      </w:r>
      <w:r w:rsidR="00A45A77" w:rsidRPr="009C4A5A">
        <w:rPr>
          <w:sz w:val="16"/>
        </w:rPr>
        <w:t xml:space="preserve"> </w:t>
      </w:r>
      <w:r w:rsidRPr="009C4A5A">
        <w:rPr>
          <w:sz w:val="16"/>
        </w:rPr>
        <w:t>interest was ignored by the court and aggravated by the court’s use of its power to decide in the best</w:t>
      </w:r>
      <w:r w:rsidR="00A45A77" w:rsidRPr="009C4A5A">
        <w:rPr>
          <w:sz w:val="16"/>
        </w:rPr>
        <w:t xml:space="preserve"> </w:t>
      </w:r>
      <w:r w:rsidRPr="009C4A5A">
        <w:rPr>
          <w:sz w:val="16"/>
        </w:rPr>
        <w:t>interest of the child. Even if we assume that the NHS position was perfectly founded professionally</w:t>
      </w:r>
      <w:r w:rsidR="00A45A77" w:rsidRPr="009C4A5A">
        <w:rPr>
          <w:sz w:val="16"/>
        </w:rPr>
        <w:t xml:space="preserve"> </w:t>
      </w:r>
      <w:r w:rsidRPr="009C4A5A">
        <w:rPr>
          <w:sz w:val="16"/>
        </w:rPr>
        <w:t xml:space="preserve">(though there are many reasons to challenge this assumption (Wilkinson, Savulescu, 2018), </w:t>
      </w:r>
      <w:r w:rsidRPr="00DD2D90">
        <w:rPr>
          <w:rStyle w:val="StyleUnderline"/>
        </w:rPr>
        <w:t xml:space="preserve">the </w:t>
      </w:r>
      <w:r w:rsidRPr="00DD2D90">
        <w:rPr>
          <w:rStyle w:val="StyleUnderline"/>
          <w:highlight w:val="green"/>
        </w:rPr>
        <w:t>court’s</w:t>
      </w:r>
      <w:r w:rsidR="00A45A77" w:rsidRPr="00DD2D90">
        <w:rPr>
          <w:rStyle w:val="StyleUnderline"/>
          <w:highlight w:val="green"/>
        </w:rPr>
        <w:t xml:space="preserve"> </w:t>
      </w:r>
      <w:r w:rsidRPr="00DD2D90">
        <w:rPr>
          <w:rStyle w:val="Emphasis"/>
          <w:highlight w:val="green"/>
        </w:rPr>
        <w:t>reliance</w:t>
      </w:r>
      <w:r w:rsidRPr="00DD2D90">
        <w:rPr>
          <w:rStyle w:val="StyleUnderline"/>
          <w:highlight w:val="green"/>
        </w:rPr>
        <w:t xml:space="preserve"> on expert opinion to use </w:t>
      </w:r>
      <w:r w:rsidRPr="00DD2D90">
        <w:rPr>
          <w:rStyle w:val="Emphasis"/>
          <w:highlight w:val="green"/>
        </w:rPr>
        <w:t>extremely strong</w:t>
      </w:r>
      <w:r w:rsidRPr="00DD2D90">
        <w:rPr>
          <w:rStyle w:val="StyleUnderline"/>
          <w:highlight w:val="green"/>
        </w:rPr>
        <w:t xml:space="preserve"> power</w:t>
      </w:r>
      <w:r w:rsidRPr="00DD2D90">
        <w:rPr>
          <w:rStyle w:val="StyleUnderline"/>
        </w:rPr>
        <w:t xml:space="preserve"> ‘to permit the child to die with dignity’ in his</w:t>
      </w:r>
      <w:r w:rsidR="00A45A77" w:rsidRPr="00DD2D90">
        <w:rPr>
          <w:rStyle w:val="StyleUnderline"/>
        </w:rPr>
        <w:t xml:space="preserve"> </w:t>
      </w:r>
      <w:r w:rsidRPr="00DD2D90">
        <w:rPr>
          <w:rStyle w:val="StyleUnderline"/>
        </w:rPr>
        <w:t xml:space="preserve">best interests </w:t>
      </w:r>
      <w:r w:rsidRPr="00DD2D90">
        <w:rPr>
          <w:rStyle w:val="StyleUnderline"/>
          <w:highlight w:val="green"/>
        </w:rPr>
        <w:t xml:space="preserve">creates a </w:t>
      </w:r>
      <w:r w:rsidRPr="00DD2D90">
        <w:rPr>
          <w:rStyle w:val="Emphasis"/>
          <w:highlight w:val="green"/>
        </w:rPr>
        <w:t>very dangerous</w:t>
      </w:r>
      <w:r w:rsidRPr="00DD2D90">
        <w:rPr>
          <w:rStyle w:val="StyleUnderline"/>
          <w:highlight w:val="green"/>
        </w:rPr>
        <w:t xml:space="preserve"> precedent</w:t>
      </w:r>
      <w:r w:rsidRPr="009C4A5A">
        <w:rPr>
          <w:sz w:val="16"/>
        </w:rPr>
        <w:t>. European court of Human Rights endorsed domestic</w:t>
      </w:r>
      <w:r w:rsidR="00A45A77" w:rsidRPr="009C4A5A">
        <w:rPr>
          <w:sz w:val="16"/>
        </w:rPr>
        <w:t xml:space="preserve"> </w:t>
      </w:r>
      <w:r w:rsidRPr="009C4A5A">
        <w:rPr>
          <w:sz w:val="16"/>
        </w:rPr>
        <w:t>court’s approach2. A similar recent case (UK Supreme Court, 2021) underlines the danger.</w:t>
      </w:r>
      <w:r w:rsidR="00A45A77" w:rsidRPr="009C4A5A">
        <w:rPr>
          <w:sz w:val="16"/>
        </w:rPr>
        <w:t xml:space="preserve"> </w:t>
      </w:r>
      <w:r w:rsidRPr="009C4A5A">
        <w:rPr>
          <w:sz w:val="16"/>
        </w:rPr>
        <w:t xml:space="preserve">Back </w:t>
      </w:r>
      <w:r w:rsidRPr="00DD2D90">
        <w:rPr>
          <w:rStyle w:val="StyleUnderline"/>
        </w:rPr>
        <w:t>in the UK</w:t>
      </w:r>
      <w:r w:rsidRPr="009C4A5A">
        <w:rPr>
          <w:sz w:val="16"/>
        </w:rPr>
        <w:t>, with its state-run healthcare (NHS), there is a practice (still secretive but occasionally</w:t>
      </w:r>
      <w:r w:rsidR="00A45A77" w:rsidRPr="009C4A5A">
        <w:rPr>
          <w:sz w:val="16"/>
        </w:rPr>
        <w:t xml:space="preserve"> </w:t>
      </w:r>
      <w:r w:rsidRPr="009C4A5A">
        <w:rPr>
          <w:sz w:val="16"/>
        </w:rPr>
        <w:t xml:space="preserve">revealed) that </w:t>
      </w:r>
      <w:r w:rsidRPr="00DD2D90">
        <w:rPr>
          <w:rStyle w:val="StyleUnderline"/>
        </w:rPr>
        <w:t>certain government servants are provided with special healthca</w:t>
      </w:r>
      <w:r w:rsidRPr="009C4A5A">
        <w:rPr>
          <w:sz w:val="16"/>
        </w:rPr>
        <w:t>re. (Sparrow, 2003; Tonkin,</w:t>
      </w:r>
      <w:r w:rsidR="00A45A77" w:rsidRPr="009C4A5A">
        <w:rPr>
          <w:sz w:val="16"/>
        </w:rPr>
        <w:t xml:space="preserve"> </w:t>
      </w:r>
      <w:r w:rsidRPr="009C4A5A">
        <w:rPr>
          <w:sz w:val="16"/>
        </w:rPr>
        <w:t xml:space="preserve">2015) In other words, </w:t>
      </w:r>
      <w:r w:rsidRPr="00DD2D90">
        <w:rPr>
          <w:rStyle w:val="StyleUnderline"/>
        </w:rPr>
        <w:t>some proponents of state-dominated healthcare admit openly that in a democratic</w:t>
      </w:r>
      <w:r w:rsidR="00A45A77" w:rsidRPr="00DD2D90">
        <w:rPr>
          <w:rStyle w:val="StyleUnderline"/>
        </w:rPr>
        <w:t xml:space="preserve"> </w:t>
      </w:r>
      <w:r w:rsidRPr="00DD2D90">
        <w:rPr>
          <w:rStyle w:val="StyleUnderline"/>
        </w:rPr>
        <w:t>state “some animals are more equal</w:t>
      </w:r>
      <w:r w:rsidRPr="009C4A5A">
        <w:rPr>
          <w:sz w:val="16"/>
        </w:rPr>
        <w:t>.” (There is a revival of this interpretation with the current socialist</w:t>
      </w:r>
      <w:r w:rsidR="00A45A77" w:rsidRPr="009C4A5A">
        <w:rPr>
          <w:sz w:val="16"/>
        </w:rPr>
        <w:t xml:space="preserve"> </w:t>
      </w:r>
      <w:r w:rsidRPr="009C4A5A">
        <w:rPr>
          <w:sz w:val="16"/>
        </w:rPr>
        <w:t xml:space="preserve">government of Spain and its public law of animal welfare and well-being of 2023). </w:t>
      </w:r>
      <w:r w:rsidRPr="00DD2D90">
        <w:rPr>
          <w:rStyle w:val="StyleUnderline"/>
        </w:rPr>
        <w:t>In the USSR</w:t>
      </w:r>
      <w:r w:rsidRPr="009C4A5A">
        <w:rPr>
          <w:sz w:val="16"/>
        </w:rPr>
        <w:t>, such</w:t>
      </w:r>
      <w:r w:rsidR="00A45A77" w:rsidRPr="009C4A5A">
        <w:rPr>
          <w:sz w:val="16"/>
        </w:rPr>
        <w:t xml:space="preserve"> </w:t>
      </w:r>
      <w:r w:rsidRPr="00DD2D90">
        <w:rPr>
          <w:rStyle w:val="StyleUnderline"/>
        </w:rPr>
        <w:t>special healthcare was an official policy</w:t>
      </w:r>
      <w:r w:rsidRPr="009C4A5A">
        <w:rPr>
          <w:sz w:val="16"/>
        </w:rPr>
        <w:t>: the corresponding agency was called the 4th Main Medical</w:t>
      </w:r>
      <w:r w:rsidR="00A45A77" w:rsidRPr="009C4A5A">
        <w:rPr>
          <w:sz w:val="16"/>
        </w:rPr>
        <w:t xml:space="preserve"> </w:t>
      </w:r>
      <w:r w:rsidRPr="009C4A5A">
        <w:rPr>
          <w:sz w:val="16"/>
        </w:rPr>
        <w:t>Department (Voslensky, 1984; DPRF, 2021).</w:t>
      </w:r>
      <w:r w:rsidR="00A45A77" w:rsidRPr="009C4A5A">
        <w:rPr>
          <w:sz w:val="16"/>
        </w:rPr>
        <w:t xml:space="preserve"> </w:t>
      </w:r>
      <w:r w:rsidRPr="009C4A5A">
        <w:rPr>
          <w:sz w:val="16"/>
        </w:rPr>
        <w:t>4. Discussion</w:t>
      </w:r>
      <w:r w:rsidR="00A45A77" w:rsidRPr="009C4A5A">
        <w:rPr>
          <w:sz w:val="16"/>
        </w:rPr>
        <w:t xml:space="preserve"> </w:t>
      </w:r>
      <w:r w:rsidRPr="009C4A5A">
        <w:rPr>
          <w:sz w:val="16"/>
        </w:rPr>
        <w:t>Though there is effective consensus that governmental healthcare has many problems, most authors</w:t>
      </w:r>
      <w:r w:rsidR="00A45A77" w:rsidRPr="009C4A5A">
        <w:rPr>
          <w:sz w:val="16"/>
        </w:rPr>
        <w:t xml:space="preserve"> </w:t>
      </w:r>
      <w:r w:rsidRPr="009C4A5A">
        <w:rPr>
          <w:sz w:val="16"/>
        </w:rPr>
        <w:t>express deep concern about the threat of big business to personal rights if we remove the government</w:t>
      </w:r>
      <w:r w:rsidR="00A45A77" w:rsidRPr="009C4A5A">
        <w:rPr>
          <w:sz w:val="16"/>
        </w:rPr>
        <w:t xml:space="preserve"> </w:t>
      </w:r>
      <w:r w:rsidRPr="009C4A5A">
        <w:rPr>
          <w:sz w:val="16"/>
        </w:rPr>
        <w:t>from healthcare—see, for example, Glaeser and Shleifer (2003). In the context of this research, medical</w:t>
      </w:r>
      <w:r w:rsidR="00A45A77" w:rsidRPr="009C4A5A">
        <w:rPr>
          <w:sz w:val="16"/>
        </w:rPr>
        <w:t xml:space="preserve"> </w:t>
      </w:r>
      <w:r w:rsidRPr="009C4A5A">
        <w:rPr>
          <w:sz w:val="16"/>
        </w:rPr>
        <w:t>commercial insurance companies and especially Big Pharma are often named as potential sources of</w:t>
      </w:r>
      <w:r w:rsidR="00A45A77" w:rsidRPr="009C4A5A">
        <w:rPr>
          <w:sz w:val="16"/>
        </w:rPr>
        <w:t xml:space="preserve"> </w:t>
      </w:r>
      <w:r w:rsidRPr="009C4A5A">
        <w:rPr>
          <w:sz w:val="16"/>
        </w:rPr>
        <w:t>the threat to our freedom, both directly and through the capture of governmental institutions. This</w:t>
      </w:r>
      <w:r w:rsidR="00A45A77" w:rsidRPr="009C4A5A">
        <w:rPr>
          <w:sz w:val="16"/>
        </w:rPr>
        <w:t xml:space="preserve"> </w:t>
      </w:r>
      <w:r w:rsidRPr="009C4A5A">
        <w:rPr>
          <w:sz w:val="16"/>
        </w:rPr>
        <w:t>concern is widespread among colleagues, and we cannot ignore it.</w:t>
      </w:r>
      <w:r w:rsidR="00A45A77" w:rsidRPr="009C4A5A">
        <w:rPr>
          <w:sz w:val="16"/>
        </w:rPr>
        <w:t xml:space="preserve"> </w:t>
      </w:r>
      <w:r w:rsidRPr="009C4A5A">
        <w:rPr>
          <w:sz w:val="16"/>
        </w:rPr>
        <w:t>Addressing this concern, we should note the lack of evidence and absence of proof of big business’</w:t>
      </w:r>
      <w:r w:rsidR="00A45A77" w:rsidRPr="009C4A5A">
        <w:rPr>
          <w:sz w:val="16"/>
        </w:rPr>
        <w:t xml:space="preserve"> </w:t>
      </w:r>
      <w:r w:rsidRPr="009C4A5A">
        <w:rPr>
          <w:sz w:val="16"/>
        </w:rPr>
        <w:t>threat. History provides proof of governmental assaults on big business, not the other way around</w:t>
      </w:r>
      <w:r w:rsidR="00A45A77" w:rsidRPr="009C4A5A">
        <w:rPr>
          <w:sz w:val="16"/>
        </w:rPr>
        <w:t xml:space="preserve"> </w:t>
      </w:r>
      <w:r w:rsidRPr="009C4A5A">
        <w:rPr>
          <w:sz w:val="16"/>
        </w:rPr>
        <w:t>(Yanovskiy and Socol, 2023).</w:t>
      </w:r>
      <w:r w:rsidR="00A45A77" w:rsidRPr="009C4A5A">
        <w:rPr>
          <w:sz w:val="16"/>
        </w:rPr>
        <w:t xml:space="preserve"> </w:t>
      </w:r>
      <w:r w:rsidRPr="009C4A5A">
        <w:rPr>
          <w:sz w:val="16"/>
        </w:rPr>
        <w:t>The existence of Big Pharma was caused and continues to be reproduced by the heavy burden</w:t>
      </w:r>
      <w:r w:rsidR="00A45A77" w:rsidRPr="009C4A5A">
        <w:rPr>
          <w:sz w:val="16"/>
        </w:rPr>
        <w:t xml:space="preserve"> </w:t>
      </w:r>
      <w:r w:rsidRPr="009C4A5A">
        <w:rPr>
          <w:sz w:val="16"/>
        </w:rPr>
        <w:t>imposed by the government, with the Food and Drug Administration being the primary culprit (Philip-</w:t>
      </w:r>
      <w:r w:rsidR="00A45A77" w:rsidRPr="009C4A5A">
        <w:rPr>
          <w:sz w:val="16"/>
        </w:rPr>
        <w:t xml:space="preserve"> </w:t>
      </w:r>
      <w:r w:rsidRPr="009C4A5A">
        <w:rPr>
          <w:sz w:val="16"/>
        </w:rPr>
        <w:t>son and Sun, 2008). Small and medium-sized firms cannot bear this burden. The government’s unique</w:t>
      </w:r>
      <w:r w:rsidR="00A45A77" w:rsidRPr="009C4A5A">
        <w:rPr>
          <w:sz w:val="16"/>
        </w:rPr>
        <w:t xml:space="preserve"> </w:t>
      </w:r>
      <w:r w:rsidRPr="009C4A5A">
        <w:rPr>
          <w:sz w:val="16"/>
        </w:rPr>
        <w:t>ability to cause and perpetuate market monopolization is a well-studied phenomenon (Armentano,</w:t>
      </w:r>
      <w:r w:rsidR="00A45A77" w:rsidRPr="009C4A5A">
        <w:rPr>
          <w:sz w:val="16"/>
        </w:rPr>
        <w:t xml:space="preserve"> </w:t>
      </w:r>
      <w:r w:rsidRPr="009C4A5A">
        <w:rPr>
          <w:sz w:val="16"/>
        </w:rPr>
        <w:t>1986; De Soto, 1989; Huerta de Soto, 1992; Rothbard, 2002).</w:t>
      </w:r>
      <w:r w:rsidR="00A45A77" w:rsidRPr="009C4A5A">
        <w:rPr>
          <w:sz w:val="16"/>
        </w:rPr>
        <w:t xml:space="preserve"> </w:t>
      </w:r>
      <w:r w:rsidRPr="009C4A5A">
        <w:rPr>
          <w:sz w:val="16"/>
        </w:rPr>
        <w:t>Historically, before the coercive establishment of governmental control, the pharmaceutical industry</w:t>
      </w:r>
      <w:r w:rsidR="00A45A77" w:rsidRPr="009C4A5A">
        <w:rPr>
          <w:sz w:val="16"/>
        </w:rPr>
        <w:t xml:space="preserve"> </w:t>
      </w:r>
      <w:r w:rsidRPr="009C4A5A">
        <w:rPr>
          <w:sz w:val="16"/>
        </w:rPr>
        <w:t>was much more competitive than after government conquest. Healthcare services were provided in a</w:t>
      </w:r>
      <w:r w:rsidR="00A45A77" w:rsidRPr="009C4A5A">
        <w:rPr>
          <w:sz w:val="16"/>
        </w:rPr>
        <w:t xml:space="preserve"> </w:t>
      </w:r>
      <w:r w:rsidRPr="009C4A5A">
        <w:rPr>
          <w:sz w:val="16"/>
        </w:rPr>
        <w:t>competitive environment by nonprofit insurers, commercial insurers, and charitable organizations.</w:t>
      </w:r>
      <w:r w:rsidR="00A45A77" w:rsidRPr="009C4A5A">
        <w:rPr>
          <w:sz w:val="16"/>
        </w:rPr>
        <w:t xml:space="preserve"> </w:t>
      </w:r>
      <w:r w:rsidRPr="009C4A5A">
        <w:rPr>
          <w:sz w:val="16"/>
        </w:rPr>
        <w:t>A significant share of consumers preferred to receive and pay for private doctors’ services without</w:t>
      </w:r>
      <w:r w:rsidR="00A45A77" w:rsidRPr="009C4A5A">
        <w:rPr>
          <w:sz w:val="16"/>
        </w:rPr>
        <w:t xml:space="preserve"> </w:t>
      </w:r>
      <w:r w:rsidRPr="009C4A5A">
        <w:rPr>
          <w:sz w:val="16"/>
        </w:rPr>
        <w:t>intermediaries or agents for better control over crucial decision-making (Green, 1993).</w:t>
      </w:r>
      <w:r w:rsidR="00A45A77" w:rsidRPr="009C4A5A">
        <w:rPr>
          <w:sz w:val="16"/>
        </w:rPr>
        <w:t xml:space="preserve"> </w:t>
      </w:r>
      <w:r w:rsidRPr="009C4A5A">
        <w:rPr>
          <w:sz w:val="16"/>
        </w:rPr>
        <w:t>It should be mentioned that when the share of state-controlled medical services is on the rise, every</w:t>
      </w:r>
      <w:r w:rsidR="00A45A77" w:rsidRPr="009C4A5A">
        <w:rPr>
          <w:sz w:val="16"/>
        </w:rPr>
        <w:t xml:space="preserve"> </w:t>
      </w:r>
      <w:r w:rsidRPr="009C4A5A">
        <w:rPr>
          <w:sz w:val="16"/>
        </w:rPr>
        <w:t>next round of competition takes place in worse conditions. While opportunities to win competition</w:t>
      </w:r>
      <w:r w:rsidR="00A45A77" w:rsidRPr="009C4A5A">
        <w:rPr>
          <w:sz w:val="16"/>
        </w:rPr>
        <w:t xml:space="preserve"> </w:t>
      </w:r>
      <w:r w:rsidRPr="009C4A5A">
        <w:rPr>
          <w:sz w:val="16"/>
        </w:rPr>
        <w:t>by better serving the patient are shrinking, the alliance with regulatory authorities looks more and</w:t>
      </w:r>
      <w:r w:rsidR="00A45A77" w:rsidRPr="009C4A5A">
        <w:rPr>
          <w:sz w:val="16"/>
        </w:rPr>
        <w:t xml:space="preserve"> </w:t>
      </w:r>
      <w:r w:rsidRPr="009C4A5A">
        <w:rPr>
          <w:sz w:val="16"/>
        </w:rPr>
        <w:t>more attractive (if not the only) option for both business and charity. When service providers compare</w:t>
      </w:r>
      <w:r w:rsidR="00A45A77" w:rsidRPr="009C4A5A">
        <w:rPr>
          <w:sz w:val="16"/>
        </w:rPr>
        <w:t xml:space="preserve"> </w:t>
      </w:r>
      <w:r w:rsidRPr="009C4A5A">
        <w:rPr>
          <w:sz w:val="16"/>
        </w:rPr>
        <w:t>different options to increase (or just to maintain) their market share, political and administrative</w:t>
      </w:r>
      <w:r w:rsidR="00A45A77" w:rsidRPr="009C4A5A">
        <w:rPr>
          <w:sz w:val="16"/>
        </w:rPr>
        <w:t xml:space="preserve"> </w:t>
      </w:r>
      <w:r w:rsidRPr="009C4A5A">
        <w:rPr>
          <w:sz w:val="16"/>
        </w:rPr>
        <w:t>opportunities may ‘outperform’ efforts to maintain and increase the quality and efficiency of service.</w:t>
      </w:r>
      <w:r w:rsidR="00A45A77" w:rsidRPr="009C4A5A">
        <w:rPr>
          <w:sz w:val="16"/>
        </w:rPr>
        <w:t xml:space="preserve"> </w:t>
      </w:r>
      <w:r w:rsidRPr="00DD2D90">
        <w:rPr>
          <w:rStyle w:val="StyleUnderline"/>
          <w:highlight w:val="green"/>
        </w:rPr>
        <w:t>The</w:t>
      </w:r>
      <w:r w:rsidRPr="00DD2D90">
        <w:rPr>
          <w:rStyle w:val="StyleUnderline"/>
        </w:rPr>
        <w:t xml:space="preserve"> main </w:t>
      </w:r>
      <w:r w:rsidRPr="00DD2D90">
        <w:rPr>
          <w:rStyle w:val="StyleUnderline"/>
          <w:highlight w:val="green"/>
        </w:rPr>
        <w:t>dangerous</w:t>
      </w:r>
      <w:r w:rsidRPr="00DD2D90">
        <w:rPr>
          <w:rStyle w:val="StyleUnderline"/>
        </w:rPr>
        <w:t xml:space="preserve"> side </w:t>
      </w:r>
      <w:r w:rsidRPr="00DD2D90">
        <w:rPr>
          <w:rStyle w:val="StyleUnderline"/>
          <w:highlight w:val="green"/>
        </w:rPr>
        <w:t>effect</w:t>
      </w:r>
      <w:r w:rsidRPr="00DD2D90">
        <w:rPr>
          <w:rStyle w:val="StyleUnderline"/>
        </w:rPr>
        <w:t xml:space="preserve"> of government expansion</w:t>
      </w:r>
      <w:r w:rsidRPr="009C4A5A">
        <w:rPr>
          <w:sz w:val="16"/>
        </w:rPr>
        <w:t xml:space="preserve"> (ultimately ending in the establishment</w:t>
      </w:r>
      <w:r w:rsidR="00A45A77" w:rsidRPr="009C4A5A">
        <w:rPr>
          <w:sz w:val="16"/>
        </w:rPr>
        <w:t xml:space="preserve"> </w:t>
      </w:r>
      <w:r w:rsidRPr="009C4A5A">
        <w:rPr>
          <w:sz w:val="16"/>
        </w:rPr>
        <w:t xml:space="preserve">of full control and ‘one payer’ financing of medical services) </w:t>
      </w:r>
      <w:r w:rsidRPr="00DD2D90">
        <w:rPr>
          <w:rStyle w:val="StyleUnderline"/>
          <w:highlight w:val="green"/>
        </w:rPr>
        <w:t>is turning doctors into</w:t>
      </w:r>
      <w:r w:rsidRPr="00DD2D90">
        <w:rPr>
          <w:rStyle w:val="StyleUnderline"/>
        </w:rPr>
        <w:t xml:space="preserve"> de facto </w:t>
      </w:r>
      <w:r w:rsidRPr="00DD2D90">
        <w:rPr>
          <w:rStyle w:val="StyleUnderline"/>
          <w:highlight w:val="green"/>
        </w:rPr>
        <w:t>parts of</w:t>
      </w:r>
      <w:r w:rsidR="00A45A77" w:rsidRPr="00DD2D90">
        <w:rPr>
          <w:rStyle w:val="StyleUnderline"/>
          <w:highlight w:val="green"/>
        </w:rPr>
        <w:t xml:space="preserve"> </w:t>
      </w:r>
      <w:r w:rsidRPr="00DD2D90">
        <w:rPr>
          <w:rStyle w:val="StyleUnderline"/>
          <w:highlight w:val="green"/>
        </w:rPr>
        <w:t>bureaucratic machinery</w:t>
      </w:r>
      <w:r w:rsidRPr="009C4A5A">
        <w:rPr>
          <w:sz w:val="16"/>
        </w:rPr>
        <w:t xml:space="preserve">. At the same time, </w:t>
      </w:r>
      <w:r w:rsidRPr="00DD2D90">
        <w:rPr>
          <w:rStyle w:val="StyleUnderline"/>
          <w:highlight w:val="green"/>
        </w:rPr>
        <w:t>they become authorized to represent the government</w:t>
      </w:r>
      <w:r w:rsidRPr="00DD2D90">
        <w:rPr>
          <w:rStyle w:val="StyleUnderline"/>
        </w:rPr>
        <w:t xml:space="preserve"> in</w:t>
      </w:r>
      <w:r w:rsidR="00A45A77" w:rsidRPr="00DD2D90">
        <w:rPr>
          <w:rStyle w:val="StyleUnderline"/>
        </w:rPr>
        <w:t xml:space="preserve"> </w:t>
      </w:r>
      <w:r w:rsidRPr="00DD2D90">
        <w:rPr>
          <w:rStyle w:val="StyleUnderline"/>
        </w:rPr>
        <w:t>their interaction with the patients</w:t>
      </w:r>
      <w:r w:rsidRPr="009C4A5A">
        <w:rPr>
          <w:sz w:val="16"/>
        </w:rPr>
        <w:t xml:space="preserve">. Thus, </w:t>
      </w:r>
      <w:r w:rsidRPr="00DD2D90">
        <w:rPr>
          <w:rStyle w:val="StyleUnderline"/>
          <w:highlight w:val="green"/>
        </w:rPr>
        <w:t>they escape</w:t>
      </w:r>
      <w:r w:rsidRPr="00DD2D90">
        <w:rPr>
          <w:rStyle w:val="StyleUnderline"/>
        </w:rPr>
        <w:t xml:space="preserve"> the patients’ and </w:t>
      </w:r>
      <w:r w:rsidRPr="00DD2D90">
        <w:rPr>
          <w:rStyle w:val="StyleUnderline"/>
          <w:highlight w:val="green"/>
        </w:rPr>
        <w:t>civil society’s control</w:t>
      </w:r>
      <w:r w:rsidRPr="009C4A5A">
        <w:rPr>
          <w:sz w:val="16"/>
        </w:rPr>
        <w:t xml:space="preserve">. </w:t>
      </w:r>
      <w:r w:rsidRPr="00DD2D90">
        <w:rPr>
          <w:rStyle w:val="StyleUnderline"/>
        </w:rPr>
        <w:t>Both the</w:t>
      </w:r>
      <w:r w:rsidR="00A45A77" w:rsidRPr="00DD2D90">
        <w:rPr>
          <w:rStyle w:val="StyleUnderline"/>
        </w:rPr>
        <w:t xml:space="preserve"> </w:t>
      </w:r>
      <w:r w:rsidRPr="00DD2D90">
        <w:rPr>
          <w:rStyle w:val="StyleUnderline"/>
        </w:rPr>
        <w:t>information asymmetry</w:t>
      </w:r>
      <w:r w:rsidRPr="009C4A5A">
        <w:rPr>
          <w:sz w:val="16"/>
        </w:rPr>
        <w:t xml:space="preserve"> (discussed below) </w:t>
      </w:r>
      <w:r w:rsidRPr="00DD2D90">
        <w:rPr>
          <w:rStyle w:val="StyleUnderline"/>
        </w:rPr>
        <w:t>and the discretion to provide or decline specific treatment</w:t>
      </w:r>
      <w:r w:rsidR="00A45A77" w:rsidRPr="00DD2D90">
        <w:rPr>
          <w:rStyle w:val="StyleUnderline"/>
        </w:rPr>
        <w:t xml:space="preserve"> </w:t>
      </w:r>
      <w:r w:rsidRPr="00DD2D90">
        <w:rPr>
          <w:rStyle w:val="StyleUnderline"/>
        </w:rPr>
        <w:t>empower doctors over patients</w:t>
      </w:r>
      <w:r w:rsidRPr="009C4A5A">
        <w:rPr>
          <w:sz w:val="16"/>
        </w:rPr>
        <w:t>. It is at least questionable that due ethical guidelines and proper doctors’</w:t>
      </w:r>
      <w:r w:rsidR="00A45A77" w:rsidRPr="009C4A5A">
        <w:rPr>
          <w:sz w:val="16"/>
        </w:rPr>
        <w:t xml:space="preserve"> </w:t>
      </w:r>
      <w:r w:rsidRPr="009C4A5A">
        <w:rPr>
          <w:sz w:val="16"/>
        </w:rPr>
        <w:t>education can substitute institutional means of safeguarding patients’ rights.</w:t>
      </w:r>
      <w:r w:rsidR="00A45A77" w:rsidRPr="009C4A5A">
        <w:rPr>
          <w:sz w:val="16"/>
        </w:rPr>
        <w:t xml:space="preserve"> </w:t>
      </w:r>
      <w:r w:rsidRPr="009C4A5A">
        <w:rPr>
          <w:sz w:val="16"/>
        </w:rPr>
        <w:t>Terrifying results of medical power abuse in Nazi Germany are felt even today all over the world:</w:t>
      </w:r>
      <w:r w:rsidR="00A45A77" w:rsidRPr="009C4A5A">
        <w:rPr>
          <w:sz w:val="16"/>
        </w:rPr>
        <w:t xml:space="preserve"> </w:t>
      </w:r>
      <w:r w:rsidRPr="009C4A5A">
        <w:rPr>
          <w:sz w:val="16"/>
        </w:rPr>
        <w:t>Actually, the entire institute of Helsinki clearance assumes that researchers bear the burden of proof that</w:t>
      </w:r>
      <w:r w:rsidR="00A45A77" w:rsidRPr="009C4A5A">
        <w:rPr>
          <w:sz w:val="16"/>
        </w:rPr>
        <w:t xml:space="preserve"> </w:t>
      </w:r>
      <w:r w:rsidRPr="009C4A5A">
        <w:rPr>
          <w:sz w:val="16"/>
        </w:rPr>
        <w:t>their experimental studies have nothing in common with the Nazi experimental practice (Schneider,</w:t>
      </w:r>
      <w:r w:rsidR="00A45A77" w:rsidRPr="009C4A5A">
        <w:rPr>
          <w:sz w:val="16"/>
        </w:rPr>
        <w:t xml:space="preserve"> </w:t>
      </w:r>
      <w:r w:rsidRPr="009C4A5A">
        <w:rPr>
          <w:sz w:val="16"/>
        </w:rPr>
        <w:t>2015) and are conducted according to the Nuremberg code, including informed consent of patients.</w:t>
      </w:r>
      <w:r w:rsidR="00A45A77" w:rsidRPr="009C4A5A">
        <w:rPr>
          <w:sz w:val="16"/>
        </w:rPr>
        <w:t xml:space="preserve"> </w:t>
      </w:r>
      <w:r w:rsidRPr="009C4A5A">
        <w:rPr>
          <w:sz w:val="16"/>
        </w:rPr>
        <w:t>One of the main arguments in favor of government regulation of healthcare is the problem of</w:t>
      </w:r>
      <w:r w:rsidR="00A45A77" w:rsidRPr="009C4A5A">
        <w:rPr>
          <w:sz w:val="16"/>
        </w:rPr>
        <w:t xml:space="preserve"> </w:t>
      </w:r>
      <w:r w:rsidRPr="009C4A5A">
        <w:rPr>
          <w:sz w:val="16"/>
        </w:rPr>
        <w:t>information asymmetry (Arrow, 1963; Buck, 2016; Dulleck &amp; Kerschbamer, 2006). However, this</w:t>
      </w:r>
      <w:r w:rsidR="00A45A77" w:rsidRPr="009C4A5A">
        <w:rPr>
          <w:sz w:val="16"/>
        </w:rPr>
        <w:t xml:space="preserve"> </w:t>
      </w:r>
      <w:r w:rsidRPr="009C4A5A">
        <w:rPr>
          <w:sz w:val="16"/>
        </w:rPr>
        <w:t>problem has been discussed for many years, both particularly in medicine (Leonard et al, 2013) and</w:t>
      </w:r>
      <w:r w:rsidR="00A45A77" w:rsidRPr="009C4A5A">
        <w:rPr>
          <w:sz w:val="16"/>
        </w:rPr>
        <w:t xml:space="preserve"> </w:t>
      </w:r>
      <w:r w:rsidRPr="009C4A5A">
        <w:rPr>
          <w:sz w:val="16"/>
        </w:rPr>
        <w:t>generally in economics (Axelrod, 1970). It has been shown that strong interests of various stakeholders</w:t>
      </w:r>
      <w:r w:rsidR="00A45A77" w:rsidRPr="009C4A5A">
        <w:rPr>
          <w:sz w:val="16"/>
        </w:rPr>
        <w:t xml:space="preserve"> </w:t>
      </w:r>
      <w:r w:rsidRPr="009C4A5A">
        <w:rPr>
          <w:sz w:val="16"/>
        </w:rPr>
        <w:t>(commercial and noncommercial private insurers, charities, private clinics) to save money and to</w:t>
      </w:r>
      <w:r w:rsidR="00A45A77" w:rsidRPr="009C4A5A">
        <w:rPr>
          <w:sz w:val="16"/>
        </w:rPr>
        <w:t xml:space="preserve"> </w:t>
      </w:r>
      <w:r w:rsidRPr="009C4A5A">
        <w:rPr>
          <w:sz w:val="16"/>
        </w:rPr>
        <w:t>prevent reputational damage mitigate risks of informational power abuse by physicians. In a free society</w:t>
      </w:r>
      <w:r w:rsidR="00A45A77" w:rsidRPr="009C4A5A">
        <w:rPr>
          <w:sz w:val="16"/>
        </w:rPr>
        <w:t xml:space="preserve"> </w:t>
      </w:r>
      <w:r w:rsidRPr="009C4A5A">
        <w:rPr>
          <w:sz w:val="16"/>
        </w:rPr>
        <w:t>with a strong tradition of civic initiatives (Tocqueville, 1835; Olasky, 1994) and flourishing private</w:t>
      </w:r>
      <w:r w:rsidR="00A45A77" w:rsidRPr="009C4A5A">
        <w:rPr>
          <w:sz w:val="16"/>
        </w:rPr>
        <w:t xml:space="preserve"> </w:t>
      </w:r>
      <w:r w:rsidRPr="009C4A5A">
        <w:rPr>
          <w:sz w:val="16"/>
        </w:rPr>
        <w:t>business, there arise independent expert bodies possessing sufficient expertise, which is shared with</w:t>
      </w:r>
      <w:r w:rsidR="00A45A77" w:rsidRPr="009C4A5A">
        <w:rPr>
          <w:sz w:val="16"/>
        </w:rPr>
        <w:t xml:space="preserve"> </w:t>
      </w:r>
      <w:r w:rsidRPr="009C4A5A">
        <w:rPr>
          <w:sz w:val="16"/>
        </w:rPr>
        <w:t>the client or patient (Sullivan, 2006). Such bodies may be commercial—independent medical experts</w:t>
      </w:r>
      <w:r w:rsidR="00A45A77" w:rsidRPr="009C4A5A">
        <w:rPr>
          <w:sz w:val="16"/>
        </w:rPr>
        <w:t xml:space="preserve"> </w:t>
      </w:r>
      <w:r w:rsidRPr="009C4A5A">
        <w:rPr>
          <w:sz w:val="16"/>
        </w:rPr>
        <w:t>like the American Board of Independent Medical Examiners (https://www.abime.org), insurance,</w:t>
      </w:r>
      <w:r w:rsidR="00A45A77" w:rsidRPr="009C4A5A">
        <w:rPr>
          <w:sz w:val="16"/>
        </w:rPr>
        <w:t xml:space="preserve"> </w:t>
      </w:r>
      <w:r w:rsidRPr="009C4A5A">
        <w:rPr>
          <w:sz w:val="16"/>
        </w:rPr>
        <w:t>and legal firms. There are also non-commercial medical associations like Physicians for Patient</w:t>
      </w:r>
      <w:r w:rsidR="00A45A77" w:rsidRPr="009C4A5A">
        <w:rPr>
          <w:sz w:val="16"/>
        </w:rPr>
        <w:t xml:space="preserve"> </w:t>
      </w:r>
      <w:r w:rsidRPr="009C4A5A">
        <w:rPr>
          <w:sz w:val="16"/>
        </w:rPr>
        <w:t>Protection (PhysiciansForPatientProtection.org) and charities like Ezra Lemarpe (https://www.ezra-</w:t>
      </w:r>
      <w:r w:rsidR="00A45A77" w:rsidRPr="009C4A5A">
        <w:rPr>
          <w:sz w:val="16"/>
        </w:rPr>
        <w:t xml:space="preserve"> </w:t>
      </w:r>
      <w:r w:rsidRPr="009C4A5A">
        <w:rPr>
          <w:sz w:val="16"/>
        </w:rPr>
        <w:t>lemarpe.org/en). All the above-mentioned organizations are likely to effectively address the problem</w:t>
      </w:r>
      <w:r w:rsidR="00A45A77" w:rsidRPr="009C4A5A">
        <w:rPr>
          <w:sz w:val="16"/>
        </w:rPr>
        <w:t xml:space="preserve"> </w:t>
      </w:r>
      <w:r w:rsidRPr="009C4A5A">
        <w:rPr>
          <w:sz w:val="16"/>
        </w:rPr>
        <w:t>of information asymmetry without governmental control.</w:t>
      </w:r>
      <w:r w:rsidR="00A45A77" w:rsidRPr="009C4A5A">
        <w:rPr>
          <w:sz w:val="16"/>
        </w:rPr>
        <w:t xml:space="preserve"> </w:t>
      </w:r>
      <w:r w:rsidRPr="009C4A5A">
        <w:rPr>
          <w:sz w:val="16"/>
        </w:rPr>
        <w:t>Another frequently used argument is the assumption of restricted rationality (or even restricted</w:t>
      </w:r>
      <w:r w:rsidR="00A45A77" w:rsidRPr="009C4A5A">
        <w:rPr>
          <w:sz w:val="16"/>
        </w:rPr>
        <w:t xml:space="preserve"> </w:t>
      </w:r>
      <w:r w:rsidRPr="009C4A5A">
        <w:rPr>
          <w:sz w:val="16"/>
        </w:rPr>
        <w:t>legal capacity) of an average person (Howard, 1994; Leoni, 1991). Actually, this is the reasoning for</w:t>
      </w:r>
      <w:r w:rsidR="00A45A77" w:rsidRPr="009C4A5A">
        <w:rPr>
          <w:sz w:val="16"/>
        </w:rPr>
        <w:t xml:space="preserve"> </w:t>
      </w:r>
      <w:r w:rsidRPr="009C4A5A">
        <w:rPr>
          <w:sz w:val="16"/>
        </w:rPr>
        <w:t>compulsory health insurance or compulsory pension programs: “There are people who are unable to</w:t>
      </w:r>
      <w:r w:rsidR="00A45A77" w:rsidRPr="009C4A5A">
        <w:rPr>
          <w:sz w:val="16"/>
        </w:rPr>
        <w:t xml:space="preserve"> </w:t>
      </w:r>
      <w:r w:rsidRPr="009C4A5A">
        <w:rPr>
          <w:sz w:val="16"/>
        </w:rPr>
        <w:t>care for themselves”. However, this assumption is not compatible with the basic principles of a free</w:t>
      </w:r>
      <w:r w:rsidR="00A45A77" w:rsidRPr="009C4A5A">
        <w:rPr>
          <w:sz w:val="16"/>
        </w:rPr>
        <w:t xml:space="preserve"> </w:t>
      </w:r>
      <w:r w:rsidRPr="009C4A5A">
        <w:rPr>
          <w:sz w:val="16"/>
        </w:rPr>
        <w:t>society. Moreover, in the context of public health, the ‘limited capacity’ argument is challenged, e.g.,</w:t>
      </w:r>
      <w:r w:rsidR="00A45A77" w:rsidRPr="009C4A5A">
        <w:rPr>
          <w:sz w:val="16"/>
        </w:rPr>
        <w:t xml:space="preserve"> </w:t>
      </w:r>
      <w:r w:rsidRPr="009C4A5A">
        <w:rPr>
          <w:sz w:val="16"/>
        </w:rPr>
        <w:t>by the history of British non-commercial healthcare insurance (Green, 1993).</w:t>
      </w:r>
      <w:r w:rsidR="00A45A77" w:rsidRPr="009C4A5A">
        <w:rPr>
          <w:sz w:val="16"/>
        </w:rPr>
        <w:t xml:space="preserve"> </w:t>
      </w:r>
      <w:r w:rsidRPr="009C4A5A">
        <w:rPr>
          <w:sz w:val="16"/>
        </w:rPr>
        <w:t>When healthcare is strictly regulated, more and more sophisticated legislation protecting the rights</w:t>
      </w:r>
      <w:r w:rsidR="00A45A77" w:rsidRPr="009C4A5A">
        <w:rPr>
          <w:sz w:val="16"/>
        </w:rPr>
        <w:t xml:space="preserve"> </w:t>
      </w:r>
      <w:r w:rsidRPr="009C4A5A">
        <w:rPr>
          <w:sz w:val="16"/>
        </w:rPr>
        <w:t>of patients is promoted. The legislation and the assumption of limited patient capability provide lawyers</w:t>
      </w:r>
      <w:r w:rsidR="00A45A77" w:rsidRPr="009C4A5A">
        <w:rPr>
          <w:sz w:val="16"/>
        </w:rPr>
        <w:t xml:space="preserve"> </w:t>
      </w:r>
      <w:r w:rsidRPr="009C4A5A">
        <w:rPr>
          <w:sz w:val="16"/>
        </w:rPr>
        <w:t>and patients with strong incentives to extract money from medical practitioners and institutions. Not</w:t>
      </w:r>
      <w:r w:rsidR="00A45A77" w:rsidRPr="009C4A5A">
        <w:rPr>
          <w:sz w:val="16"/>
        </w:rPr>
        <w:t xml:space="preserve"> </w:t>
      </w:r>
      <w:r w:rsidRPr="009C4A5A">
        <w:rPr>
          <w:sz w:val="16"/>
        </w:rPr>
        <w:t>only doctors and hospitals suffer from such practices: in such circumstances, responsibility insurance</w:t>
      </w:r>
      <w:r w:rsidR="00A45A77" w:rsidRPr="009C4A5A">
        <w:rPr>
          <w:sz w:val="16"/>
        </w:rPr>
        <w:t xml:space="preserve"> </w:t>
      </w:r>
      <w:r w:rsidRPr="009C4A5A">
        <w:rPr>
          <w:sz w:val="16"/>
        </w:rPr>
        <w:t>often proves to be a better option than investment in healthcare quality—not to the benefit of patients.</w:t>
      </w:r>
      <w:r w:rsidR="00A45A77" w:rsidRPr="009C4A5A">
        <w:rPr>
          <w:sz w:val="16"/>
        </w:rPr>
        <w:t xml:space="preserve"> </w:t>
      </w:r>
      <w:r w:rsidRPr="009C4A5A">
        <w:rPr>
          <w:sz w:val="16"/>
        </w:rPr>
        <w:t>Lawyers clearly benefit from the legislation expansion (Leoni, 1991). Not accidentally, US lawyers’</w:t>
      </w:r>
      <w:r w:rsidR="00A45A77" w:rsidRPr="009C4A5A">
        <w:rPr>
          <w:sz w:val="16"/>
        </w:rPr>
        <w:t xml:space="preserve"> </w:t>
      </w:r>
      <w:r w:rsidRPr="009C4A5A">
        <w:rPr>
          <w:sz w:val="16"/>
        </w:rPr>
        <w:t>political donations are clearly biased to the most ‘liberal’ wing of the Democratic party (Bonica, 2014).</w:t>
      </w:r>
      <w:r w:rsidR="00A45A77" w:rsidRPr="009C4A5A">
        <w:rPr>
          <w:sz w:val="16"/>
        </w:rPr>
        <w:t xml:space="preserve"> </w:t>
      </w:r>
      <w:r w:rsidRPr="009C4A5A">
        <w:rPr>
          <w:sz w:val="16"/>
        </w:rPr>
        <w:t>Somewhat paradoxically, in the absence of competition, even educating doctors for responsibility</w:t>
      </w:r>
      <w:r w:rsidR="00A45A77" w:rsidRPr="009C4A5A">
        <w:rPr>
          <w:sz w:val="16"/>
        </w:rPr>
        <w:t xml:space="preserve"> </w:t>
      </w:r>
      <w:r w:rsidRPr="009C4A5A">
        <w:rPr>
          <w:sz w:val="16"/>
        </w:rPr>
        <w:t>may have an opposite effect. While authority without responsibility is clearly regarded as immoral,</w:t>
      </w:r>
      <w:r w:rsidR="00A45A77" w:rsidRPr="009C4A5A">
        <w:rPr>
          <w:sz w:val="16"/>
        </w:rPr>
        <w:t xml:space="preserve"> </w:t>
      </w:r>
      <w:r w:rsidRPr="009C4A5A">
        <w:rPr>
          <w:sz w:val="16"/>
        </w:rPr>
        <w:t>responsibility without authority is understood as unfeasible (Plant, 2011). Therefore, demand for</w:t>
      </w:r>
      <w:r w:rsidR="00A45A77" w:rsidRPr="009C4A5A">
        <w:rPr>
          <w:sz w:val="16"/>
        </w:rPr>
        <w:t xml:space="preserve"> </w:t>
      </w:r>
      <w:r w:rsidRPr="009C4A5A">
        <w:rPr>
          <w:sz w:val="16"/>
        </w:rPr>
        <w:t>responsibility may be translated—both psychologically and institutionally—to expanding authority</w:t>
      </w:r>
      <w:r w:rsidR="00A45A77" w:rsidRPr="009C4A5A">
        <w:rPr>
          <w:sz w:val="16"/>
        </w:rPr>
        <w:t xml:space="preserve"> </w:t>
      </w:r>
      <w:r w:rsidRPr="009C4A5A">
        <w:rPr>
          <w:sz w:val="16"/>
        </w:rPr>
        <w:t>with corresponding potential for power abuse.</w:t>
      </w:r>
      <w:r w:rsidR="00A45A77" w:rsidRPr="009C4A5A">
        <w:rPr>
          <w:sz w:val="16"/>
        </w:rPr>
        <w:t xml:space="preserve"> </w:t>
      </w:r>
      <w:r w:rsidRPr="009C4A5A">
        <w:rPr>
          <w:sz w:val="16"/>
        </w:rPr>
        <w:t>Among the obvious advantages of a market, decentralized organization of the economy, one should</w:t>
      </w:r>
      <w:r w:rsidR="00A45A77" w:rsidRPr="009C4A5A">
        <w:rPr>
          <w:sz w:val="16"/>
        </w:rPr>
        <w:t xml:space="preserve"> </w:t>
      </w:r>
      <w:r w:rsidRPr="009C4A5A">
        <w:rPr>
          <w:sz w:val="16"/>
        </w:rPr>
        <w:t>note its enormous informational advantage over a command, centralized one (Kirzner, 1973, pp. 66,</w:t>
      </w:r>
      <w:r w:rsidR="00A45A77" w:rsidRPr="009C4A5A">
        <w:rPr>
          <w:sz w:val="16"/>
        </w:rPr>
        <w:t xml:space="preserve"> </w:t>
      </w:r>
      <w:r w:rsidRPr="009C4A5A">
        <w:rPr>
          <w:sz w:val="16"/>
        </w:rPr>
        <w:t>151-169; Mises, 1949). The robust motivation of entrepreneurs and consumers, despite their limited</w:t>
      </w:r>
      <w:r w:rsidR="00A45A77" w:rsidRPr="009C4A5A">
        <w:rPr>
          <w:sz w:val="16"/>
        </w:rPr>
        <w:t xml:space="preserve"> </w:t>
      </w:r>
      <w:r w:rsidRPr="009C4A5A">
        <w:rPr>
          <w:sz w:val="16"/>
        </w:rPr>
        <w:t>knowledge, more frequently leads to the successful fulfillment of a rapidly expanding spectrum of</w:t>
      </w:r>
      <w:r w:rsidR="00A45A77" w:rsidRPr="009C4A5A">
        <w:rPr>
          <w:sz w:val="16"/>
        </w:rPr>
        <w:t xml:space="preserve"> </w:t>
      </w:r>
      <w:r w:rsidRPr="009C4A5A">
        <w:rPr>
          <w:sz w:val="16"/>
        </w:rPr>
        <w:t>personal needs and demands. At the same time, the command-centralized economy has routinely failed</w:t>
      </w:r>
      <w:r w:rsidR="00A45A77" w:rsidRPr="009C4A5A">
        <w:rPr>
          <w:sz w:val="16"/>
        </w:rPr>
        <w:t xml:space="preserve"> </w:t>
      </w:r>
      <w:r w:rsidRPr="009C4A5A">
        <w:rPr>
          <w:sz w:val="16"/>
        </w:rPr>
        <w:t>even when satisfying the most basic needs - food and clothing. For example, food rationing and the</w:t>
      </w:r>
      <w:r w:rsidR="00A45A77" w:rsidRPr="009C4A5A">
        <w:rPr>
          <w:sz w:val="16"/>
        </w:rPr>
        <w:t xml:space="preserve"> </w:t>
      </w:r>
      <w:r w:rsidRPr="009C4A5A">
        <w:rPr>
          <w:sz w:val="16"/>
        </w:rPr>
        <w:t>fight against “profiteering” in the Russian Empire on the eve of the 1917 revolution caused interruptions</w:t>
      </w:r>
      <w:r w:rsidR="00A45A77" w:rsidRPr="009C4A5A">
        <w:rPr>
          <w:sz w:val="16"/>
        </w:rPr>
        <w:t xml:space="preserve"> </w:t>
      </w:r>
      <w:r w:rsidRPr="009C4A5A">
        <w:rPr>
          <w:sz w:val="16"/>
        </w:rPr>
        <w:t>in the food supply of the largest cities, ultimately resulting in March 1917 mass unrest. It happened in</w:t>
      </w:r>
      <w:r w:rsidR="00A45A77" w:rsidRPr="009C4A5A">
        <w:rPr>
          <w:sz w:val="16"/>
        </w:rPr>
        <w:t xml:space="preserve"> </w:t>
      </w:r>
      <w:r w:rsidRPr="009C4A5A">
        <w:rPr>
          <w:sz w:val="16"/>
        </w:rPr>
        <w:t>one of the largest agricultural economies in the world at that time (Yanovskiy, Zhavoronkov, 2016).</w:t>
      </w:r>
      <w:r w:rsidR="00A45A77" w:rsidRPr="009C4A5A">
        <w:rPr>
          <w:sz w:val="16"/>
        </w:rPr>
        <w:t xml:space="preserve"> </w:t>
      </w:r>
      <w:r w:rsidRPr="009C4A5A">
        <w:rPr>
          <w:sz w:val="16"/>
        </w:rPr>
        <w:t>The economic collapse of the USSR (1991) further emphasizes this point (Gaidar, 2007). The decision-</w:t>
      </w:r>
      <w:r w:rsidR="00A45A77" w:rsidRPr="009C4A5A">
        <w:rPr>
          <w:sz w:val="16"/>
        </w:rPr>
        <w:t xml:space="preserve"> </w:t>
      </w:r>
      <w:r w:rsidRPr="009C4A5A">
        <w:rPr>
          <w:sz w:val="16"/>
        </w:rPr>
        <w:t>making centers of bureaucrats and politicians in a command economy are not only in practice but</w:t>
      </w:r>
      <w:r w:rsidR="00A45A77" w:rsidRPr="009C4A5A">
        <w:rPr>
          <w:sz w:val="16"/>
        </w:rPr>
        <w:t xml:space="preserve"> </w:t>
      </w:r>
      <w:r w:rsidRPr="009C4A5A">
        <w:rPr>
          <w:sz w:val="16"/>
        </w:rPr>
        <w:t>even in theory powerless against the market (Hayek, 1988). Progress in medicine is largely associated</w:t>
      </w:r>
      <w:r w:rsidR="00A45A77" w:rsidRPr="009C4A5A">
        <w:rPr>
          <w:sz w:val="16"/>
        </w:rPr>
        <w:t xml:space="preserve"> </w:t>
      </w:r>
      <w:r w:rsidRPr="009C4A5A">
        <w:rPr>
          <w:sz w:val="16"/>
        </w:rPr>
        <w:t>now with the individualization of treatment (Rajpurkar et al., 2022; Bajwa et al., 2021; Schork, 2019).</w:t>
      </w:r>
      <w:r w:rsidR="00A45A77" w:rsidRPr="009C4A5A">
        <w:rPr>
          <w:sz w:val="16"/>
        </w:rPr>
        <w:t xml:space="preserve"> </w:t>
      </w:r>
      <w:r w:rsidRPr="009C4A5A">
        <w:rPr>
          <w:sz w:val="16"/>
        </w:rPr>
        <w:t>Personalized treatment can only be done effectively by being provided in a decentralized manner,</w:t>
      </w:r>
      <w:r w:rsidR="00A45A77" w:rsidRPr="009C4A5A">
        <w:rPr>
          <w:sz w:val="16"/>
        </w:rPr>
        <w:t xml:space="preserve"> </w:t>
      </w:r>
      <w:r w:rsidRPr="009C4A5A">
        <w:rPr>
          <w:sz w:val="16"/>
        </w:rPr>
        <w:t>based on the strong incentives of the patient and the private physician. Such progress is in principle</w:t>
      </w:r>
      <w:r w:rsidR="00A45A77" w:rsidRPr="009C4A5A">
        <w:rPr>
          <w:sz w:val="16"/>
        </w:rPr>
        <w:t xml:space="preserve"> </w:t>
      </w:r>
      <w:r w:rsidRPr="009C4A5A">
        <w:rPr>
          <w:sz w:val="16"/>
        </w:rPr>
        <w:t>incompatible with centrally imposed treatment protocols broadly practiced, particularly during the</w:t>
      </w:r>
      <w:r w:rsidR="00A45A77" w:rsidRPr="009C4A5A">
        <w:rPr>
          <w:sz w:val="16"/>
        </w:rPr>
        <w:t xml:space="preserve"> </w:t>
      </w:r>
      <w:r w:rsidRPr="009C4A5A">
        <w:rPr>
          <w:sz w:val="16"/>
        </w:rPr>
        <w:t xml:space="preserve">COVID-19 pandemic. Thus, </w:t>
      </w:r>
      <w:r w:rsidRPr="00DD2D90">
        <w:rPr>
          <w:rStyle w:val="StyleUnderline"/>
          <w:highlight w:val="green"/>
        </w:rPr>
        <w:t>centrally imposed decisions</w:t>
      </w:r>
      <w:r w:rsidRPr="00DD2D90">
        <w:rPr>
          <w:rStyle w:val="StyleUnderline"/>
        </w:rPr>
        <w:t xml:space="preserve"> in medicine</w:t>
      </w:r>
      <w:r w:rsidRPr="009C4A5A">
        <w:rPr>
          <w:sz w:val="16"/>
        </w:rPr>
        <w:t xml:space="preserve"> not only </w:t>
      </w:r>
      <w:r w:rsidRPr="00DD2D90">
        <w:rPr>
          <w:rStyle w:val="StyleUnderline"/>
          <w:highlight w:val="green"/>
        </w:rPr>
        <w:t>violate individual rights</w:t>
      </w:r>
      <w:r w:rsidR="00A45A77" w:rsidRPr="009C4A5A">
        <w:rPr>
          <w:sz w:val="16"/>
        </w:rPr>
        <w:t xml:space="preserve"> </w:t>
      </w:r>
      <w:r w:rsidRPr="009C4A5A">
        <w:rPr>
          <w:sz w:val="16"/>
        </w:rPr>
        <w:t>and are morally problematic but also grossly counterproductive.</w:t>
      </w:r>
      <w:r w:rsidR="00A45A77" w:rsidRPr="009C4A5A">
        <w:rPr>
          <w:sz w:val="16"/>
        </w:rPr>
        <w:t xml:space="preserve"> </w:t>
      </w:r>
      <w:r w:rsidRPr="009C4A5A">
        <w:rPr>
          <w:sz w:val="16"/>
        </w:rPr>
        <w:t xml:space="preserve">Summarizing, </w:t>
      </w:r>
      <w:r w:rsidRPr="00DD2D90">
        <w:rPr>
          <w:rStyle w:val="StyleUnderline"/>
        </w:rPr>
        <w:t>state domination in healthcare poses several dangers</w:t>
      </w:r>
      <w:r w:rsidRPr="009C4A5A">
        <w:rPr>
          <w:sz w:val="16"/>
        </w:rPr>
        <w:t>. Alternatively, there are multiple</w:t>
      </w:r>
      <w:r w:rsidR="00A45A77" w:rsidRPr="009C4A5A">
        <w:rPr>
          <w:sz w:val="16"/>
        </w:rPr>
        <w:t xml:space="preserve"> </w:t>
      </w:r>
      <w:r w:rsidRPr="009C4A5A">
        <w:rPr>
          <w:sz w:val="16"/>
        </w:rPr>
        <w:t>state-independent institutional frameworks safeguarding patients’ rights and interests through both free</w:t>
      </w:r>
      <w:r w:rsidR="00A45A77" w:rsidRPr="009C4A5A">
        <w:rPr>
          <w:sz w:val="16"/>
        </w:rPr>
        <w:t xml:space="preserve"> </w:t>
      </w:r>
      <w:r w:rsidRPr="009C4A5A">
        <w:rPr>
          <w:sz w:val="16"/>
        </w:rPr>
        <w:t>market and non-profit initiatives. Such institutions proved their efficiency in various countries (Green,</w:t>
      </w:r>
      <w:r w:rsidR="00A45A77" w:rsidRPr="009C4A5A">
        <w:rPr>
          <w:sz w:val="16"/>
        </w:rPr>
        <w:t xml:space="preserve"> </w:t>
      </w:r>
      <w:r w:rsidRPr="009C4A5A">
        <w:rPr>
          <w:sz w:val="16"/>
        </w:rPr>
        <w:t>1993), including in solving the problem of information asymmetry; they also protect doctors from</w:t>
      </w:r>
      <w:r w:rsidR="00A45A77" w:rsidRPr="009C4A5A">
        <w:rPr>
          <w:sz w:val="16"/>
        </w:rPr>
        <w:t xml:space="preserve"> </w:t>
      </w:r>
      <w:r w:rsidRPr="009C4A5A">
        <w:rPr>
          <w:sz w:val="16"/>
        </w:rPr>
        <w:t xml:space="preserve">lawyers. </w:t>
      </w:r>
      <w:r w:rsidRPr="00DD2D90">
        <w:rPr>
          <w:rStyle w:val="StyleUnderline"/>
        </w:rPr>
        <w:t xml:space="preserve">Dissolving these frameworks for the sake of a perfect governmental solution is an </w:t>
      </w:r>
      <w:r w:rsidRPr="00DD2D90">
        <w:rPr>
          <w:rStyle w:val="Emphasis"/>
        </w:rPr>
        <w:t>extremely</w:t>
      </w:r>
      <w:r w:rsidR="00A45A77" w:rsidRPr="00DD2D90">
        <w:rPr>
          <w:rStyle w:val="Emphasis"/>
        </w:rPr>
        <w:t xml:space="preserve"> </w:t>
      </w:r>
      <w:r w:rsidRPr="00DD2D90">
        <w:rPr>
          <w:rStyle w:val="Emphasis"/>
        </w:rPr>
        <w:t>dangerous</w:t>
      </w:r>
      <w:r w:rsidRPr="00DD2D90">
        <w:rPr>
          <w:rStyle w:val="StyleUnderline"/>
        </w:rPr>
        <w:t xml:space="preserve"> experiment that may well </w:t>
      </w:r>
      <w:r w:rsidRPr="00DD2D90">
        <w:rPr>
          <w:rStyle w:val="Emphasis"/>
        </w:rPr>
        <w:t>jeopardize</w:t>
      </w:r>
      <w:r w:rsidRPr="00DD2D90">
        <w:rPr>
          <w:rStyle w:val="StyleUnderline"/>
        </w:rPr>
        <w:t xml:space="preserve"> both patients’ interests and physicians’ capacity to</w:t>
      </w:r>
      <w:r w:rsidR="00A45A77" w:rsidRPr="00DD2D90">
        <w:rPr>
          <w:rStyle w:val="StyleUnderline"/>
        </w:rPr>
        <w:t xml:space="preserve"> </w:t>
      </w:r>
      <w:r w:rsidRPr="00DD2D90">
        <w:rPr>
          <w:rStyle w:val="StyleUnderline"/>
        </w:rPr>
        <w:t>succeed in their mission</w:t>
      </w:r>
      <w:r w:rsidRPr="009C4A5A">
        <w:rPr>
          <w:sz w:val="16"/>
        </w:rPr>
        <w:t>.</w:t>
      </w:r>
      <w:r w:rsidR="00A45A77" w:rsidRPr="009C4A5A">
        <w:rPr>
          <w:sz w:val="16"/>
        </w:rPr>
        <w:t xml:space="preserve"> </w:t>
      </w:r>
      <w:r w:rsidRPr="009C4A5A">
        <w:rPr>
          <w:sz w:val="16"/>
        </w:rPr>
        <w:t>5. Conclusion</w:t>
      </w:r>
      <w:r w:rsidR="00A45A77" w:rsidRPr="009C4A5A">
        <w:rPr>
          <w:sz w:val="16"/>
        </w:rPr>
        <w:t xml:space="preserve"> </w:t>
      </w:r>
      <w:r w:rsidRPr="00DD2D90">
        <w:rPr>
          <w:rStyle w:val="StyleUnderline"/>
        </w:rPr>
        <w:t>Even in the absence of criminal intent of totalitarian government</w:t>
      </w:r>
      <w:r w:rsidRPr="009C4A5A">
        <w:rPr>
          <w:sz w:val="16"/>
        </w:rPr>
        <w:t>, even without deliberate abuse,</w:t>
      </w:r>
      <w:r w:rsidR="00A45A77" w:rsidRPr="009C4A5A">
        <w:rPr>
          <w:sz w:val="16"/>
        </w:rPr>
        <w:t xml:space="preserve"> </w:t>
      </w:r>
      <w:r w:rsidRPr="00DD2D90">
        <w:rPr>
          <w:rStyle w:val="StyleUnderline"/>
        </w:rPr>
        <w:t>centralized medicine</w:t>
      </w:r>
      <w:r w:rsidRPr="009C4A5A">
        <w:rPr>
          <w:sz w:val="16"/>
        </w:rPr>
        <w:t xml:space="preserve"> aggravates information asymmetry, </w:t>
      </w:r>
      <w:r w:rsidRPr="00DD2D90">
        <w:rPr>
          <w:rStyle w:val="StyleUnderline"/>
        </w:rPr>
        <w:t>threatens personal rights, and is dangerously</w:t>
      </w:r>
      <w:r w:rsidR="00A45A77" w:rsidRPr="00DD2D90">
        <w:rPr>
          <w:rStyle w:val="StyleUnderline"/>
        </w:rPr>
        <w:t xml:space="preserve"> </w:t>
      </w:r>
      <w:r w:rsidRPr="00DD2D90">
        <w:rPr>
          <w:rStyle w:val="StyleUnderline"/>
        </w:rPr>
        <w:t>inefficient</w:t>
      </w:r>
      <w:r w:rsidRPr="009C4A5A">
        <w:rPr>
          <w:sz w:val="16"/>
        </w:rPr>
        <w:t>: that is a public monopoly without competence.</w:t>
      </w:r>
      <w:r w:rsidR="00A45A77" w:rsidRPr="009C4A5A">
        <w:rPr>
          <w:sz w:val="16"/>
        </w:rPr>
        <w:t xml:space="preserve"> </w:t>
      </w:r>
      <w:r w:rsidRPr="009C4A5A">
        <w:rPr>
          <w:sz w:val="16"/>
        </w:rPr>
        <w:t>Free decentralized choice of medical services, made in a highly competitive environment, mitigates</w:t>
      </w:r>
      <w:r w:rsidR="00A45A77" w:rsidRPr="009C4A5A">
        <w:rPr>
          <w:sz w:val="16"/>
        </w:rPr>
        <w:t xml:space="preserve"> </w:t>
      </w:r>
      <w:r w:rsidRPr="009C4A5A">
        <w:rPr>
          <w:sz w:val="16"/>
        </w:rPr>
        <w:t>risks of information asymmetry abuse, fosters opportunities for the collection and utilization of best</w:t>
      </w:r>
      <w:r w:rsidR="00A45A77" w:rsidRPr="009C4A5A">
        <w:rPr>
          <w:sz w:val="16"/>
        </w:rPr>
        <w:t xml:space="preserve"> </w:t>
      </w:r>
      <w:r w:rsidRPr="009C4A5A">
        <w:rPr>
          <w:sz w:val="16"/>
        </w:rPr>
        <w:t>practices, and incentivizes the establishment of reputations. Conversely, centralized decision-making,</w:t>
      </w:r>
      <w:r w:rsidR="00A45A77" w:rsidRPr="009C4A5A">
        <w:rPr>
          <w:sz w:val="16"/>
        </w:rPr>
        <w:t xml:space="preserve"> </w:t>
      </w:r>
      <w:r w:rsidRPr="009C4A5A">
        <w:rPr>
          <w:sz w:val="16"/>
        </w:rPr>
        <w:t>exemplified by treatment protocols imposed by government coercion, stifles the realization of these</w:t>
      </w:r>
      <w:r w:rsidR="00A45A77" w:rsidRPr="009C4A5A">
        <w:rPr>
          <w:sz w:val="16"/>
        </w:rPr>
        <w:t xml:space="preserve"> </w:t>
      </w:r>
      <w:r w:rsidRPr="009C4A5A">
        <w:rPr>
          <w:sz w:val="16"/>
        </w:rPr>
        <w:t>opportunities.</w:t>
      </w:r>
      <w:r w:rsidR="00A45A77" w:rsidRPr="009C4A5A">
        <w:rPr>
          <w:sz w:val="16"/>
        </w:rPr>
        <w:t xml:space="preserve"> </w:t>
      </w:r>
      <w:r w:rsidRPr="009C4A5A">
        <w:rPr>
          <w:sz w:val="16"/>
        </w:rPr>
        <w:t>Thus, the capability of state-run medicine to provide effective solutions in some cases should</w:t>
      </w:r>
      <w:r w:rsidR="00A45A77" w:rsidRPr="009C4A5A">
        <w:rPr>
          <w:sz w:val="16"/>
        </w:rPr>
        <w:t xml:space="preserve"> </w:t>
      </w:r>
      <w:r w:rsidRPr="009C4A5A">
        <w:rPr>
          <w:sz w:val="16"/>
        </w:rPr>
        <w:t>not mask potential dangers of power abuse and service quality degradation as a result of the state’s</w:t>
      </w:r>
      <w:r w:rsidR="00A45A77" w:rsidRPr="009C4A5A">
        <w:rPr>
          <w:sz w:val="16"/>
        </w:rPr>
        <w:t xml:space="preserve"> </w:t>
      </w:r>
      <w:r w:rsidRPr="009C4A5A">
        <w:rPr>
          <w:sz w:val="16"/>
        </w:rPr>
        <w:t>domination in healthcare. It is at least questionable that due ethical guidelines and proper education can</w:t>
      </w:r>
      <w:r w:rsidR="00A45A77" w:rsidRPr="009C4A5A">
        <w:rPr>
          <w:sz w:val="16"/>
        </w:rPr>
        <w:t xml:space="preserve"> </w:t>
      </w:r>
      <w:r w:rsidRPr="009C4A5A">
        <w:rPr>
          <w:sz w:val="16"/>
        </w:rPr>
        <w:t>substitute institutional means to safeguard patients’ rights. These dangers should be carefully analyzed</w:t>
      </w:r>
      <w:r w:rsidR="00A45A77" w:rsidRPr="009C4A5A">
        <w:rPr>
          <w:sz w:val="16"/>
        </w:rPr>
        <w:t xml:space="preserve"> </w:t>
      </w:r>
      <w:r w:rsidRPr="009C4A5A">
        <w:rPr>
          <w:sz w:val="16"/>
        </w:rPr>
        <w:t>in determining medical policy.</w:t>
      </w:r>
      <w:r w:rsidR="00A45A77" w:rsidRPr="009C4A5A">
        <w:rPr>
          <w:sz w:val="16"/>
        </w:rPr>
        <w:t xml:space="preserve"> </w:t>
      </w:r>
    </w:p>
    <w:p w14:paraId="1EA216CA" w14:textId="3C4AF4EF" w:rsidR="00605696" w:rsidRPr="00D05211" w:rsidRDefault="00605696" w:rsidP="00605696">
      <w:pPr>
        <w:pStyle w:val="Heading3"/>
        <w:rPr>
          <w:rFonts w:ascii="Arial Black" w:hAnsi="Arial Black"/>
          <w:color w:val="B43E1F"/>
          <w:szCs w:val="32"/>
        </w:rPr>
      </w:pPr>
      <w:r w:rsidRPr="00D05211">
        <w:rPr>
          <w:rFonts w:ascii="Arial Black" w:hAnsi="Arial Black"/>
          <w:color w:val="B43E1F"/>
          <w:szCs w:val="32"/>
        </w:rPr>
        <w:t xml:space="preserve">Contention 6: </w:t>
      </w:r>
      <w:r w:rsidR="00820C00" w:rsidRPr="00D05211">
        <w:rPr>
          <w:rFonts w:ascii="Arial Black" w:hAnsi="Arial Black"/>
          <w:color w:val="B43E1F"/>
          <w:szCs w:val="32"/>
        </w:rPr>
        <w:t>High Drug Prices</w:t>
      </w:r>
      <w:r w:rsidR="00914260" w:rsidRPr="00D05211">
        <w:rPr>
          <w:rFonts w:ascii="Arial Black" w:hAnsi="Arial Black"/>
          <w:color w:val="B43E1F"/>
          <w:szCs w:val="32"/>
        </w:rPr>
        <w:t xml:space="preserve"> Good</w:t>
      </w:r>
    </w:p>
    <w:p w14:paraId="77841225" w14:textId="24F78191" w:rsidR="00D711EF" w:rsidRPr="009C4A5A" w:rsidRDefault="008B440C" w:rsidP="00D711EF">
      <w:pPr>
        <w:pStyle w:val="Heading4"/>
        <w:rPr>
          <w:szCs w:val="26"/>
        </w:rPr>
      </w:pPr>
      <w:r w:rsidRPr="009C4A5A">
        <w:rPr>
          <w:szCs w:val="26"/>
        </w:rPr>
        <w:t>Indian pharmaceutical industry is doing great</w:t>
      </w:r>
    </w:p>
    <w:p w14:paraId="20B91113" w14:textId="62A432DE" w:rsidR="00D711EF" w:rsidRPr="00DD2D90" w:rsidRDefault="00D711EF" w:rsidP="00D711EF">
      <w:r w:rsidRPr="009C4A5A">
        <w:rPr>
          <w:b/>
          <w:bCs/>
          <w:sz w:val="26"/>
          <w:szCs w:val="26"/>
        </w:rPr>
        <w:t>Jain and Jatkar 1-16</w:t>
      </w:r>
      <w:r w:rsidRPr="00DD2D90">
        <w:t xml:space="preserve"> [Sudarshan Jain, Chairman of the Indian Institute of Health Management and Research, member of the Technology Advisory Board and the Advisory Committee of the Biotechnology Ignition Grant, and alumnus of St. Stephens College, Delhi and Indian Institute of Management, Ahmedabad, and Archana Jatkar, Chair for International Trade and Intellectual Property Committee of International Generic and Biosimilar Association and Alumnus of Harvard Kennedy School with a LLM in International Economic Law from University of Kent, 1-16-2026, "Indian Pharma’s 2026 Reset: Reform, Innovation and the Road to Future", ETPharma, https://pharma.economictimes.indiatimes.com/news/pharma-industry/the-future-of-indian-pharma-innovations-and-strategic-reforms-for-global-leadership/126558722]/Kankee</w:t>
      </w:r>
    </w:p>
    <w:p w14:paraId="76D0D4A6" w14:textId="77777777" w:rsidR="00D711EF" w:rsidRPr="009C4A5A" w:rsidRDefault="00D711EF" w:rsidP="00D711EF">
      <w:pPr>
        <w:rPr>
          <w:sz w:val="16"/>
        </w:rPr>
      </w:pPr>
      <w:r w:rsidRPr="009C4A5A">
        <w:rPr>
          <w:sz w:val="16"/>
        </w:rPr>
        <w:t xml:space="preserve">As India steps into 2026, </w:t>
      </w:r>
      <w:r w:rsidRPr="00DD2D90">
        <w:rPr>
          <w:rStyle w:val="StyleUnderline"/>
        </w:rPr>
        <w:t xml:space="preserve">the </w:t>
      </w:r>
      <w:r w:rsidRPr="00DD2D90">
        <w:rPr>
          <w:rStyle w:val="StyleUnderline"/>
          <w:highlight w:val="green"/>
        </w:rPr>
        <w:t>Indian</w:t>
      </w:r>
      <w:r w:rsidRPr="00DD2D90">
        <w:rPr>
          <w:rStyle w:val="StyleUnderline"/>
        </w:rPr>
        <w:t xml:space="preserve"> </w:t>
      </w:r>
      <w:r w:rsidRPr="00DD2D90">
        <w:rPr>
          <w:rStyle w:val="StyleUnderline"/>
          <w:highlight w:val="green"/>
        </w:rPr>
        <w:t>pharma</w:t>
      </w:r>
      <w:r w:rsidRPr="00DD2D90">
        <w:rPr>
          <w:rStyle w:val="StyleUnderline"/>
        </w:rPr>
        <w:t xml:space="preserve">ceutical industry </w:t>
      </w:r>
      <w:r w:rsidRPr="00DD2D90">
        <w:rPr>
          <w:rStyle w:val="StyleUnderline"/>
          <w:highlight w:val="green"/>
        </w:rPr>
        <w:t>stands on a solid</w:t>
      </w:r>
      <w:r w:rsidRPr="009C4A5A">
        <w:rPr>
          <w:sz w:val="16"/>
          <w:highlight w:val="green"/>
        </w:rPr>
        <w:t xml:space="preserve"> </w:t>
      </w:r>
      <w:r w:rsidRPr="00DD2D90">
        <w:rPr>
          <w:rStyle w:val="StyleUnderline"/>
          <w:highlight w:val="green"/>
        </w:rPr>
        <w:t>footing, marked by</w:t>
      </w:r>
      <w:r w:rsidRPr="00DD2D90">
        <w:rPr>
          <w:rStyle w:val="StyleUnderline"/>
        </w:rPr>
        <w:t xml:space="preserve"> resilience, strategic clarity, and </w:t>
      </w:r>
      <w:r w:rsidRPr="00DD2D90">
        <w:rPr>
          <w:rStyle w:val="StyleUnderline"/>
          <w:highlight w:val="green"/>
        </w:rPr>
        <w:t>sustained momentum</w:t>
      </w:r>
      <w:r w:rsidRPr="009C4A5A">
        <w:rPr>
          <w:sz w:val="16"/>
        </w:rPr>
        <w:t xml:space="preserve">. </w:t>
      </w:r>
      <w:r w:rsidRPr="00DD2D90">
        <w:rPr>
          <w:rStyle w:val="StyleUnderline"/>
        </w:rPr>
        <w:t>The sector</w:t>
      </w:r>
      <w:r w:rsidRPr="009C4A5A">
        <w:rPr>
          <w:sz w:val="16"/>
        </w:rPr>
        <w:t xml:space="preserve"> has </w:t>
      </w:r>
      <w:r w:rsidRPr="00DD2D90">
        <w:rPr>
          <w:rStyle w:val="StyleUnderline"/>
        </w:rPr>
        <w:t>continued to demonstrate its strength as a</w:t>
      </w:r>
      <w:r w:rsidRPr="009C4A5A">
        <w:rPr>
          <w:sz w:val="16"/>
        </w:rPr>
        <w:t xml:space="preserve"> reliable and </w:t>
      </w:r>
      <w:r w:rsidRPr="00DD2D90">
        <w:rPr>
          <w:rStyle w:val="StyleUnderline"/>
        </w:rPr>
        <w:t>competitive partner</w:t>
      </w:r>
      <w:r w:rsidRPr="009C4A5A">
        <w:rPr>
          <w:sz w:val="16"/>
        </w:rPr>
        <w:t xml:space="preserve"> in global healthcare, </w:t>
      </w:r>
      <w:r w:rsidRPr="00DD2D90">
        <w:rPr>
          <w:rStyle w:val="StyleUnderline"/>
          <w:highlight w:val="green"/>
        </w:rPr>
        <w:t>reinforcing confidence</w:t>
      </w:r>
      <w:r w:rsidRPr="00DD2D90">
        <w:rPr>
          <w:rStyle w:val="StyleUnderline"/>
        </w:rPr>
        <w:t xml:space="preserve"> </w:t>
      </w:r>
      <w:r w:rsidRPr="00DD2D90">
        <w:rPr>
          <w:rStyle w:val="StyleUnderline"/>
          <w:highlight w:val="green"/>
        </w:rPr>
        <w:t>across</w:t>
      </w:r>
      <w:r w:rsidRPr="00DD2D90">
        <w:rPr>
          <w:rStyle w:val="StyleUnderline"/>
        </w:rPr>
        <w:t xml:space="preserve"> domestic and </w:t>
      </w:r>
      <w:r w:rsidRPr="00DD2D90">
        <w:rPr>
          <w:rStyle w:val="StyleUnderline"/>
          <w:highlight w:val="green"/>
        </w:rPr>
        <w:t>international</w:t>
      </w:r>
      <w:r w:rsidRPr="009C4A5A">
        <w:rPr>
          <w:sz w:val="16"/>
          <w:highlight w:val="green"/>
        </w:rPr>
        <w:t xml:space="preserve"> </w:t>
      </w:r>
      <w:r w:rsidRPr="00DD2D90">
        <w:rPr>
          <w:rStyle w:val="StyleUnderline"/>
          <w:highlight w:val="green"/>
        </w:rPr>
        <w:t>markets</w:t>
      </w:r>
      <w:r w:rsidRPr="009C4A5A">
        <w:rPr>
          <w:sz w:val="16"/>
        </w:rPr>
        <w:t xml:space="preserve">. Looking ahead to 2026, </w:t>
      </w:r>
      <w:r w:rsidRPr="00DD2D90">
        <w:rPr>
          <w:rStyle w:val="StyleUnderline"/>
          <w:highlight w:val="green"/>
        </w:rPr>
        <w:t>Indian pharma</w:t>
      </w:r>
      <w:r w:rsidRPr="00DD2D90">
        <w:rPr>
          <w:rStyle w:val="StyleUnderline"/>
        </w:rPr>
        <w:t xml:space="preserve"> </w:t>
      </w:r>
      <w:r w:rsidRPr="00DD2D90">
        <w:rPr>
          <w:rStyle w:val="StyleUnderline"/>
          <w:highlight w:val="green"/>
        </w:rPr>
        <w:t>is well-positioned to sustain</w:t>
      </w:r>
      <w:r w:rsidRPr="00DD2D90">
        <w:rPr>
          <w:rStyle w:val="StyleUnderline"/>
        </w:rPr>
        <w:t xml:space="preserve"> 7-</w:t>
      </w:r>
      <w:r w:rsidRPr="00DD2D90">
        <w:rPr>
          <w:rStyle w:val="Emphasis"/>
          <w:highlight w:val="green"/>
        </w:rPr>
        <w:t>9% growth</w:t>
      </w:r>
      <w:r w:rsidRPr="00DD2D90">
        <w:rPr>
          <w:rStyle w:val="StyleUnderline"/>
        </w:rPr>
        <w:t xml:space="preserve">, </w:t>
      </w:r>
      <w:r w:rsidRPr="00DD2D90">
        <w:rPr>
          <w:rStyle w:val="StyleUnderline"/>
          <w:highlight w:val="green"/>
        </w:rPr>
        <w:t>driven by robust</w:t>
      </w:r>
      <w:r w:rsidRPr="00DD2D90">
        <w:rPr>
          <w:rStyle w:val="StyleUnderline"/>
        </w:rPr>
        <w:t xml:space="preserve"> </w:t>
      </w:r>
      <w:r w:rsidRPr="009C4A5A">
        <w:rPr>
          <w:sz w:val="16"/>
        </w:rPr>
        <w:t xml:space="preserve">domestic demand, stable </w:t>
      </w:r>
      <w:r w:rsidRPr="00DD2D90">
        <w:rPr>
          <w:rStyle w:val="StyleUnderline"/>
          <w:highlight w:val="green"/>
        </w:rPr>
        <w:t>export performance</w:t>
      </w:r>
      <w:r w:rsidRPr="009C4A5A">
        <w:rPr>
          <w:sz w:val="16"/>
        </w:rPr>
        <w:t xml:space="preserve">, and a steady transition towards complex generics, biosimilars, and specialty products. More importantly, 2025 marked a structural reset in the industry's growth narrative. While cost competitiveness and leadership in generics remain foundational strengths, </w:t>
      </w:r>
      <w:r w:rsidRPr="00DD2D90">
        <w:rPr>
          <w:rStyle w:val="StyleUnderline"/>
          <w:highlight w:val="green"/>
        </w:rPr>
        <w:t>the sector is increasingly being shaped by</w:t>
      </w:r>
      <w:r w:rsidRPr="00DD2D90">
        <w:rPr>
          <w:rStyle w:val="StyleUnderline"/>
        </w:rPr>
        <w:t xml:space="preserve"> quality upgradation, </w:t>
      </w:r>
      <w:r w:rsidRPr="00DD2D90">
        <w:rPr>
          <w:rStyle w:val="StyleUnderline"/>
          <w:highlight w:val="green"/>
        </w:rPr>
        <w:t>innovation</w:t>
      </w:r>
      <w:r w:rsidRPr="00DD2D90">
        <w:rPr>
          <w:rStyle w:val="StyleUnderline"/>
        </w:rPr>
        <w:t>-led value creation, and closer alignment with global regulatory standards. This transition is laying the groundwork for a more durable</w:t>
      </w:r>
      <w:r w:rsidRPr="009C4A5A">
        <w:rPr>
          <w:sz w:val="16"/>
        </w:rPr>
        <w:t xml:space="preserve"> and differentiated </w:t>
      </w:r>
      <w:r w:rsidRPr="00DD2D90">
        <w:rPr>
          <w:rStyle w:val="StyleUnderline"/>
        </w:rPr>
        <w:t>growth</w:t>
      </w:r>
      <w:r w:rsidRPr="009C4A5A">
        <w:rPr>
          <w:sz w:val="16"/>
        </w:rPr>
        <w:t xml:space="preserve"> path as Indian pharma enters the next phase of its evolution.</w:t>
      </w:r>
    </w:p>
    <w:p w14:paraId="5952CFE3" w14:textId="77777777" w:rsidR="00B0589A" w:rsidRPr="009C4A5A" w:rsidRDefault="00B0589A">
      <w:pPr>
        <w:rPr>
          <w:rFonts w:eastAsiaTheme="majorEastAsia" w:cstheme="majorBidi"/>
          <w:b/>
          <w:iCs/>
          <w:sz w:val="16"/>
        </w:rPr>
      </w:pPr>
      <w:r w:rsidRPr="009C4A5A">
        <w:rPr>
          <w:sz w:val="16"/>
        </w:rPr>
        <w:br w:type="page"/>
      </w:r>
    </w:p>
    <w:p w14:paraId="447AE0D6" w14:textId="18C85ADF" w:rsidR="00D711EF" w:rsidRPr="00DD2D90" w:rsidRDefault="00D711EF" w:rsidP="009C4A5A">
      <w:pPr>
        <w:pStyle w:val="Heading4"/>
      </w:pPr>
      <w:r w:rsidRPr="00DD2D90">
        <w:t xml:space="preserve">Indian pharmaceutical industry is gangbusters – rising drug prices and innovation is key. </w:t>
      </w:r>
    </w:p>
    <w:p w14:paraId="39104763" w14:textId="77777777" w:rsidR="00D711EF" w:rsidRPr="00DD2D90" w:rsidRDefault="00D711EF" w:rsidP="00D711EF">
      <w:r w:rsidRPr="009C4A5A">
        <w:rPr>
          <w:b/>
          <w:bCs/>
          <w:sz w:val="26"/>
          <w:szCs w:val="26"/>
        </w:rPr>
        <w:t>BW 25</w:t>
      </w:r>
      <w:r w:rsidRPr="00DD2D90">
        <w:t xml:space="preserve"> [Business World Online Bureau, Indian business magazine, 10-31-2025, "Pharma Market Growth Driven </w:t>
      </w:r>
      <w:proofErr w:type="gramStart"/>
      <w:r w:rsidRPr="00DD2D90">
        <w:t>By</w:t>
      </w:r>
      <w:proofErr w:type="gramEnd"/>
      <w:r w:rsidRPr="00DD2D90">
        <w:t xml:space="preserve"> Price Hikes </w:t>
      </w:r>
      <w:proofErr w:type="gramStart"/>
      <w:r w:rsidRPr="00DD2D90">
        <w:t>And</w:t>
      </w:r>
      <w:proofErr w:type="gramEnd"/>
      <w:r w:rsidRPr="00DD2D90">
        <w:t xml:space="preserve"> New Products: Ind-Ra", Businessworld, https://www.businessworld.in/article/pharma-market-growth-driven-by-price-hikes-and-new-products-ind-ra-577703]/Kankee</w:t>
      </w:r>
    </w:p>
    <w:p w14:paraId="408F6C0B" w14:textId="77777777" w:rsidR="00D711EF" w:rsidRPr="009C4A5A" w:rsidRDefault="00D711EF" w:rsidP="00D711EF">
      <w:pPr>
        <w:rPr>
          <w:sz w:val="16"/>
        </w:rPr>
      </w:pPr>
      <w:r w:rsidRPr="009C4A5A">
        <w:rPr>
          <w:sz w:val="16"/>
        </w:rPr>
        <w:t>India Ratings and Research (Ind-Ra) said the Indian pharmaceutical market (</w:t>
      </w:r>
      <w:r w:rsidRPr="00DD2D90">
        <w:rPr>
          <w:rStyle w:val="StyleUnderline"/>
          <w:highlight w:val="green"/>
        </w:rPr>
        <w:t>IPM</w:t>
      </w:r>
      <w:r w:rsidRPr="009C4A5A">
        <w:rPr>
          <w:sz w:val="16"/>
        </w:rPr>
        <w:t xml:space="preserve">) </w:t>
      </w:r>
      <w:r w:rsidRPr="00DD2D90">
        <w:rPr>
          <w:rStyle w:val="StyleUnderline"/>
          <w:highlight w:val="green"/>
        </w:rPr>
        <w:t xml:space="preserve">expanded </w:t>
      </w:r>
      <w:r w:rsidRPr="00DD2D90">
        <w:rPr>
          <w:rStyle w:val="Emphasis"/>
          <w:highlight w:val="green"/>
        </w:rPr>
        <w:t>7.3 per cent</w:t>
      </w:r>
      <w:r w:rsidRPr="00DD2D90">
        <w:rPr>
          <w:rStyle w:val="StyleUnderline"/>
        </w:rPr>
        <w:t xml:space="preserve"> year-on-year</w:t>
      </w:r>
      <w:r w:rsidRPr="009C4A5A">
        <w:rPr>
          <w:sz w:val="16"/>
        </w:rPr>
        <w:t xml:space="preserve"> in September 2025, </w:t>
      </w:r>
      <w:r w:rsidRPr="00DD2D90">
        <w:rPr>
          <w:rStyle w:val="StyleUnderline"/>
          <w:highlight w:val="green"/>
        </w:rPr>
        <w:t>led</w:t>
      </w:r>
      <w:r w:rsidRPr="00DD2D90">
        <w:rPr>
          <w:rStyle w:val="StyleUnderline"/>
        </w:rPr>
        <w:t xml:space="preserve"> primarily </w:t>
      </w:r>
      <w:r w:rsidRPr="00DD2D90">
        <w:rPr>
          <w:rStyle w:val="StyleUnderline"/>
          <w:highlight w:val="green"/>
        </w:rPr>
        <w:t>by price growth and new drug launches</w:t>
      </w:r>
      <w:r w:rsidRPr="00DD2D90">
        <w:rPr>
          <w:rStyle w:val="StyleUnderline"/>
        </w:rPr>
        <w:t xml:space="preserve">, </w:t>
      </w:r>
      <w:r w:rsidRPr="00DD2D90">
        <w:rPr>
          <w:rStyle w:val="StyleUnderline"/>
          <w:highlight w:val="green"/>
        </w:rPr>
        <w:t>even as</w:t>
      </w:r>
      <w:r w:rsidRPr="00DD2D90">
        <w:rPr>
          <w:rStyle w:val="StyleUnderline"/>
        </w:rPr>
        <w:t xml:space="preserve"> </w:t>
      </w:r>
      <w:r w:rsidRPr="00DD2D90">
        <w:rPr>
          <w:rStyle w:val="StyleUnderline"/>
          <w:highlight w:val="green"/>
        </w:rPr>
        <w:t>volume growth remained subdued</w:t>
      </w:r>
      <w:r w:rsidRPr="009C4A5A">
        <w:rPr>
          <w:sz w:val="16"/>
        </w:rPr>
        <w:t xml:space="preserve">. The market maintained a stable trajectory on a month-on-month basis, with August and July registering 8.7 per cent and 7.9 per cent growth, respectively, according to data from Pharmatrac. The research agency said </w:t>
      </w:r>
      <w:r w:rsidRPr="00DD2D90">
        <w:rPr>
          <w:rStyle w:val="StyleUnderline"/>
          <w:highlight w:val="green"/>
        </w:rPr>
        <w:t xml:space="preserve">price growth contributed </w:t>
      </w:r>
      <w:r w:rsidRPr="00DD2D90">
        <w:rPr>
          <w:rStyle w:val="Emphasis"/>
          <w:highlight w:val="green"/>
        </w:rPr>
        <w:t>5.5 per cent</w:t>
      </w:r>
      <w:r w:rsidRPr="00DD2D90">
        <w:rPr>
          <w:rStyle w:val="StyleUnderline"/>
          <w:highlight w:val="green"/>
        </w:rPr>
        <w:t xml:space="preserve"> and new launches </w:t>
      </w:r>
      <w:r w:rsidRPr="00DD2D90">
        <w:rPr>
          <w:rStyle w:val="Emphasis"/>
          <w:highlight w:val="green"/>
        </w:rPr>
        <w:t>2.5 per cent</w:t>
      </w:r>
      <w:r w:rsidRPr="00DD2D90">
        <w:rPr>
          <w:rStyle w:val="StyleUnderline"/>
        </w:rPr>
        <w:t xml:space="preserve"> to the overall expansion</w:t>
      </w:r>
      <w:r w:rsidRPr="009C4A5A">
        <w:rPr>
          <w:sz w:val="16"/>
        </w:rPr>
        <w:t xml:space="preserve">, while volumes declined 0.6 per cent during the month. “The overall IPM growth in September 2025 was on account of price growth and new launches, while volume growth remained subdued. </w:t>
      </w:r>
      <w:r w:rsidRPr="00DD2D90">
        <w:rPr>
          <w:rStyle w:val="StyleUnderline"/>
          <w:highlight w:val="green"/>
        </w:rPr>
        <w:t>We expect IPM to grow</w:t>
      </w:r>
      <w:r w:rsidRPr="00DD2D90">
        <w:rPr>
          <w:rStyle w:val="StyleUnderline"/>
        </w:rPr>
        <w:t xml:space="preserve"> 8–</w:t>
      </w:r>
      <w:r w:rsidRPr="00DD2D90">
        <w:rPr>
          <w:rStyle w:val="Emphasis"/>
          <w:highlight w:val="green"/>
        </w:rPr>
        <w:t>9 per cent</w:t>
      </w:r>
      <w:r w:rsidRPr="00DD2D90">
        <w:rPr>
          <w:rStyle w:val="StyleUnderline"/>
        </w:rPr>
        <w:t xml:space="preserve"> year-on-year </w:t>
      </w:r>
      <w:r w:rsidRPr="00DD2D90">
        <w:rPr>
          <w:rStyle w:val="StyleUnderline"/>
          <w:highlight w:val="green"/>
        </w:rPr>
        <w:t>in</w:t>
      </w:r>
      <w:r w:rsidRPr="00DD2D90">
        <w:rPr>
          <w:rStyle w:val="StyleUnderline"/>
        </w:rPr>
        <w:t xml:space="preserve"> FY</w:t>
      </w:r>
      <w:r w:rsidRPr="00DD2D90">
        <w:rPr>
          <w:rStyle w:val="StyleUnderline"/>
          <w:highlight w:val="green"/>
        </w:rPr>
        <w:t>26</w:t>
      </w:r>
      <w:r w:rsidRPr="009C4A5A">
        <w:rPr>
          <w:sz w:val="16"/>
        </w:rPr>
        <w:t xml:space="preserve"> (FY25: 8.4 per cent; FY24: 9.9 per cent),” said Nishith Sanghvi, Director, Corporate Ratings, Ind-Ra. Therapies such as cardiac (13.0 per cent), respiratory (15.3 per cent), central nervous system (7.2 per cent), gynaecological (8.2 per cent) and anti-diabetic (10.0 per cent) outperformed overall market growth in September 2025. In contrast, gastro-intestinal (1.8 per cent), vitamins (3.3 per cent), analgesics (2.5 per cent) and anti-infectives (5.8 per cent) underperformed. For the moving annual total (MAT) up to September 2025, IPM grew 7.5 per cent year-on-year, supported by 5.3 per cent price growth and 2.0 per cent from new product launches, while volume growth was almost flat at 0.2 per cent. The total market value rose to Rs 2,350 billion. Ind-Ra said the domestic formulations business under its coverage recorded healthy growth of 9.5 per cent in the first quarter of FY26 (1QFY25: 12.1 per cent; 4QFY25: 10.5 per cent), driven by chronic therapies such as gastro-intestinal, vitamins, blood-related, and pain management. However, anti-infectives, anti-diabetic, respiratory and CNS therapies showed weaker growth. The overall IPM revenue rose 7.7 per cent in the same period, lower than the 10.7 per cent recorded in 1QFY25. The agency projects IPM revenue growth at 8–9 per cent for FY26 (FY25: 8.6 per cent), with the India business contributing around 45 per cent to covered companies over the past five years. Across therapy segments, the acute segment, which forms 46 per cent of the IPM, expanded at a compound annual growth rate (CAGR) of 8.2 per cent over September 2022–September 2025. The chronic and sub-chronic segments, which account for 34 per cent and 21 per cent respectively, grew faster at CAGRs of 10.0 per cent and 10.7 per cent. Cardiac (13.6 per cent of IPM), anti-infectives (11.6 per cent), gastro-intestinal (12.0 per cent), anti-diabetic (9.1 per cent), and vitamins (8.9 per cent) together made up 55 per cent of total sales in September 2025. Ind-Ra said 17.5 per cent of the IPM comprises medicines under the National List of Essential Medicines (NLEM), which are subject to price controls under the Drugs Prices Control Order 2013. Price increases for these drugs are linked to the Wholesale Price Index. The remaining 82.5 per cent, categorised as non-NLEM drugs, are allowed an automatic price hike of 10 per cent annually.</w:t>
      </w:r>
    </w:p>
    <w:p w14:paraId="27D638E5" w14:textId="77777777" w:rsidR="00B0589A" w:rsidRPr="009C4A5A" w:rsidRDefault="00B0589A">
      <w:pPr>
        <w:rPr>
          <w:rFonts w:eastAsiaTheme="majorEastAsia" w:cstheme="majorBidi"/>
          <w:b/>
          <w:iCs/>
          <w:sz w:val="16"/>
        </w:rPr>
      </w:pPr>
      <w:r w:rsidRPr="009C4A5A">
        <w:rPr>
          <w:sz w:val="16"/>
        </w:rPr>
        <w:br w:type="page"/>
      </w:r>
    </w:p>
    <w:p w14:paraId="61C2AA5A" w14:textId="77777777" w:rsidR="00287C7C" w:rsidRPr="00DD2D90" w:rsidRDefault="00287C7C" w:rsidP="009C4A5A">
      <w:pPr>
        <w:pStyle w:val="Heading4"/>
      </w:pPr>
      <w:r w:rsidRPr="00DD2D90">
        <w:t>No tariff thumpers – India’s economy is still great</w:t>
      </w:r>
    </w:p>
    <w:p w14:paraId="040E3935" w14:textId="77777777" w:rsidR="00287C7C" w:rsidRPr="00DD2D90" w:rsidRDefault="00287C7C" w:rsidP="00287C7C">
      <w:r w:rsidRPr="009C4A5A">
        <w:rPr>
          <w:b/>
          <w:bCs/>
          <w:sz w:val="26"/>
          <w:szCs w:val="26"/>
        </w:rPr>
        <w:t>Kashyap 25</w:t>
      </w:r>
      <w:r w:rsidRPr="00DD2D90">
        <w:t xml:space="preserve"> [Karan Kashyap, Indian business journalist, 10-26-2025, "India Is Withstanding Tariffs </w:t>
      </w:r>
      <w:proofErr w:type="gramStart"/>
      <w:r w:rsidRPr="00DD2D90">
        <w:t>To</w:t>
      </w:r>
      <w:proofErr w:type="gramEnd"/>
      <w:r w:rsidRPr="00DD2D90">
        <w:t xml:space="preserve"> Remain </w:t>
      </w:r>
      <w:proofErr w:type="gramStart"/>
      <w:r w:rsidRPr="00DD2D90">
        <w:t>The</w:t>
      </w:r>
      <w:proofErr w:type="gramEnd"/>
      <w:r w:rsidRPr="00DD2D90">
        <w:t xml:space="preserve"> World’s Fastest-Growing Major Economy", Forbes, https://www.forbes.com/sites/krnkashyap/2025/10/26/india-is-withstanding-tariffs-to-remain-the-worlds-fastest-growing-major-economy/]/Kankee</w:t>
      </w:r>
    </w:p>
    <w:p w14:paraId="30B5590E" w14:textId="77777777" w:rsidR="00287C7C" w:rsidRPr="009C4A5A" w:rsidRDefault="00287C7C" w:rsidP="00287C7C">
      <w:pPr>
        <w:rPr>
          <w:sz w:val="16"/>
        </w:rPr>
      </w:pPr>
      <w:r w:rsidRPr="009C4A5A">
        <w:rPr>
          <w:sz w:val="16"/>
        </w:rPr>
        <w:t xml:space="preserve">For India, Japan represents capital, technology, and rules-based reliability. As for Japan, India offers scale, markets, and a young workforce. The country of the rising sun has announced nearly $68 billion in private sector investment into India over the next decade. At a time when global investors pulled out a record high $1.4 billion from Indian equities in September, weighed down by U.S. tariff concerns. Due to the Indian government’s timely efforts in establishing effective international alliances, among the 15 countries mapped for exposure to U.S. policy shifts, </w:t>
      </w:r>
      <w:r w:rsidRPr="00DD2D90">
        <w:rPr>
          <w:rStyle w:val="StyleUnderline"/>
          <w:highlight w:val="green"/>
        </w:rPr>
        <w:t xml:space="preserve">India has come out as the </w:t>
      </w:r>
      <w:r w:rsidRPr="00DD2D90">
        <w:rPr>
          <w:rStyle w:val="Emphasis"/>
          <w:highlight w:val="green"/>
        </w:rPr>
        <w:t>second-least</w:t>
      </w:r>
      <w:r w:rsidRPr="00DD2D90">
        <w:rPr>
          <w:rStyle w:val="StyleUnderline"/>
          <w:highlight w:val="green"/>
        </w:rPr>
        <w:t xml:space="preserve"> exposed</w:t>
      </w:r>
      <w:r w:rsidRPr="009C4A5A">
        <w:rPr>
          <w:sz w:val="16"/>
        </w:rPr>
        <w:t xml:space="preserve">. Even </w:t>
      </w:r>
      <w:r w:rsidRPr="00DD2D90">
        <w:rPr>
          <w:rStyle w:val="StyleUnderline"/>
        </w:rPr>
        <w:t xml:space="preserve">though India’s exports to the U.S. are expected to drop considerably from $86.5 billion last year, </w:t>
      </w:r>
      <w:r w:rsidRPr="00DD2D90">
        <w:rPr>
          <w:rStyle w:val="StyleUnderline"/>
          <w:highlight w:val="green"/>
        </w:rPr>
        <w:t>total exports</w:t>
      </w:r>
      <w:r w:rsidRPr="00DD2D90">
        <w:rPr>
          <w:rStyle w:val="StyleUnderline"/>
        </w:rPr>
        <w:t xml:space="preserve"> in 2025 have </w:t>
      </w:r>
      <w:r w:rsidRPr="00DD2D90">
        <w:rPr>
          <w:rStyle w:val="StyleUnderline"/>
          <w:highlight w:val="green"/>
        </w:rPr>
        <w:t>achieved a growth rate of</w:t>
      </w:r>
      <w:r w:rsidRPr="00DD2D90">
        <w:rPr>
          <w:rStyle w:val="StyleUnderline"/>
        </w:rPr>
        <w:t xml:space="preserve"> 4–</w:t>
      </w:r>
      <w:r w:rsidRPr="00DD2D90">
        <w:rPr>
          <w:rStyle w:val="StyleUnderline"/>
          <w:highlight w:val="green"/>
        </w:rPr>
        <w:t>5%</w:t>
      </w:r>
      <w:r w:rsidRPr="00DD2D90">
        <w:rPr>
          <w:rStyle w:val="StyleUnderline"/>
        </w:rPr>
        <w:t xml:space="preserve"> over the past six months</w:t>
      </w:r>
      <w:r w:rsidRPr="009C4A5A">
        <w:rPr>
          <w:sz w:val="16"/>
        </w:rPr>
        <w:t xml:space="preserve">, until September. Till now, </w:t>
      </w:r>
      <w:r w:rsidRPr="00DD2D90">
        <w:rPr>
          <w:rStyle w:val="StyleUnderline"/>
          <w:highlight w:val="green"/>
        </w:rPr>
        <w:t xml:space="preserve">India’s GDP growth </w:t>
      </w:r>
      <w:r w:rsidRPr="00DD2D90">
        <w:rPr>
          <w:rStyle w:val="StyleUnderline"/>
        </w:rPr>
        <w:t xml:space="preserve">has </w:t>
      </w:r>
      <w:r w:rsidRPr="00DD2D90">
        <w:rPr>
          <w:rStyle w:val="StyleUnderline"/>
          <w:highlight w:val="green"/>
        </w:rPr>
        <w:t>remained</w:t>
      </w:r>
      <w:r w:rsidRPr="00DD2D90">
        <w:rPr>
          <w:rStyle w:val="StyleUnderline"/>
        </w:rPr>
        <w:t xml:space="preserve"> largely </w:t>
      </w:r>
      <w:r w:rsidRPr="00DD2D90">
        <w:rPr>
          <w:rStyle w:val="StyleUnderline"/>
          <w:highlight w:val="green"/>
        </w:rPr>
        <w:t>unaffected by</w:t>
      </w:r>
      <w:r w:rsidRPr="009C4A5A">
        <w:rPr>
          <w:sz w:val="16"/>
        </w:rPr>
        <w:t xml:space="preserve"> President </w:t>
      </w:r>
      <w:r w:rsidRPr="00DD2D90">
        <w:rPr>
          <w:rStyle w:val="StyleUnderline"/>
        </w:rPr>
        <w:t xml:space="preserve">Trump’s </w:t>
      </w:r>
      <w:r w:rsidRPr="00DD2D90">
        <w:rPr>
          <w:rStyle w:val="StyleUnderline"/>
          <w:highlight w:val="green"/>
        </w:rPr>
        <w:t>tariffs</w:t>
      </w:r>
      <w:r w:rsidRPr="009C4A5A">
        <w:rPr>
          <w:sz w:val="16"/>
        </w:rPr>
        <w:t xml:space="preserve">. </w:t>
      </w:r>
      <w:r w:rsidRPr="00DD2D90">
        <w:rPr>
          <w:rStyle w:val="StyleUnderline"/>
          <w:highlight w:val="green"/>
        </w:rPr>
        <w:t>Before</w:t>
      </w:r>
      <w:r w:rsidRPr="00DD2D90">
        <w:rPr>
          <w:rStyle w:val="StyleUnderline"/>
        </w:rPr>
        <w:t xml:space="preserve"> the announcement of the U.S. </w:t>
      </w:r>
      <w:r w:rsidRPr="00DD2D90">
        <w:rPr>
          <w:rStyle w:val="StyleUnderline"/>
          <w:highlight w:val="green"/>
        </w:rPr>
        <w:t>tariffs</w:t>
      </w:r>
      <w:r w:rsidRPr="00DD2D90">
        <w:rPr>
          <w:rStyle w:val="StyleUnderline"/>
        </w:rPr>
        <w:t xml:space="preserve">, the </w:t>
      </w:r>
      <w:r w:rsidRPr="00DD2D90">
        <w:rPr>
          <w:rStyle w:val="StyleUnderline"/>
          <w:highlight w:val="green"/>
        </w:rPr>
        <w:t>I</w:t>
      </w:r>
      <w:r w:rsidRPr="00DD2D90">
        <w:rPr>
          <w:rStyle w:val="StyleUnderline"/>
        </w:rPr>
        <w:t xml:space="preserve">nternational </w:t>
      </w:r>
      <w:r w:rsidRPr="00DD2D90">
        <w:rPr>
          <w:rStyle w:val="StyleUnderline"/>
          <w:highlight w:val="green"/>
        </w:rPr>
        <w:t>M</w:t>
      </w:r>
      <w:r w:rsidRPr="00DD2D90">
        <w:rPr>
          <w:rStyle w:val="StyleUnderline"/>
        </w:rPr>
        <w:t xml:space="preserve">onetary </w:t>
      </w:r>
      <w:r w:rsidRPr="00DD2D90">
        <w:rPr>
          <w:rStyle w:val="StyleUnderline"/>
          <w:highlight w:val="green"/>
        </w:rPr>
        <w:t>F</w:t>
      </w:r>
      <w:r w:rsidRPr="00DD2D90">
        <w:rPr>
          <w:rStyle w:val="StyleUnderline"/>
        </w:rPr>
        <w:t xml:space="preserve">und had </w:t>
      </w:r>
      <w:r w:rsidRPr="00DD2D90">
        <w:rPr>
          <w:rStyle w:val="StyleUnderline"/>
          <w:highlight w:val="green"/>
        </w:rPr>
        <w:t>projected</w:t>
      </w:r>
      <w:r w:rsidRPr="00DD2D90">
        <w:rPr>
          <w:rStyle w:val="StyleUnderline"/>
        </w:rPr>
        <w:t xml:space="preserve"> </w:t>
      </w:r>
      <w:r w:rsidRPr="00DD2D90">
        <w:rPr>
          <w:rStyle w:val="StyleUnderline"/>
          <w:highlight w:val="green"/>
        </w:rPr>
        <w:t>the</w:t>
      </w:r>
      <w:r w:rsidRPr="00DD2D90">
        <w:rPr>
          <w:rStyle w:val="StyleUnderline"/>
        </w:rPr>
        <w:t xml:space="preserve"> Indian </w:t>
      </w:r>
      <w:r w:rsidRPr="00DD2D90">
        <w:rPr>
          <w:rStyle w:val="StyleUnderline"/>
          <w:highlight w:val="green"/>
        </w:rPr>
        <w:t>economy to</w:t>
      </w:r>
      <w:r w:rsidRPr="00DD2D90">
        <w:rPr>
          <w:rStyle w:val="StyleUnderline"/>
        </w:rPr>
        <w:t xml:space="preserve"> </w:t>
      </w:r>
      <w:r w:rsidRPr="00DD2D90">
        <w:rPr>
          <w:rStyle w:val="StyleUnderline"/>
          <w:highlight w:val="green"/>
        </w:rPr>
        <w:t>grow at 6.4%</w:t>
      </w:r>
      <w:r w:rsidRPr="00DD2D90">
        <w:rPr>
          <w:rStyle w:val="StyleUnderline"/>
        </w:rPr>
        <w:t xml:space="preserve"> for 2025-26</w:t>
      </w:r>
      <w:r w:rsidRPr="009C4A5A">
        <w:rPr>
          <w:sz w:val="16"/>
        </w:rPr>
        <w:t xml:space="preserve">. In October </w:t>
      </w:r>
      <w:r w:rsidRPr="00DD2D90">
        <w:rPr>
          <w:rStyle w:val="StyleUnderline"/>
          <w:highlight w:val="green"/>
        </w:rPr>
        <w:t>IMF</w:t>
      </w:r>
      <w:r w:rsidRPr="009C4A5A">
        <w:rPr>
          <w:sz w:val="16"/>
        </w:rPr>
        <w:t xml:space="preserve"> has </w:t>
      </w:r>
      <w:r w:rsidRPr="00DD2D90">
        <w:rPr>
          <w:rStyle w:val="StyleUnderline"/>
          <w:highlight w:val="green"/>
        </w:rPr>
        <w:t>revised it upwards</w:t>
      </w:r>
      <w:r w:rsidRPr="00DD2D90">
        <w:rPr>
          <w:rStyle w:val="StyleUnderline"/>
        </w:rPr>
        <w:t xml:space="preserve"> to 6.6%</w:t>
      </w:r>
      <w:r w:rsidRPr="009C4A5A">
        <w:rPr>
          <w:sz w:val="16"/>
        </w:rPr>
        <w:t xml:space="preserve"> (2025-26), </w:t>
      </w:r>
      <w:r w:rsidRPr="00DD2D90">
        <w:rPr>
          <w:rStyle w:val="StyleUnderline"/>
        </w:rPr>
        <w:t xml:space="preserve">which is more than </w:t>
      </w:r>
      <w:r w:rsidRPr="00DD2D90">
        <w:rPr>
          <w:rStyle w:val="Emphasis"/>
          <w:highlight w:val="green"/>
        </w:rPr>
        <w:t>double</w:t>
      </w:r>
      <w:r w:rsidRPr="00DD2D90">
        <w:rPr>
          <w:rStyle w:val="StyleUnderline"/>
          <w:highlight w:val="green"/>
        </w:rPr>
        <w:t xml:space="preserve"> the</w:t>
      </w:r>
      <w:r w:rsidRPr="00DD2D90">
        <w:rPr>
          <w:rStyle w:val="StyleUnderline"/>
        </w:rPr>
        <w:t xml:space="preserve"> </w:t>
      </w:r>
      <w:r w:rsidRPr="00DD2D90">
        <w:rPr>
          <w:rStyle w:val="StyleUnderline"/>
          <w:highlight w:val="green"/>
        </w:rPr>
        <w:t>global</w:t>
      </w:r>
      <w:r w:rsidRPr="00DD2D90">
        <w:rPr>
          <w:rStyle w:val="StyleUnderline"/>
        </w:rPr>
        <w:t xml:space="preserve"> economic growth </w:t>
      </w:r>
      <w:r w:rsidRPr="00DD2D90">
        <w:rPr>
          <w:rStyle w:val="StyleUnderline"/>
          <w:highlight w:val="green"/>
        </w:rPr>
        <w:t>average</w:t>
      </w:r>
      <w:r w:rsidRPr="00DD2D90">
        <w:rPr>
          <w:rStyle w:val="StyleUnderline"/>
        </w:rPr>
        <w:t xml:space="preserve"> of 3.2%.</w:t>
      </w:r>
      <w:r w:rsidRPr="009C4A5A">
        <w:rPr>
          <w:sz w:val="16"/>
        </w:rPr>
        <w:t xml:space="preserve"> India has been able to achieve this “with carryover from a strong first quarter more than offsetting the increase in the US effective tariff rate on imports from India since July,” the International Monetary Fund said in its World Economic Outlook report. However, </w:t>
      </w:r>
      <w:r w:rsidRPr="00DD2D90">
        <w:rPr>
          <w:rStyle w:val="StyleUnderline"/>
        </w:rPr>
        <w:t xml:space="preserve">as </w:t>
      </w:r>
      <w:r w:rsidRPr="00DD2D90">
        <w:rPr>
          <w:rStyle w:val="StyleUnderline"/>
          <w:highlight w:val="green"/>
        </w:rPr>
        <w:t>India and the U.S. inch towards finalizing a</w:t>
      </w:r>
      <w:r w:rsidRPr="009C4A5A">
        <w:rPr>
          <w:sz w:val="16"/>
        </w:rPr>
        <w:t xml:space="preserve"> Bilateral </w:t>
      </w:r>
      <w:r w:rsidRPr="00DD2D90">
        <w:rPr>
          <w:rStyle w:val="StyleUnderline"/>
          <w:highlight w:val="green"/>
        </w:rPr>
        <w:t>Trade Agreement</w:t>
      </w:r>
      <w:r w:rsidRPr="009C4A5A">
        <w:rPr>
          <w:sz w:val="16"/>
        </w:rPr>
        <w:t xml:space="preserve"> (BTA) by the end of 2025, </w:t>
      </w:r>
      <w:r w:rsidRPr="00DD2D90">
        <w:rPr>
          <w:rStyle w:val="StyleUnderline"/>
        </w:rPr>
        <w:t>India’s next quarterly growth numbers</w:t>
      </w:r>
      <w:r w:rsidRPr="009C4A5A">
        <w:rPr>
          <w:sz w:val="16"/>
        </w:rPr>
        <w:t xml:space="preserve">, due later this year, </w:t>
      </w:r>
      <w:r w:rsidRPr="00DD2D90">
        <w:rPr>
          <w:rStyle w:val="StyleUnderline"/>
        </w:rPr>
        <w:t>will provide</w:t>
      </w:r>
      <w:r w:rsidRPr="009C4A5A">
        <w:rPr>
          <w:sz w:val="16"/>
        </w:rPr>
        <w:t xml:space="preserve"> a clearer picture of whether momentum in domestic activity can sustain the </w:t>
      </w:r>
      <w:r w:rsidRPr="00DD2D90">
        <w:rPr>
          <w:rStyle w:val="StyleUnderline"/>
        </w:rPr>
        <w:t>upward</w:t>
      </w:r>
      <w:r w:rsidRPr="009C4A5A">
        <w:rPr>
          <w:sz w:val="16"/>
        </w:rPr>
        <w:t xml:space="preserve"> revision of its economic </w:t>
      </w:r>
      <w:r w:rsidRPr="00DD2D90">
        <w:rPr>
          <w:rStyle w:val="StyleUnderline"/>
        </w:rPr>
        <w:t>growth</w:t>
      </w:r>
      <w:r w:rsidRPr="009C4A5A">
        <w:rPr>
          <w:sz w:val="16"/>
        </w:rPr>
        <w:t xml:space="preserve">. In the longer term to withstand tariffs, rather than GST proving to be just a flash in a pan moment, </w:t>
      </w:r>
      <w:r w:rsidRPr="00DD2D90">
        <w:rPr>
          <w:rStyle w:val="StyleUnderline"/>
        </w:rPr>
        <w:t>the country will</w:t>
      </w:r>
      <w:r w:rsidRPr="009C4A5A">
        <w:rPr>
          <w:sz w:val="16"/>
        </w:rPr>
        <w:t xml:space="preserve"> require a continued set of reforms, investment flows, supportive monetary policies, and resilient domestic demand, which will prove to be central to </w:t>
      </w:r>
      <w:r w:rsidRPr="00DD2D90">
        <w:rPr>
          <w:rStyle w:val="StyleUnderline"/>
        </w:rPr>
        <w:t>maintain</w:t>
      </w:r>
      <w:r w:rsidRPr="009C4A5A">
        <w:rPr>
          <w:sz w:val="16"/>
        </w:rPr>
        <w:t xml:space="preserve">ing </w:t>
      </w:r>
      <w:r w:rsidRPr="00DD2D90">
        <w:rPr>
          <w:rStyle w:val="StyleUnderline"/>
        </w:rPr>
        <w:t>its tag of the fastest-growing major economy in the world</w:t>
      </w:r>
      <w:r w:rsidRPr="009C4A5A">
        <w:rPr>
          <w:sz w:val="16"/>
        </w:rPr>
        <w:t>, and attaining high forecasted growth rates of 6.2% for the year 2026-27.</w:t>
      </w:r>
    </w:p>
    <w:p w14:paraId="38264DC5" w14:textId="77777777" w:rsidR="00287C7C" w:rsidRPr="009C4A5A" w:rsidRDefault="00287C7C" w:rsidP="00287C7C">
      <w:pPr>
        <w:rPr>
          <w:rFonts w:eastAsiaTheme="majorEastAsia" w:cstheme="majorBidi"/>
          <w:b/>
          <w:iCs/>
          <w:sz w:val="16"/>
        </w:rPr>
      </w:pPr>
      <w:r w:rsidRPr="009C4A5A">
        <w:rPr>
          <w:sz w:val="16"/>
        </w:rPr>
        <w:br w:type="page"/>
      </w:r>
    </w:p>
    <w:p w14:paraId="0E8AC075" w14:textId="20B04EB4" w:rsidR="00D711EF" w:rsidRPr="00DD2D90" w:rsidRDefault="00D711EF" w:rsidP="009C4A5A">
      <w:pPr>
        <w:pStyle w:val="Heading4"/>
      </w:pPr>
      <w:r w:rsidRPr="00DD2D90">
        <w:t xml:space="preserve">Pharmaceuticals </w:t>
      </w:r>
      <w:r w:rsidR="00FF0344" w:rsidRPr="00DD2D90">
        <w:t>are key to</w:t>
      </w:r>
      <w:r w:rsidRPr="00DD2D90">
        <w:t xml:space="preserve"> Indian growth</w:t>
      </w:r>
    </w:p>
    <w:p w14:paraId="7C05F9CE" w14:textId="77777777" w:rsidR="00D711EF" w:rsidRPr="00DD2D90" w:rsidRDefault="00D711EF" w:rsidP="00D711EF">
      <w:r w:rsidRPr="009C4A5A">
        <w:rPr>
          <w:b/>
          <w:bCs/>
          <w:sz w:val="26"/>
          <w:szCs w:val="26"/>
        </w:rPr>
        <w:t>Shrinivasan et al. 25</w:t>
      </w:r>
      <w:r w:rsidRPr="00DD2D90">
        <w:t xml:space="preserve"> [Sriram Shrinivasan, expert in Healthcare &amp; Life Sciences with a PGDM from Indian Institute of Management and a B. Tech degree in chemical engineering from the Indian Institute of Technology, Rohit Singh, researcher in Healthcare and Life Sciences with a MBA from the Indian Institute of Management and a Bachelors in Electrical Engineering from the Delhi College of Engineering, and Anik Ganguly, Bain Senior Manager and graduate from IIM Ahmedabad, 2025, "Healing the World: A Roadmap for Making India a Global Pharma Exports Hub", Bain, https://www.bain.com/insights/healing-the-world-a-roadmap-for-making-india-a-global-pharma-exports-hub/]/Kankee</w:t>
      </w:r>
    </w:p>
    <w:p w14:paraId="0C4D419C" w14:textId="77777777" w:rsidR="00D711EF" w:rsidRPr="009C4A5A" w:rsidRDefault="00D711EF" w:rsidP="00D711EF">
      <w:pPr>
        <w:rPr>
          <w:sz w:val="16"/>
        </w:rPr>
      </w:pPr>
      <w:r w:rsidRPr="009C4A5A">
        <w:rPr>
          <w:sz w:val="16"/>
        </w:rPr>
        <w:t xml:space="preserve">Executive summary This report outlines the strategic path for India to become a global pharma powerhouse in the near term (2030) and beyond (2047, coinciding with the 100th year of India’s independence). Developed in consultation with industry leaders and government stakeholders, the report assesses the Indian pharmaceutical industry’s current global position, identifies future opportunities, and highlights key imperatives for growth. With the Indian economy growing rapidly, the government has set an ambitious target for the nation to become a $30 trillion to $35 trillion economy by 2047. </w:t>
      </w:r>
      <w:r w:rsidRPr="00DD2D90">
        <w:rPr>
          <w:rStyle w:val="StyleUnderline"/>
        </w:rPr>
        <w:t xml:space="preserve">The </w:t>
      </w:r>
      <w:r w:rsidRPr="00DD2D90">
        <w:rPr>
          <w:rStyle w:val="StyleUnderline"/>
          <w:highlight w:val="green"/>
        </w:rPr>
        <w:t>pharma</w:t>
      </w:r>
      <w:r w:rsidRPr="00DD2D90">
        <w:rPr>
          <w:rStyle w:val="StyleUnderline"/>
        </w:rPr>
        <w:t xml:space="preserve">ceutical industry, </w:t>
      </w:r>
      <w:r w:rsidRPr="00DD2D90">
        <w:rPr>
          <w:rStyle w:val="StyleUnderline"/>
          <w:highlight w:val="green"/>
        </w:rPr>
        <w:t>with its robust global footprint</w:t>
      </w:r>
      <w:r w:rsidRPr="00DD2D90">
        <w:rPr>
          <w:rStyle w:val="StyleUnderline"/>
        </w:rPr>
        <w:t xml:space="preserve">, </w:t>
      </w:r>
      <w:r w:rsidRPr="00DD2D90">
        <w:rPr>
          <w:rStyle w:val="StyleUnderline"/>
          <w:highlight w:val="green"/>
        </w:rPr>
        <w:t xml:space="preserve">is a </w:t>
      </w:r>
      <w:r w:rsidRPr="00DD2D90">
        <w:rPr>
          <w:rStyle w:val="Emphasis"/>
          <w:highlight w:val="green"/>
        </w:rPr>
        <w:t>critical</w:t>
      </w:r>
      <w:r w:rsidRPr="00DD2D90">
        <w:rPr>
          <w:rStyle w:val="StyleUnderline"/>
          <w:highlight w:val="green"/>
        </w:rPr>
        <w:t xml:space="preserve"> component of</w:t>
      </w:r>
      <w:r w:rsidRPr="00DD2D90">
        <w:rPr>
          <w:rStyle w:val="StyleUnderline"/>
        </w:rPr>
        <w:t xml:space="preserve"> this </w:t>
      </w:r>
      <w:r w:rsidRPr="00DD2D90">
        <w:rPr>
          <w:rStyle w:val="StyleUnderline"/>
          <w:highlight w:val="green"/>
        </w:rPr>
        <w:t>growth</w:t>
      </w:r>
      <w:r w:rsidRPr="00DD2D90">
        <w:rPr>
          <w:rStyle w:val="StyleUnderline"/>
        </w:rPr>
        <w:t xml:space="preserve"> strategy</w:t>
      </w:r>
      <w:r w:rsidRPr="009C4A5A">
        <w:rPr>
          <w:sz w:val="16"/>
        </w:rPr>
        <w:t xml:space="preserve">. </w:t>
      </w:r>
      <w:r w:rsidRPr="00DD2D90">
        <w:rPr>
          <w:rStyle w:val="StyleUnderline"/>
          <w:highlight w:val="green"/>
        </w:rPr>
        <w:t xml:space="preserve">It is currently the </w:t>
      </w:r>
      <w:r w:rsidRPr="00DD2D90">
        <w:rPr>
          <w:rStyle w:val="Emphasis"/>
          <w:highlight w:val="green"/>
        </w:rPr>
        <w:t>fifth-largest</w:t>
      </w:r>
      <w:r w:rsidRPr="00DD2D90">
        <w:rPr>
          <w:rStyle w:val="StyleUnderline"/>
          <w:highlight w:val="green"/>
        </w:rPr>
        <w:t xml:space="preserve"> contributor to India’s manufacturing GVA</w:t>
      </w:r>
      <w:r w:rsidRPr="00DD2D90">
        <w:rPr>
          <w:rStyle w:val="StyleUnderline"/>
        </w:rPr>
        <w:t>, generating a healthy trade surplus and supporting numerous livelihoods.</w:t>
      </w:r>
      <w:r w:rsidRPr="009C4A5A">
        <w:rPr>
          <w:sz w:val="16"/>
        </w:rPr>
        <w:t xml:space="preserve"> India, already the largest global supplier of generic medicines, fulfills approximately 20% of global generics demand. Yet it still lags from a value perspective in the global pharmaceutical market. This underscores the need to transition from a volume-based exporter to a value-driven leader in high-value products, such as biosimilars and innovative therapies. Several key trends are shaping the “Indian pharmaceuticals for the world” story: namely, the drive for supply chain resilience, enhanced focus on R&amp;D and quality, shift toward value through contract development and manufacturing organizations and contract research organizations (CDMOs and CROs), increased regulatory harmonization, robust funding for Indian pharmaceuticals, the rise of digital and AI tools, and the push for sustainability. Riding these trends, </w:t>
      </w:r>
      <w:r w:rsidRPr="00DD2D90">
        <w:rPr>
          <w:rStyle w:val="StyleUnderline"/>
        </w:rPr>
        <w:t xml:space="preserve">India’s pharmaceutical </w:t>
      </w:r>
      <w:r w:rsidRPr="00DD2D90">
        <w:rPr>
          <w:rStyle w:val="StyleUnderline"/>
          <w:highlight w:val="green"/>
        </w:rPr>
        <w:t>exports are projected to grow</w:t>
      </w:r>
      <w:r w:rsidRPr="00DD2D90">
        <w:rPr>
          <w:rStyle w:val="StyleUnderline"/>
        </w:rPr>
        <w:t xml:space="preserve"> 10- to </w:t>
      </w:r>
      <w:r w:rsidRPr="00DD2D90">
        <w:rPr>
          <w:rStyle w:val="Emphasis"/>
          <w:highlight w:val="green"/>
        </w:rPr>
        <w:t>15-fold</w:t>
      </w:r>
      <w:r w:rsidRPr="00DD2D90">
        <w:rPr>
          <w:rStyle w:val="StyleUnderline"/>
        </w:rPr>
        <w:t xml:space="preserve">, </w:t>
      </w:r>
      <w:r w:rsidRPr="00DD2D90">
        <w:rPr>
          <w:rStyle w:val="StyleUnderline"/>
          <w:highlight w:val="green"/>
        </w:rPr>
        <w:t>reaching</w:t>
      </w:r>
      <w:r w:rsidRPr="00DD2D90">
        <w:rPr>
          <w:rStyle w:val="StyleUnderline"/>
        </w:rPr>
        <w:t xml:space="preserve"> nearly </w:t>
      </w:r>
      <w:r w:rsidRPr="00DD2D90">
        <w:rPr>
          <w:rStyle w:val="StyleUnderline"/>
          <w:highlight w:val="green"/>
        </w:rPr>
        <w:t>$350 billion by 2047</w:t>
      </w:r>
      <w:r w:rsidRPr="009C4A5A">
        <w:rPr>
          <w:sz w:val="16"/>
        </w:rPr>
        <w:t xml:space="preserve">. </w:t>
      </w:r>
      <w:r w:rsidRPr="00DD2D90">
        <w:rPr>
          <w:rStyle w:val="StyleUnderline"/>
        </w:rPr>
        <w:t>To achieve this, India must</w:t>
      </w:r>
      <w:r w:rsidRPr="009C4A5A">
        <w:rPr>
          <w:sz w:val="16"/>
        </w:rPr>
        <w:t xml:space="preserve"> chart a granular view of the global demand landscape, </w:t>
      </w:r>
      <w:r w:rsidRPr="00DD2D90">
        <w:rPr>
          <w:rStyle w:val="StyleUnderline"/>
        </w:rPr>
        <w:t>targeting pockets of opportunity for exports</w:t>
      </w:r>
      <w:r w:rsidRPr="009C4A5A">
        <w:rPr>
          <w:sz w:val="16"/>
        </w:rPr>
        <w:t xml:space="preserve"> within specific geographical clusters or countries. By focusing on the mantra “QuRATE,” which encompasses five overarching pillars—Quality, Regulation, Access to global markets, Talent, and Entrepreneurial innovation—India can stand out and capture these opportunities. India must also focus on several key drivers across segments: expanding exports of specialty generics, boosting API exports and CDMO services while leveraging the China+1 theme, expanding vaccine exports to high-income countries, and capitalizing on the biosimilars and innovative products opportunity, to name a few. </w:t>
      </w:r>
      <w:r w:rsidRPr="00DD2D90">
        <w:rPr>
          <w:rStyle w:val="StyleUnderline"/>
          <w:highlight w:val="green"/>
        </w:rPr>
        <w:t xml:space="preserve">Collaboration between the private sector and the government is </w:t>
      </w:r>
      <w:r w:rsidRPr="00DD2D90">
        <w:rPr>
          <w:rStyle w:val="Emphasis"/>
          <w:highlight w:val="green"/>
        </w:rPr>
        <w:t>essential</w:t>
      </w:r>
      <w:r w:rsidRPr="00DD2D90">
        <w:rPr>
          <w:rStyle w:val="StyleUnderline"/>
        </w:rPr>
        <w:t xml:space="preserve"> to realizing this vision.</w:t>
      </w:r>
      <w:r w:rsidRPr="009C4A5A">
        <w:rPr>
          <w:sz w:val="16"/>
        </w:rPr>
        <w:t xml:space="preserve"> The time to act is now, as </w:t>
      </w:r>
      <w:r w:rsidRPr="00DD2D90">
        <w:rPr>
          <w:rStyle w:val="StyleUnderline"/>
        </w:rPr>
        <w:t>transitioning from volume to value will be critical for India to secure its place among the world’s top pharmaceutical exporters</w:t>
      </w:r>
      <w:r w:rsidRPr="009C4A5A">
        <w:rPr>
          <w:sz w:val="16"/>
        </w:rPr>
        <w:t xml:space="preserve">. Introduction: India’s time is now India stands on the threshold of significant transformation. </w:t>
      </w:r>
      <w:r w:rsidRPr="00DD2D90">
        <w:rPr>
          <w:rStyle w:val="StyleUnderline"/>
        </w:rPr>
        <w:t xml:space="preserve">The nation’s GDP has jumped from $1.9 trillion to $3.6 trillion over the past decade, with the Indian economy overtaking the UK’s in 2024 to occupy </w:t>
      </w:r>
      <w:r w:rsidRPr="00DD2D90">
        <w:rPr>
          <w:rStyle w:val="Emphasis"/>
        </w:rPr>
        <w:t>fifth place</w:t>
      </w:r>
      <w:r w:rsidRPr="00DD2D90">
        <w:rPr>
          <w:rStyle w:val="StyleUnderline"/>
        </w:rPr>
        <w:t xml:space="preserve"> in the world GDP order</w:t>
      </w:r>
      <w:r w:rsidRPr="009C4A5A">
        <w:rPr>
          <w:sz w:val="16"/>
        </w:rPr>
        <w:t xml:space="preserve">. </w:t>
      </w:r>
      <w:r w:rsidRPr="00DD2D90">
        <w:rPr>
          <w:rStyle w:val="StyleUnderline"/>
        </w:rPr>
        <w:t>The Indian government aims to become a</w:t>
      </w:r>
      <w:r w:rsidRPr="009C4A5A">
        <w:rPr>
          <w:sz w:val="16"/>
        </w:rPr>
        <w:t xml:space="preserve"> $30 trillion to </w:t>
      </w:r>
      <w:r w:rsidRPr="00DD2D90">
        <w:rPr>
          <w:rStyle w:val="Emphasis"/>
        </w:rPr>
        <w:t>$35 trillion</w:t>
      </w:r>
      <w:r w:rsidRPr="009C4A5A">
        <w:rPr>
          <w:sz w:val="16"/>
        </w:rPr>
        <w:t xml:space="preserve"> </w:t>
      </w:r>
      <w:r w:rsidRPr="00DD2D90">
        <w:rPr>
          <w:rStyle w:val="StyleUnderline"/>
        </w:rPr>
        <w:t xml:space="preserve">economy by 2047, positioning India as the </w:t>
      </w:r>
      <w:r w:rsidRPr="00DD2D90">
        <w:rPr>
          <w:rStyle w:val="Emphasis"/>
        </w:rPr>
        <w:t>third-largest</w:t>
      </w:r>
      <w:r w:rsidRPr="00DD2D90">
        <w:rPr>
          <w:rStyle w:val="StyleUnderline"/>
        </w:rPr>
        <w:t xml:space="preserve"> economy, surpassing Japan and Germany</w:t>
      </w:r>
      <w:r w:rsidRPr="009C4A5A">
        <w:rPr>
          <w:sz w:val="16"/>
        </w:rPr>
        <w:t xml:space="preserve">. Among the many sectors crucial to realizing this ambitious goal, </w:t>
      </w:r>
      <w:r w:rsidRPr="00DD2D90">
        <w:rPr>
          <w:rStyle w:val="StyleUnderline"/>
        </w:rPr>
        <w:t xml:space="preserve">the Indian pharmaceutical industry holds a pivotal position. As the fifth-largest contributor to manufacturing GVA, </w:t>
      </w:r>
      <w:r w:rsidRPr="00DD2D90">
        <w:rPr>
          <w:rStyle w:val="StyleUnderline"/>
          <w:highlight w:val="green"/>
        </w:rPr>
        <w:t>it drives</w:t>
      </w:r>
      <w:r w:rsidRPr="00DD2D90">
        <w:rPr>
          <w:rStyle w:val="StyleUnderline"/>
        </w:rPr>
        <w:t xml:space="preserve"> approximately </w:t>
      </w:r>
      <w:r w:rsidRPr="00DD2D90">
        <w:rPr>
          <w:rStyle w:val="Emphasis"/>
          <w:highlight w:val="green"/>
        </w:rPr>
        <w:t xml:space="preserve">4% </w:t>
      </w:r>
      <w:r w:rsidRPr="00DD2D90">
        <w:rPr>
          <w:rStyle w:val="StyleUnderline"/>
          <w:highlight w:val="green"/>
        </w:rPr>
        <w:t>of India’s</w:t>
      </w:r>
      <w:r w:rsidRPr="009C4A5A">
        <w:rPr>
          <w:sz w:val="16"/>
        </w:rPr>
        <w:t xml:space="preserve"> foreign direct investment (</w:t>
      </w:r>
      <w:r w:rsidRPr="00DD2D90">
        <w:rPr>
          <w:rStyle w:val="StyleUnderline"/>
          <w:highlight w:val="green"/>
        </w:rPr>
        <w:t>FDI</w:t>
      </w:r>
      <w:r w:rsidRPr="009C4A5A">
        <w:rPr>
          <w:sz w:val="16"/>
        </w:rPr>
        <w:t xml:space="preserve">) inflows, </w:t>
      </w:r>
      <w:r w:rsidRPr="00DD2D90">
        <w:rPr>
          <w:rStyle w:val="StyleUnderline"/>
          <w:highlight w:val="green"/>
        </w:rPr>
        <w:t xml:space="preserve">sustains a $19 billion trade surplus, </w:t>
      </w:r>
      <w:r w:rsidRPr="00DD2D90">
        <w:rPr>
          <w:rStyle w:val="StyleUnderline"/>
        </w:rPr>
        <w:t xml:space="preserve">and </w:t>
      </w:r>
      <w:r w:rsidRPr="00DD2D90">
        <w:rPr>
          <w:rStyle w:val="StyleUnderline"/>
          <w:highlight w:val="green"/>
        </w:rPr>
        <w:t xml:space="preserve">supports </w:t>
      </w:r>
      <w:r w:rsidRPr="00DD2D90">
        <w:rPr>
          <w:rStyle w:val="Emphasis"/>
          <w:highlight w:val="green"/>
        </w:rPr>
        <w:t>2.7 million</w:t>
      </w:r>
      <w:r w:rsidRPr="00DD2D90">
        <w:rPr>
          <w:rStyle w:val="StyleUnderline"/>
          <w:highlight w:val="green"/>
        </w:rPr>
        <w:t xml:space="preserve"> livelihoods</w:t>
      </w:r>
      <w:r w:rsidRPr="009C4A5A">
        <w:rPr>
          <w:sz w:val="16"/>
        </w:rPr>
        <w:t xml:space="preserve">, either directly or indirectly. </w:t>
      </w:r>
      <w:r w:rsidRPr="00DD2D90">
        <w:rPr>
          <w:rStyle w:val="StyleUnderline"/>
        </w:rPr>
        <w:t xml:space="preserve">The global pharmaceutical market currently stands at about $1.6 trillion, with </w:t>
      </w:r>
      <w:r w:rsidRPr="00DD2D90">
        <w:rPr>
          <w:rStyle w:val="StyleUnderline"/>
          <w:highlight w:val="green"/>
        </w:rPr>
        <w:t>the Indian market valued at approximately $55 billion</w:t>
      </w:r>
      <w:r w:rsidRPr="009C4A5A">
        <w:rPr>
          <w:sz w:val="16"/>
        </w:rPr>
        <w:t xml:space="preserve">. </w:t>
      </w:r>
      <w:r w:rsidRPr="00DD2D90">
        <w:rPr>
          <w:rStyle w:val="StyleUnderline"/>
          <w:highlight w:val="green"/>
        </w:rPr>
        <w:t>This is expected to grow</w:t>
      </w:r>
      <w:r w:rsidRPr="00DD2D90">
        <w:rPr>
          <w:rStyle w:val="StyleUnderline"/>
        </w:rPr>
        <w:t xml:space="preserve"> 2.2 to </w:t>
      </w:r>
      <w:r w:rsidRPr="00DD2D90">
        <w:rPr>
          <w:rStyle w:val="Emphasis"/>
          <w:highlight w:val="green"/>
        </w:rPr>
        <w:t>2.4 times</w:t>
      </w:r>
      <w:r w:rsidRPr="00DD2D90">
        <w:rPr>
          <w:rStyle w:val="StyleUnderline"/>
          <w:highlight w:val="green"/>
        </w:rPr>
        <w:t xml:space="preserve"> by 2030</w:t>
      </w:r>
      <w:r w:rsidRPr="00DD2D90">
        <w:rPr>
          <w:rStyle w:val="StyleUnderline"/>
        </w:rPr>
        <w:t xml:space="preserve">, </w:t>
      </w:r>
      <w:r w:rsidRPr="00DD2D90">
        <w:rPr>
          <w:rStyle w:val="StyleUnderline"/>
          <w:highlight w:val="green"/>
        </w:rPr>
        <w:t>reaching</w:t>
      </w:r>
      <w:r w:rsidRPr="00DD2D90">
        <w:rPr>
          <w:rStyle w:val="StyleUnderline"/>
        </w:rPr>
        <w:t xml:space="preserve"> $120 billion to </w:t>
      </w:r>
      <w:r w:rsidRPr="00DD2D90">
        <w:rPr>
          <w:rStyle w:val="Emphasis"/>
          <w:highlight w:val="green"/>
        </w:rPr>
        <w:t>$130 billion</w:t>
      </w:r>
      <w:r w:rsidRPr="00DD2D90">
        <w:rPr>
          <w:rStyle w:val="StyleUnderline"/>
        </w:rPr>
        <w:t xml:space="preserve"> in value and increasing India’s share from 3% to 3.5% currently to nearly 5% by 2030</w:t>
      </w:r>
      <w:r w:rsidRPr="009C4A5A">
        <w:rPr>
          <w:sz w:val="16"/>
        </w:rPr>
        <w:t xml:space="preserve">. The Indian pharma market is unique in that its export market is as large as its domestic market, and both are expected to grow in the foreseeable future. </w:t>
      </w:r>
      <w:r w:rsidRPr="00DD2D90">
        <w:rPr>
          <w:rStyle w:val="StyleUnderline"/>
          <w:highlight w:val="green"/>
        </w:rPr>
        <w:t>Indian pharma exports</w:t>
      </w:r>
      <w:r w:rsidRPr="00DD2D90">
        <w:rPr>
          <w:rStyle w:val="StyleUnderline"/>
        </w:rPr>
        <w:t xml:space="preserve"> currently </w:t>
      </w:r>
      <w:r w:rsidRPr="00DD2D90">
        <w:rPr>
          <w:rStyle w:val="StyleUnderline"/>
          <w:highlight w:val="green"/>
        </w:rPr>
        <w:t>play a pivotal role in the growth of the economy</w:t>
      </w:r>
      <w:r w:rsidRPr="00DD2D90">
        <w:rPr>
          <w:rStyle w:val="StyleUnderline"/>
        </w:rPr>
        <w:t xml:space="preserve">, </w:t>
      </w:r>
      <w:r w:rsidRPr="00DD2D90">
        <w:rPr>
          <w:rStyle w:val="StyleUnderline"/>
          <w:highlight w:val="green"/>
        </w:rPr>
        <w:t>accounting for 6% of India’s total merchandise exports by value</w:t>
      </w:r>
      <w:r w:rsidRPr="009C4A5A">
        <w:rPr>
          <w:sz w:val="16"/>
        </w:rPr>
        <w:t xml:space="preserve">. </w:t>
      </w:r>
      <w:r w:rsidRPr="00DD2D90">
        <w:rPr>
          <w:rStyle w:val="StyleUnderline"/>
        </w:rPr>
        <w:t xml:space="preserve">India has a strong pharma network, </w:t>
      </w:r>
      <w:r w:rsidRPr="00DD2D90">
        <w:rPr>
          <w:rStyle w:val="StyleUnderline"/>
          <w:highlight w:val="green"/>
        </w:rPr>
        <w:t>with more than 10,000 manufacturing facilities, over 3,000 pharma companies, and 650 US-FDA-compliant pharma plants</w:t>
      </w:r>
      <w:r w:rsidRPr="00DD2D90">
        <w:rPr>
          <w:rStyle w:val="StyleUnderline"/>
        </w:rPr>
        <w:t>—the largest number outside the US</w:t>
      </w:r>
      <w:r w:rsidRPr="009C4A5A">
        <w:rPr>
          <w:sz w:val="16"/>
        </w:rPr>
        <w:t xml:space="preserve">. As the largest supplier of generic medicines globally, supplying one in five generic drugs sold, India has earned the title “pharmacy of the world.” It currently ranks third in the world in terms of exports by volume (see Figure 1), up from seventh in 2019. India’s pharma supplies reach approximately 200 countries and territories worldwide, supplying close to 50% of Africa’s requirement for generics and 40% of US generics demand. That success is underpinned by India’s ability to produce high-quality, low-cost medicines. However, given India’s historical focus on commodity generics, it still has work to do before it can claim to be a leader in the value of exports. Indian pharmaceutical exports rank 11 on the list globally in value terms (see Figure 2), accounting for 3% of total pharmaceutical exports. Undoubtedly, there is room for growth here; by innovating and upgrading the export basket to include specialty generics, biosimilars, and innovative products, the industry can drive the transition from volume to value, potentially achieving its ambition of being ranked in the top five nations in terms of value of exports by 2047. Given long product life cycles and long development lead times, the industry and the government must act now to seize this opportunity. Megatrends shaping Indian pharma for the world Seven major market trends play into India’s quest to become a global pharmaceutical export hub (see Figure 3). These trends have the potential to strengthen India’s standing in the global market and enhance its reputation as a reliable and innovative supplier. 1. Supply chain resilience: Covid-19 laid bare the shortcomings of globalization by disrupting the flow of pharmaceutical supplies to key geographies. This has driven developed economies like the US and the EU to localize pharmaceutical production to enhance supply chain control. While reshoring gains traction, companies are also exploring near-shoring in eastern and southeastern Europe, seeking the twin benefits of cost advantage and a higher degree of control than is possible with offshore production. Additionally, international strategic efforts, such as Quad (involving the US, India, Australia, and Japan) and the Indo-Pacific Economic Framework (IPEF) Supply Chain Agreement, aim to build secure and diversified global supply chains through increased collaboration. There is also a growing push to reduce reliance on single sources. Recent legislative efforts, such as the US Biosecure Act, restrict partnerships with major Chinese biotech firms. India stands to benefit, offering superior service levels, cost advantage, and a larger talent pool. It’s also helpful that top Indian API manufacturers have performed better on quality measures over the past decade. Among all the inspections conducted by US-FDA, the average No Action Indicated (NAI) was seven percentage points higher for Indian companies than for the top Chinese producers. Interviews with Big Pharma players also convey this theme with a proposed strategic shift of share of wallet to India (see Figure 4). To capitalize on this, India is intensifying its “Make in India” focus through production-linked incentives (PLIs). Close to $3 billion has been earmarked for pharmaceutical and medical devices, which has attracted investments worth nearly $4 billion as of April 2024. There is also an opportunity to strengthen these programs to address India’s continued dependence on a single source for bulk drug imports. Approximately 72% of overall bulk drug and intermediates imports by India in FY24 are from China, vs. 66% in FY22. Industry participants have also called for greater allocation of these incentives to produce biologics, biosimilars, and cell and gene therapies instead of simply using them to manufacture generic drugs. Further tweaks in eligibility criteria will be required to allow CDMO/CROs to receive PLI benefits. The primary determinants for eligibility—the number of ANDAs and DMFs—do not apply to CDMO/CROs. Continued support for and expansion of PLI will be critical for India to benefit from its current geopolitical and demographic advantages. 2. No compromise on R&amp;D and quality: Top Indian pharma companies have consistently increased their R&amp;D spending year over year, focusing on high-value products. India’s top 10 players have a robust pipeline comprising over 40 NCEs/NBEs, signaling a strong push toward innovation. At the same time, global quality standards are becoming stricter, with regulatory bodies imposing harsher penalties for non-compliance. One example is the US-FDA’s move to impose civil penalties for incomplete clinical trial data. India has made significant strides in meeting international quality standards, with its share of US-FDA inspections resulting in Official Action Indicated (OAI) declining from 19% in 2013 to 9% in 2023 (though still above the global average of 4%). Revisions to Schedule M in 2023 are expected to further improve compliance, boosting India’s adoption of specialty generics and innovative products. 3. Shift toward value through CDMOs/CROs: Pharmaceutical companies have historically outsourced manufacturing to Indian CDMOs due to capacity constraints or end-of-life cycle stages. However, with improved drug development and R&amp;D capabilities provided by CDMOs and CROs, outsourcing now covers more of the value chain, from research to clinical trials. Indian CDMOs and CROs are increasingly focusing on high-value, innovative products. Further, Indian companies are out-licensing their own IP-driven products to front-end partners, thus capturing a larger chunk of the value chain. The growth of CDMOs and CROs can create a multiplier effect in innovation talent, with the next generation of biotech companies likely to emerge from those exposed to innovative thinking. 4. Growing regulatory harmonization: Regulatory harmonization—aimed at simplifying and standardizing regulations to accelerate the pace of approvals—is happening globally. For instance, the African Medicines Regulatory Harmonization Program facilitates harmonized technical and regulatory guidelines for member states. Additionally, the US-FDA’s Project Orbis initiative provides a framework for concurrent submission and review of oncology products among international partners, which promises quicker approval of oncology drugs. The European Medicines Agency (EMA) also promotes regulatory harmonization across the EU through policies like centralized procedure (mandatory for most innovative products), which enables a single EU-wide assessment and grants marketing authorization valid in all member states. Regulatory harmonization across nations can ease India’s entry into key markets by simplifying compliance, streamlining approvals, and reducing duplication of work. 5. Robust funding for Indian pharmaceuticals: Healthcare’s share of Indian PE/VC investments has grown from 6% in 2021 to 17% in the first half of 2024, which is the highest increase across sectors (see Figure 5). PEs are setting up robust platform plays across the value chain by acquiring companies and realizing synergies among them. For instance, Advent created Cohance with API and high-value specialty chemistry players, later adding CDMO capabilities through acquisitions. Similar platforms have been set up by Carlyle and PAG. Such investments are likely to pave the way for Indian players to compete on the global stage. Besides PE activity, there is a growing VC interest in the biotech sector. India is one of the top 12 destinations for biotechnology worldwide, with a 2024 industry valuation of $130 billion that is expected to rise to $300 billion by 2030. India’s nascent biotech ecosystem includes more than 800 core biotech companies, over 75 bio-incubators, and over 6,000 biotech start-ups. The number of biotech start-ups can potentially reach more than 10,000 by 2025 as funding continues to increase. This investment, along with the focus on R&amp;D, will encourage the growth of Indian biopharma capabilities. 6. Rise of digitalization and generative AI: </w:t>
      </w:r>
      <w:r w:rsidRPr="00DD2D90">
        <w:rPr>
          <w:rStyle w:val="StyleUnderline"/>
        </w:rPr>
        <w:t>IT and pharmaceuticals are</w:t>
      </w:r>
      <w:r w:rsidRPr="009C4A5A">
        <w:rPr>
          <w:sz w:val="16"/>
        </w:rPr>
        <w:t xml:space="preserve"> two sectors </w:t>
      </w:r>
      <w:r w:rsidRPr="00DD2D90">
        <w:rPr>
          <w:rStyle w:val="StyleUnderline"/>
        </w:rPr>
        <w:t xml:space="preserve">where India has a significant competitive advantage. When the two are merged, India has an opportunity to become a </w:t>
      </w:r>
      <w:r w:rsidRPr="00DD2D90">
        <w:rPr>
          <w:rStyle w:val="Emphasis"/>
        </w:rPr>
        <w:t>powerhouse</w:t>
      </w:r>
      <w:r w:rsidRPr="009C4A5A">
        <w:rPr>
          <w:sz w:val="16"/>
        </w:rPr>
        <w:t xml:space="preserve">. </w:t>
      </w:r>
      <w:r w:rsidRPr="00DD2D90">
        <w:rPr>
          <w:rStyle w:val="StyleUnderline"/>
        </w:rPr>
        <w:t>Digitalization is changing</w:t>
      </w:r>
      <w:r w:rsidRPr="009C4A5A">
        <w:rPr>
          <w:sz w:val="16"/>
        </w:rPr>
        <w:t xml:space="preserve"> every facet of </w:t>
      </w:r>
      <w:r w:rsidRPr="00DD2D90">
        <w:rPr>
          <w:rStyle w:val="StyleUnderline"/>
        </w:rPr>
        <w:t>the pharma value chain</w:t>
      </w:r>
      <w:r w:rsidRPr="009C4A5A">
        <w:rPr>
          <w:sz w:val="16"/>
        </w:rPr>
        <w:t xml:space="preserve">—from Industry 4.0-driven plants </w:t>
      </w:r>
      <w:r w:rsidRPr="00DD2D90">
        <w:rPr>
          <w:rStyle w:val="StyleUnderline"/>
        </w:rPr>
        <w:t>that reduce the potential for human error in manufacturing and quality while improving machine uptime and efficiency, to cloud-based supply chain solutions that enable digital planning and procurement. Generative AI is also rapidly advancing in healthcare, with applications in R&amp;D, manufacturing, sales and marketing, and support functions. In drug discovery, it accelerates literature review, hit finding, and lead optimization. Clinical use cases include trial doc generation, regulatory authoring, and adverse event processing. Indian companies are exploring AI-driven drug discovery</w:t>
      </w:r>
      <w:r w:rsidRPr="009C4A5A">
        <w:rPr>
          <w:sz w:val="16"/>
        </w:rPr>
        <w:t xml:space="preserve">, potentially boosting India’s role in innovative products. A Bain survey of 85 industry leaders shows combining generative AI with traditional AI could add two times more value over three to five years vs. just using traditional AI. Though </w:t>
      </w:r>
      <w:r w:rsidRPr="00DD2D90">
        <w:rPr>
          <w:rStyle w:val="StyleUnderline"/>
        </w:rPr>
        <w:t>India’s generative AI presence in pharma</w:t>
      </w:r>
      <w:r w:rsidRPr="009C4A5A">
        <w:rPr>
          <w:sz w:val="16"/>
        </w:rPr>
        <w:t xml:space="preserve"> is nascent, its adoption </w:t>
      </w:r>
      <w:r w:rsidRPr="00DD2D90">
        <w:rPr>
          <w:rStyle w:val="StyleUnderline"/>
        </w:rPr>
        <w:t>could accelerate innovation and improve export competitiveness</w:t>
      </w:r>
      <w:r w:rsidRPr="009C4A5A">
        <w:rPr>
          <w:sz w:val="16"/>
        </w:rPr>
        <w:t xml:space="preserve">. 7. Push for sustainability: Globally, sustainability is becoming a major focus across industries, with ESG tracking becoming more defined and entities setting ambitious targets for reducing waste and carbon emissions. For instance, the EU advocated for including new Trade and Sustainable Development chapters in all trade agreements, which may include possible trade sanctions for breaches of the Paris Climate Agreement and labor principles set by the International Labor Organization. The pharmaceutical industry also adopted ESG practices. Canada has proposed FDA amendments that prohibit drug sales without adequate environmental risk assessment; the UK’s NHS aims to reach net-zero emissions by 2040; and global pharma giants, such as Novartis and GSK, are targeting net zero across their value chains by 2040 to 2045. These global measures are pushing Indian pharmaceutical companies to strengthen ESG strategies. Indian firms like Sun Pharma, Dr. Reddy’s, and Cipla have made positive strides here. However, broader adoption of ESG practices like waste management and product end-of-life cycle management are essential for long-term global competitiveness. Indian pharma exports: An approximately $350 billion opportunity by 2047 The Indian pharma market, currently valued at $55 billion, is expected to reach $120 billion to $130 billion by 2030 and to approach $450 billion by 2047. In 2023, Indian exports amounted to $27 billion—a jump from $19 billion in 2018—reflecting a growth of 8% p.a. Most of these exports (more than 70%) are formulations, with bulk drugs and drug intermediates comprising approximately 20% (see Figure 6). Other export segments include vaccines, biosimilars, and innovative products (NCEs, NBEs). However, India’s pharma exports are underrepresented in most major markets. The market penetration of generic formulations exports, in terms of value, is below 5% in NAFTA, Europe, NEA, and LAC which together comprise more than 80% of the market (see Figure 7). While India is already focused on NAFTA, doubling down on Europe and NEA can drive growth. Since Europe is only 70% genericized, compared to the US at 90%, a sizeable opportunity exists in the EU. There is also room for growth in Indian biosimilars exports to NAFTA and Europe, where current exports by value comprise just 1.5% to 2% for NAFTA and 1% to 1.5% for Europe, signaling headroom for growth. There is also a great deal of potential to boost exports across segments. For instance, value growth in formulations is expected to stem from higher penetration of specialty generics in target markets. The China+1 theme is likely to boost Indian API exports and CDMO services. Vaccine exports are also expected to reach new heights by focusing on middle-income countries (MICs) in the short term and expanding into high-income countries (HICs) over the long term. The shift from focusing purely on pediatric vaccines to including adult vaccines will also drive growth. Investments in biosimilars are also expected to start yielding dividends in the coming decade. We predict the export of biosimilars to follow a similar trajectory as small molecule generics with a lag of nearly a decade. Exports of NCEs and NBEs are still nascent, but a focus on building R&amp;D capabilities and targeting high-growth new age treatment paradigms, such as cell and gene therapies, will be pivotal to the sustained long-term growth of these innovative products. India has a unique opportunity to more than double its pharmaceutical exports to $60 billion to $65 billion by 2030. If it focuses on the right drivers, it could even reach $350 billion by 2047, increasing its output sixfold (see Figure 8). This suggests that </w:t>
      </w:r>
      <w:r w:rsidRPr="00DD2D90">
        <w:rPr>
          <w:rStyle w:val="StyleUnderline"/>
        </w:rPr>
        <w:t>pharma’s share in India’s merchandise exports will increase to about 7% by 2047</w:t>
      </w:r>
      <w:r w:rsidRPr="009C4A5A">
        <w:rPr>
          <w:sz w:val="16"/>
        </w:rPr>
        <w:t xml:space="preserve"> from about 6% currently. Moreover, the share of high-value, complex products such as biosimilars and innovative products in India’s export basket will need to increase from less than 3% currently to 10% to 15% by 2047. API and generics: Strengthen the core The API and generic formulations market is poised for significant growth. Global API consumption is valued at close to $240 billion and is expected to grow by 6% p.a. to reach $350 billion by 2030. This will be driven by several factors, including the growing geriatric population; a rising prevalence of lifestyle-related and genetic diseases; requirements for new chemistries for targeted therapies, such as cytotoxins and antibody drug conjugates (ADCs) for cancer; and a rising demand for generics given the off-patenting of drugs. API exports: Will India gain from a push for supply-chain resilience?</w:t>
      </w:r>
    </w:p>
    <w:p w14:paraId="56972CA7" w14:textId="77777777" w:rsidR="00B0589A" w:rsidRPr="009C4A5A" w:rsidRDefault="00B0589A">
      <w:pPr>
        <w:rPr>
          <w:rFonts w:eastAsiaTheme="majorEastAsia" w:cstheme="majorBidi"/>
          <w:b/>
          <w:iCs/>
          <w:sz w:val="16"/>
        </w:rPr>
      </w:pPr>
      <w:r w:rsidRPr="009C4A5A">
        <w:rPr>
          <w:sz w:val="16"/>
        </w:rPr>
        <w:br w:type="page"/>
      </w:r>
    </w:p>
    <w:p w14:paraId="3D903866" w14:textId="77777777" w:rsidR="00FF0344" w:rsidRPr="00DD2D90" w:rsidRDefault="00FF0344" w:rsidP="009C4A5A">
      <w:pPr>
        <w:pStyle w:val="Heading4"/>
      </w:pPr>
      <w:r w:rsidRPr="00DD2D90">
        <w:t>Indian pharmaceutical leadership solves global disease</w:t>
      </w:r>
    </w:p>
    <w:p w14:paraId="60D07785" w14:textId="77777777" w:rsidR="00FF0344" w:rsidRPr="00DD2D90" w:rsidRDefault="00FF0344" w:rsidP="00FF0344">
      <w:r w:rsidRPr="009C4A5A">
        <w:rPr>
          <w:b/>
          <w:bCs/>
          <w:sz w:val="26"/>
          <w:szCs w:val="26"/>
        </w:rPr>
        <w:t>Kashyap 24</w:t>
      </w:r>
      <w:r w:rsidRPr="00DD2D90">
        <w:t xml:space="preserve"> [Karan Kashyap, Indian business journalist, 11-16-2024, "The Rise </w:t>
      </w:r>
      <w:proofErr w:type="gramStart"/>
      <w:r w:rsidRPr="00DD2D90">
        <w:t>Of</w:t>
      </w:r>
      <w:proofErr w:type="gramEnd"/>
      <w:r w:rsidRPr="00DD2D90">
        <w:t xml:space="preserve"> India’s Pharmaceutical Industry </w:t>
      </w:r>
      <w:proofErr w:type="gramStart"/>
      <w:r w:rsidRPr="00DD2D90">
        <w:t>To</w:t>
      </w:r>
      <w:proofErr w:type="gramEnd"/>
      <w:r w:rsidRPr="00DD2D90">
        <w:t xml:space="preserve"> </w:t>
      </w:r>
      <w:proofErr w:type="gramStart"/>
      <w:r w:rsidRPr="00DD2D90">
        <w:t>A</w:t>
      </w:r>
      <w:proofErr w:type="gramEnd"/>
      <w:r w:rsidRPr="00DD2D90">
        <w:t xml:space="preserve"> Forecasted $450 Billion", Forbes, https://www.forbes.com/sites/krnkashyap/2024/11/16/the-rise-of-indias-pharmaceutical-industry-to-a-forecasted-450-billion/]/Kankee</w:t>
      </w:r>
    </w:p>
    <w:p w14:paraId="071EAD10" w14:textId="773D0DE5" w:rsidR="00B0589A" w:rsidRPr="0092415E" w:rsidRDefault="00FF0344">
      <w:pPr>
        <w:rPr>
          <w:u w:val="single"/>
        </w:rPr>
      </w:pPr>
      <w:r w:rsidRPr="00DD2D90">
        <w:rPr>
          <w:rStyle w:val="StyleUnderline"/>
          <w:highlight w:val="green"/>
        </w:rPr>
        <w:t>India is showing</w:t>
      </w:r>
      <w:r w:rsidRPr="00DD2D90">
        <w:rPr>
          <w:rStyle w:val="StyleUnderline"/>
        </w:rPr>
        <w:t xml:space="preserve"> real </w:t>
      </w:r>
      <w:r w:rsidRPr="00DD2D90">
        <w:rPr>
          <w:rStyle w:val="StyleUnderline"/>
          <w:highlight w:val="green"/>
        </w:rPr>
        <w:t>commitment to r</w:t>
      </w:r>
      <w:r w:rsidRPr="00DD2D90">
        <w:rPr>
          <w:rStyle w:val="StyleUnderline"/>
        </w:rPr>
        <w:t xml:space="preserve">ealize its vision of </w:t>
      </w:r>
      <w:r w:rsidRPr="00DD2D90">
        <w:rPr>
          <w:rStyle w:val="StyleUnderline"/>
          <w:highlight w:val="green"/>
        </w:rPr>
        <w:t>becoming a</w:t>
      </w:r>
      <w:r w:rsidRPr="00DD2D90">
        <w:rPr>
          <w:rStyle w:val="StyleUnderline"/>
        </w:rPr>
        <w:t xml:space="preserve"> “</w:t>
      </w:r>
      <w:r w:rsidRPr="00DD2D90">
        <w:rPr>
          <w:rStyle w:val="Emphasis"/>
          <w:highlight w:val="green"/>
        </w:rPr>
        <w:t>pharmacy of the</w:t>
      </w:r>
      <w:r w:rsidRPr="00DD2D90">
        <w:rPr>
          <w:rStyle w:val="Emphasis"/>
        </w:rPr>
        <w:t xml:space="preserve"> </w:t>
      </w:r>
      <w:r w:rsidRPr="00DD2D90">
        <w:rPr>
          <w:rStyle w:val="Emphasis"/>
          <w:highlight w:val="green"/>
        </w:rPr>
        <w:t>world</w:t>
      </w:r>
      <w:r w:rsidRPr="009C4A5A">
        <w:rPr>
          <w:sz w:val="16"/>
        </w:rPr>
        <w:t xml:space="preserve">” by implementing policies and executing multiple projects </w:t>
      </w:r>
      <w:r w:rsidRPr="00DD2D90">
        <w:rPr>
          <w:rStyle w:val="StyleUnderline"/>
        </w:rPr>
        <w:t>to provide strong momentum to domestic pharmaceutical companies</w:t>
      </w:r>
      <w:r w:rsidRPr="009C4A5A">
        <w:rPr>
          <w:sz w:val="16"/>
        </w:rPr>
        <w:t xml:space="preserve"> and the market, </w:t>
      </w:r>
      <w:r w:rsidRPr="00DD2D90">
        <w:rPr>
          <w:rStyle w:val="StyleUnderline"/>
        </w:rPr>
        <w:t>including</w:t>
      </w:r>
      <w:r w:rsidRPr="009C4A5A">
        <w:rPr>
          <w:sz w:val="16"/>
        </w:rPr>
        <w:t xml:space="preserve"> </w:t>
      </w:r>
      <w:r w:rsidRPr="00DD2D90">
        <w:rPr>
          <w:rStyle w:val="StyleUnderline"/>
        </w:rPr>
        <w:t>its exports</w:t>
      </w:r>
      <w:r w:rsidRPr="009C4A5A">
        <w:rPr>
          <w:sz w:val="16"/>
        </w:rPr>
        <w:t xml:space="preserve"> of medicinal items. On October 29, while inaugurating a medical device manufacturing facility of Meril, under the Production Linked Incentive (PLI) scheme in Vapi in Gujarat state, Prime Minister Narendra Modi stated that “augmenting the healthcare infrastructure is our priority.” In 2024, India’s domestic drug market is expected to grow to reach $64 billion from $54.6 billion last year. As India’s middle class has grown to 41% of 1.4 billion citizens in the country, the higher disposable income amongst its citizens and growth of health insurance providers have made medicines more accessible. Furthermore the country is also witnessing a change in epidemiological profile amongst the population; cardiovascular diseases have now become the leading cause of death in India, accounting for 28.1% of all deaths. To cater to varied types of new demands for medicines, the Indian government has formulated a National Pharmaceutical Policy (NPP) that addresses the issue of drug pricing and accessibility. One of the primary objectives of NPP is to reduce prices of drugs by manufacturing of Active Pharmaceutical Ingredients (APIs) locally. India imports nearly 70% of its API requirements, primarily from China. The policy sets ambitious targets to increase the share of domestically produced APIs that would significantly enhance India's pharmaceutical security. Along with this, </w:t>
      </w:r>
      <w:r w:rsidRPr="00DD2D90">
        <w:rPr>
          <w:rStyle w:val="StyleUnderline"/>
        </w:rPr>
        <w:t xml:space="preserve">to innovate and to help Indian companies move up the value chain from generic drugs to novel drug discovery, </w:t>
      </w:r>
      <w:r w:rsidRPr="00DD2D90">
        <w:rPr>
          <w:rStyle w:val="StyleUnderline"/>
          <w:highlight w:val="green"/>
        </w:rPr>
        <w:t>India</w:t>
      </w:r>
      <w:r w:rsidRPr="00DD2D90">
        <w:rPr>
          <w:rStyle w:val="StyleUnderline"/>
        </w:rPr>
        <w:t xml:space="preserve"> has significantly </w:t>
      </w:r>
      <w:r w:rsidRPr="00DD2D90">
        <w:rPr>
          <w:rStyle w:val="StyleUnderline"/>
          <w:highlight w:val="green"/>
        </w:rPr>
        <w:t>liberalized</w:t>
      </w:r>
      <w:r w:rsidRPr="00DD2D90">
        <w:rPr>
          <w:rStyle w:val="StyleUnderline"/>
        </w:rPr>
        <w:t xml:space="preserve"> its</w:t>
      </w:r>
      <w:r w:rsidRPr="009C4A5A">
        <w:rPr>
          <w:sz w:val="16"/>
        </w:rPr>
        <w:t xml:space="preserve"> Foreign Direct Investment (</w:t>
      </w:r>
      <w:r w:rsidRPr="00DD2D90">
        <w:rPr>
          <w:rStyle w:val="StyleUnderline"/>
          <w:highlight w:val="green"/>
        </w:rPr>
        <w:t>FDI</w:t>
      </w:r>
      <w:r w:rsidRPr="009C4A5A">
        <w:rPr>
          <w:sz w:val="16"/>
        </w:rPr>
        <w:t xml:space="preserve">) policy, </w:t>
      </w:r>
      <w:r w:rsidRPr="00DD2D90">
        <w:rPr>
          <w:rStyle w:val="StyleUnderline"/>
          <w:highlight w:val="green"/>
        </w:rPr>
        <w:t>which</w:t>
      </w:r>
      <w:r w:rsidRPr="009C4A5A">
        <w:rPr>
          <w:sz w:val="16"/>
        </w:rPr>
        <w:t xml:space="preserve"> has also </w:t>
      </w:r>
      <w:r w:rsidRPr="00DD2D90">
        <w:rPr>
          <w:rStyle w:val="StyleUnderline"/>
        </w:rPr>
        <w:t>facilitated strategic partnerships between Indian and foreign pharmaceutical companies</w:t>
      </w:r>
      <w:r w:rsidRPr="009C4A5A">
        <w:rPr>
          <w:sz w:val="16"/>
        </w:rPr>
        <w:t xml:space="preserve">. One example is Sun Pharma and Merck Sharp &amp; Dohme (MSD) successfully partnering and commercializing tildrakizumab globally. Such </w:t>
      </w:r>
      <w:r w:rsidRPr="00DD2D90">
        <w:rPr>
          <w:rStyle w:val="StyleUnderline"/>
        </w:rPr>
        <w:t>collaborations have enabled Indian companies to access global markets and advanced technologies, and foreign companies have benefited from Indian companies’ cost-effective manufacturing capabilities, local knowledge, distribution and large talent pool</w:t>
      </w:r>
      <w:r w:rsidRPr="009C4A5A">
        <w:rPr>
          <w:sz w:val="16"/>
        </w:rPr>
        <w:t xml:space="preserve">. Other than drugs, the </w:t>
      </w:r>
      <w:r w:rsidRPr="00DD2D90">
        <w:rPr>
          <w:rStyle w:val="StyleUnderline"/>
        </w:rPr>
        <w:t>India</w:t>
      </w:r>
      <w:r w:rsidRPr="009C4A5A">
        <w:rPr>
          <w:sz w:val="16"/>
        </w:rPr>
        <w:t xml:space="preserve">n government </w:t>
      </w:r>
      <w:r w:rsidRPr="00DD2D90">
        <w:rPr>
          <w:rStyle w:val="StyleUnderline"/>
        </w:rPr>
        <w:t>is</w:t>
      </w:r>
      <w:r w:rsidRPr="009C4A5A">
        <w:rPr>
          <w:sz w:val="16"/>
        </w:rPr>
        <w:t xml:space="preserve"> also </w:t>
      </w:r>
      <w:r w:rsidRPr="00DD2D90">
        <w:rPr>
          <w:rStyle w:val="StyleUnderline"/>
        </w:rPr>
        <w:t>keen to expand its share in the global medical devices market from the current 1.5% to 12% by 2030</w:t>
      </w:r>
      <w:r w:rsidRPr="009C4A5A">
        <w:rPr>
          <w:sz w:val="16"/>
        </w:rPr>
        <w:t xml:space="preserve">. To achieve this goal, </w:t>
      </w:r>
      <w:r w:rsidRPr="00DD2D90">
        <w:rPr>
          <w:rStyle w:val="StyleUnderline"/>
        </w:rPr>
        <w:t xml:space="preserve">the government has initiated </w:t>
      </w:r>
      <w:r w:rsidRPr="00DD2D90">
        <w:rPr>
          <w:rStyle w:val="StyleUnderline"/>
          <w:highlight w:val="green"/>
        </w:rPr>
        <w:t>P</w:t>
      </w:r>
      <w:r w:rsidRPr="00DD2D90">
        <w:rPr>
          <w:rStyle w:val="StyleUnderline"/>
        </w:rPr>
        <w:t xml:space="preserve">roduction </w:t>
      </w:r>
      <w:r w:rsidRPr="00DD2D90">
        <w:rPr>
          <w:rStyle w:val="StyleUnderline"/>
          <w:highlight w:val="green"/>
        </w:rPr>
        <w:t>L</w:t>
      </w:r>
      <w:r w:rsidRPr="00DD2D90">
        <w:rPr>
          <w:rStyle w:val="StyleUnderline"/>
        </w:rPr>
        <w:t xml:space="preserve">inked </w:t>
      </w:r>
      <w:r w:rsidRPr="00DD2D90">
        <w:rPr>
          <w:rStyle w:val="StyleUnderline"/>
          <w:highlight w:val="green"/>
        </w:rPr>
        <w:t>I</w:t>
      </w:r>
      <w:r w:rsidRPr="00DD2D90">
        <w:rPr>
          <w:rStyle w:val="StyleUnderline"/>
        </w:rPr>
        <w:t>ncentive</w:t>
      </w:r>
      <w:r w:rsidRPr="009C4A5A">
        <w:rPr>
          <w:sz w:val="16"/>
        </w:rPr>
        <w:t xml:space="preserve"> (PLI) scheme, with a financial outlay of $400 million, </w:t>
      </w:r>
      <w:r w:rsidRPr="00DD2D90">
        <w:rPr>
          <w:rStyle w:val="StyleUnderline"/>
        </w:rPr>
        <w:t xml:space="preserve">to </w:t>
      </w:r>
      <w:r w:rsidRPr="00DD2D90">
        <w:rPr>
          <w:rStyle w:val="StyleUnderline"/>
          <w:highlight w:val="green"/>
        </w:rPr>
        <w:t>attract</w:t>
      </w:r>
      <w:r w:rsidRPr="00DD2D90">
        <w:rPr>
          <w:rStyle w:val="StyleUnderline"/>
        </w:rPr>
        <w:t xml:space="preserve"> large </w:t>
      </w:r>
      <w:r w:rsidRPr="00DD2D90">
        <w:rPr>
          <w:rStyle w:val="StyleUnderline"/>
          <w:highlight w:val="green"/>
        </w:rPr>
        <w:t>private sector investments</w:t>
      </w:r>
      <w:r w:rsidRPr="009C4A5A">
        <w:rPr>
          <w:sz w:val="16"/>
        </w:rPr>
        <w:t xml:space="preserve"> in manufacturing of cancer care devices, radiology and imaging devices, anesthetics devices, and implants. </w:t>
      </w:r>
      <w:r w:rsidRPr="00DD2D90">
        <w:rPr>
          <w:rStyle w:val="StyleUnderline"/>
          <w:highlight w:val="green"/>
        </w:rPr>
        <w:t>Because of the</w:t>
      </w:r>
      <w:r w:rsidRPr="00DD2D90">
        <w:rPr>
          <w:rStyle w:val="StyleUnderline"/>
        </w:rPr>
        <w:t xml:space="preserve"> Indian government’s </w:t>
      </w:r>
      <w:r w:rsidRPr="00DD2D90">
        <w:rPr>
          <w:rStyle w:val="StyleUnderline"/>
          <w:highlight w:val="green"/>
        </w:rPr>
        <w:t>focus on foreign</w:t>
      </w:r>
      <w:r w:rsidRPr="00DD2D90">
        <w:rPr>
          <w:rStyle w:val="StyleUnderline"/>
        </w:rPr>
        <w:t xml:space="preserve"> </w:t>
      </w:r>
      <w:r w:rsidRPr="00DD2D90">
        <w:rPr>
          <w:rStyle w:val="StyleUnderline"/>
          <w:highlight w:val="green"/>
        </w:rPr>
        <w:t>trade in healthcare</w:t>
      </w:r>
      <w:r w:rsidRPr="00DD2D90">
        <w:rPr>
          <w:rStyle w:val="StyleUnderline"/>
        </w:rPr>
        <w:t xml:space="preserve"> sector, </w:t>
      </w:r>
      <w:r w:rsidRPr="00DD2D90">
        <w:rPr>
          <w:rStyle w:val="StyleUnderline"/>
          <w:highlight w:val="green"/>
        </w:rPr>
        <w:t>India’s</w:t>
      </w:r>
      <w:r w:rsidRPr="00DD2D90">
        <w:rPr>
          <w:rStyle w:val="StyleUnderline"/>
        </w:rPr>
        <w:t xml:space="preserve"> drug and </w:t>
      </w:r>
      <w:r w:rsidRPr="00DD2D90">
        <w:rPr>
          <w:rStyle w:val="StyleUnderline"/>
          <w:highlight w:val="green"/>
        </w:rPr>
        <w:t>pharma</w:t>
      </w:r>
      <w:r w:rsidRPr="00DD2D90">
        <w:rPr>
          <w:rStyle w:val="StyleUnderline"/>
        </w:rPr>
        <w:t xml:space="preserve">ceutical </w:t>
      </w:r>
      <w:r w:rsidRPr="00DD2D90">
        <w:rPr>
          <w:rStyle w:val="StyleUnderline"/>
          <w:highlight w:val="green"/>
        </w:rPr>
        <w:t>exports have increased from $2.13 billion in 2023 to</w:t>
      </w:r>
      <w:r w:rsidRPr="00DD2D90">
        <w:rPr>
          <w:rStyle w:val="StyleUnderline"/>
        </w:rPr>
        <w:t xml:space="preserve"> </w:t>
      </w:r>
      <w:r w:rsidRPr="00DD2D90">
        <w:rPr>
          <w:rStyle w:val="StyleUnderline"/>
          <w:highlight w:val="green"/>
        </w:rPr>
        <w:t>$2.31 billion in 2024</w:t>
      </w:r>
      <w:r w:rsidRPr="009C4A5A">
        <w:rPr>
          <w:sz w:val="16"/>
        </w:rPr>
        <w:t xml:space="preserve">. Medicines and Med Tech devices have become the fourth largest merchandise export item for the Indian economy. In terms of share in global markets, India supplies 40% of the generic drug demand in the U.S. and provides a quarter of all medicines in the UK. Moreover </w:t>
      </w:r>
      <w:r w:rsidRPr="00DD2D90">
        <w:rPr>
          <w:rStyle w:val="StyleUnderline"/>
        </w:rPr>
        <w:t xml:space="preserve">it currently commands over </w:t>
      </w:r>
      <w:r w:rsidRPr="00DD2D90">
        <w:rPr>
          <w:rStyle w:val="Emphasis"/>
        </w:rPr>
        <w:t xml:space="preserve">20% </w:t>
      </w:r>
      <w:r w:rsidRPr="00DD2D90">
        <w:rPr>
          <w:rStyle w:val="StyleUnderline"/>
        </w:rPr>
        <w:t xml:space="preserve">share of the global pharma supply chain, and addresses approximately </w:t>
      </w:r>
      <w:r w:rsidRPr="00DD2D90">
        <w:rPr>
          <w:rStyle w:val="Emphasis"/>
        </w:rPr>
        <w:t>60%</w:t>
      </w:r>
      <w:r w:rsidRPr="00DD2D90">
        <w:rPr>
          <w:rStyle w:val="StyleUnderline"/>
        </w:rPr>
        <w:t xml:space="preserve"> of the worldwide demand for vaccines</w:t>
      </w:r>
      <w:r w:rsidRPr="009C4A5A">
        <w:rPr>
          <w:sz w:val="16"/>
        </w:rPr>
        <w:t xml:space="preserve">. Along with this, by focusing on the quality of medicines being produced, </w:t>
      </w:r>
      <w:r w:rsidRPr="00DD2D90">
        <w:rPr>
          <w:rStyle w:val="StyleUnderline"/>
        </w:rPr>
        <w:t>it now has over 650 U.S. FDA-approved plant sites</w:t>
      </w:r>
      <w:r w:rsidRPr="009C4A5A">
        <w:rPr>
          <w:sz w:val="16"/>
        </w:rPr>
        <w:t xml:space="preserve">, the highest outside the U.S., providing a strong base for conducting clinical trials and developing new drugs. To make India more competitive, the corporate tax rate has been slashed to 22% for existing companies and 15% for new manufacturing companies. The Indian government has strengthened intellectual property laws and is also offering a concessional tax rate of 10% on income from patents developed and registered in India. While aspiring to play a crucial role of Vasudhaiva Kutumbakam, India has formed collaborations with developed nations in healthcare sector. In September 2024, </w:t>
      </w:r>
      <w:r w:rsidRPr="00DD2D90">
        <w:rPr>
          <w:rStyle w:val="StyleUnderline"/>
          <w:highlight w:val="green"/>
        </w:rPr>
        <w:t>it</w:t>
      </w:r>
      <w:r w:rsidRPr="009C4A5A">
        <w:rPr>
          <w:sz w:val="16"/>
        </w:rPr>
        <w:t xml:space="preserve"> has </w:t>
      </w:r>
      <w:r w:rsidRPr="00DD2D90">
        <w:rPr>
          <w:rStyle w:val="StyleUnderline"/>
          <w:highlight w:val="green"/>
        </w:rPr>
        <w:t>signed the Quad Cancer Moonshot Initiative</w:t>
      </w:r>
      <w:r w:rsidRPr="00DD2D90">
        <w:rPr>
          <w:rStyle w:val="StyleUnderline"/>
        </w:rPr>
        <w:t xml:space="preserve"> agreement with Japan, the U.S. and Australia, to make the country the center for</w:t>
      </w:r>
      <w:r w:rsidRPr="009C4A5A">
        <w:rPr>
          <w:sz w:val="16"/>
        </w:rPr>
        <w:t xml:space="preserve"> developing </w:t>
      </w:r>
      <w:r w:rsidRPr="00DD2D90">
        <w:rPr>
          <w:rStyle w:val="StyleUnderline"/>
        </w:rPr>
        <w:t>pharmaceutical research and development of cancer</w:t>
      </w:r>
      <w:r w:rsidRPr="009C4A5A">
        <w:rPr>
          <w:sz w:val="16"/>
        </w:rPr>
        <w:t xml:space="preserve"> </w:t>
      </w:r>
      <w:r w:rsidRPr="00DD2D90">
        <w:rPr>
          <w:rStyle w:val="StyleUnderline"/>
        </w:rPr>
        <w:t>care</w:t>
      </w:r>
      <w:r w:rsidRPr="009C4A5A">
        <w:rPr>
          <w:sz w:val="16"/>
        </w:rPr>
        <w:t xml:space="preserve"> in Indo-Pacific region. </w:t>
      </w:r>
      <w:r w:rsidRPr="00DD2D90">
        <w:rPr>
          <w:rStyle w:val="StyleUnderline"/>
        </w:rPr>
        <w:t>International agreements</w:t>
      </w:r>
      <w:r w:rsidRPr="009C4A5A">
        <w:rPr>
          <w:sz w:val="16"/>
        </w:rPr>
        <w:t xml:space="preserve">, along with domestic schemes and reforms </w:t>
      </w:r>
      <w:r w:rsidRPr="00DD2D90">
        <w:rPr>
          <w:rStyle w:val="StyleUnderline"/>
        </w:rPr>
        <w:t>are expected to have a transformative impact on India's pharmaceutical sector</w:t>
      </w:r>
      <w:r w:rsidRPr="009C4A5A">
        <w:rPr>
          <w:sz w:val="16"/>
        </w:rPr>
        <w:t xml:space="preserve">. In 2023, </w:t>
      </w:r>
      <w:r w:rsidRPr="00DD2D90">
        <w:rPr>
          <w:rStyle w:val="StyleUnderline"/>
        </w:rPr>
        <w:t>a maximum number of patent applications were filed from the pharmaceutical sector</w:t>
      </w:r>
      <w:r w:rsidRPr="009C4A5A">
        <w:rPr>
          <w:sz w:val="16"/>
        </w:rPr>
        <w:t xml:space="preserve">. In the next six years the Indian </w:t>
      </w:r>
      <w:r w:rsidRPr="00DD2D90">
        <w:rPr>
          <w:rStyle w:val="StyleUnderline"/>
          <w:highlight w:val="green"/>
        </w:rPr>
        <w:t>pharma</w:t>
      </w:r>
      <w:r w:rsidRPr="00DD2D90">
        <w:rPr>
          <w:rStyle w:val="StyleUnderline"/>
        </w:rPr>
        <w:t xml:space="preserve"> sector </w:t>
      </w:r>
      <w:r w:rsidRPr="00DD2D90">
        <w:rPr>
          <w:rStyle w:val="StyleUnderline"/>
          <w:highlight w:val="green"/>
        </w:rPr>
        <w:t xml:space="preserve">is projected to </w:t>
      </w:r>
      <w:r w:rsidRPr="00DD2D90">
        <w:rPr>
          <w:rStyle w:val="Emphasis"/>
          <w:highlight w:val="green"/>
        </w:rPr>
        <w:t>more than double</w:t>
      </w:r>
      <w:r w:rsidRPr="00DD2D90">
        <w:rPr>
          <w:rStyle w:val="StyleUnderline"/>
          <w:highlight w:val="green"/>
        </w:rPr>
        <w:t xml:space="preserve"> its value to </w:t>
      </w:r>
      <w:r w:rsidRPr="00DD2D90">
        <w:rPr>
          <w:rStyle w:val="Emphasis"/>
          <w:highlight w:val="green"/>
        </w:rPr>
        <w:t>$130 billion</w:t>
      </w:r>
      <w:r w:rsidRPr="009C4A5A">
        <w:rPr>
          <w:sz w:val="16"/>
        </w:rPr>
        <w:t xml:space="preserve">. </w:t>
      </w:r>
      <w:r w:rsidRPr="00DD2D90">
        <w:rPr>
          <w:rStyle w:val="StyleUnderline"/>
        </w:rPr>
        <w:t xml:space="preserve">And </w:t>
      </w:r>
      <w:r w:rsidRPr="00DD2D90">
        <w:rPr>
          <w:rStyle w:val="StyleUnderline"/>
          <w:highlight w:val="green"/>
        </w:rPr>
        <w:t xml:space="preserve">by 2047, India’s drug industry is projected to reach </w:t>
      </w:r>
      <w:r w:rsidRPr="00DD2D90">
        <w:rPr>
          <w:rStyle w:val="Emphasis"/>
          <w:highlight w:val="green"/>
        </w:rPr>
        <w:t>$450 billion</w:t>
      </w:r>
      <w:r w:rsidRPr="009C4A5A">
        <w:rPr>
          <w:sz w:val="16"/>
        </w:rPr>
        <w:t xml:space="preserve">. However, challenges remain. Ensuring consistent quality standards, addressing problem of counterfeits, price restrictions impacting companies’ profitability and effectively tracking regulatory compliance are some of the key issues that need to be navigated. “Despite the challenges, </w:t>
      </w:r>
      <w:r w:rsidRPr="00DD2D90">
        <w:rPr>
          <w:rStyle w:val="StyleUnderline"/>
          <w:highlight w:val="green"/>
        </w:rPr>
        <w:t>India aims to become the world's largest pharmaceutical market by volume</w:t>
      </w:r>
      <w:r w:rsidRPr="009C4A5A">
        <w:rPr>
          <w:sz w:val="16"/>
        </w:rPr>
        <w:t>, and rank amongst the top five pharma sectors by value,” according to Dr. Kanica Rakhra, Asia Global Fellow at the University of Hong Kong. “</w:t>
      </w:r>
      <w:r w:rsidRPr="00DD2D90">
        <w:rPr>
          <w:rStyle w:val="StyleUnderline"/>
        </w:rPr>
        <w:t xml:space="preserve">These ambitious </w:t>
      </w:r>
      <w:r w:rsidRPr="00DD2D90">
        <w:rPr>
          <w:rStyle w:val="StyleUnderline"/>
          <w:highlight w:val="green"/>
        </w:rPr>
        <w:t>goals</w:t>
      </w:r>
      <w:r w:rsidRPr="00DD2D90">
        <w:rPr>
          <w:rStyle w:val="StyleUnderline"/>
        </w:rPr>
        <w:t xml:space="preserve">, if realized, </w:t>
      </w:r>
      <w:r w:rsidRPr="00DD2D90">
        <w:rPr>
          <w:rStyle w:val="StyleUnderline"/>
          <w:highlight w:val="green"/>
        </w:rPr>
        <w:t>will</w:t>
      </w:r>
      <w:r w:rsidRPr="00DD2D90">
        <w:rPr>
          <w:rStyle w:val="StyleUnderline"/>
        </w:rPr>
        <w:t xml:space="preserve"> not only </w:t>
      </w:r>
      <w:r w:rsidRPr="00DD2D90">
        <w:rPr>
          <w:rStyle w:val="StyleUnderline"/>
          <w:highlight w:val="green"/>
        </w:rPr>
        <w:t xml:space="preserve">boost India's economy but </w:t>
      </w:r>
      <w:r w:rsidRPr="00DD2D90">
        <w:rPr>
          <w:rStyle w:val="StyleUnderline"/>
        </w:rPr>
        <w:t xml:space="preserve">also </w:t>
      </w:r>
      <w:r w:rsidRPr="00DD2D90">
        <w:rPr>
          <w:rStyle w:val="StyleUnderline"/>
          <w:highlight w:val="green"/>
        </w:rPr>
        <w:t xml:space="preserve">contribute </w:t>
      </w:r>
      <w:r w:rsidRPr="00DD2D90">
        <w:rPr>
          <w:rStyle w:val="StyleUnderline"/>
        </w:rPr>
        <w:t xml:space="preserve">significantly </w:t>
      </w:r>
      <w:r w:rsidRPr="00DD2D90">
        <w:rPr>
          <w:rStyle w:val="StyleUnderline"/>
          <w:highlight w:val="green"/>
        </w:rPr>
        <w:t>to global</w:t>
      </w:r>
      <w:r w:rsidRPr="00DD2D90">
        <w:rPr>
          <w:rStyle w:val="StyleUnderline"/>
        </w:rPr>
        <w:t xml:space="preserve"> </w:t>
      </w:r>
      <w:r w:rsidRPr="00DD2D90">
        <w:rPr>
          <w:rStyle w:val="StyleUnderline"/>
          <w:highlight w:val="green"/>
        </w:rPr>
        <w:t xml:space="preserve">health </w:t>
      </w:r>
      <w:r w:rsidRPr="00DD2D90">
        <w:rPr>
          <w:rStyle w:val="StyleUnderline"/>
        </w:rPr>
        <w:t xml:space="preserve">security, </w:t>
      </w:r>
      <w:r w:rsidRPr="00DD2D90">
        <w:rPr>
          <w:rStyle w:val="StyleUnderline"/>
          <w:highlight w:val="green"/>
        </w:rPr>
        <w:t>by providing affordable</w:t>
      </w:r>
      <w:r w:rsidRPr="00DD2D90">
        <w:rPr>
          <w:rStyle w:val="StyleUnderline"/>
        </w:rPr>
        <w:t xml:space="preserve"> </w:t>
      </w:r>
      <w:r w:rsidRPr="00DD2D90">
        <w:rPr>
          <w:rStyle w:val="StyleUnderline"/>
          <w:highlight w:val="green"/>
        </w:rPr>
        <w:t>medicines</w:t>
      </w:r>
      <w:r w:rsidRPr="00DD2D90">
        <w:rPr>
          <w:rStyle w:val="StyleUnderline"/>
        </w:rPr>
        <w:t xml:space="preserve"> and medical devices </w:t>
      </w:r>
      <w:r w:rsidRPr="00DD2D90">
        <w:rPr>
          <w:rStyle w:val="StyleUnderline"/>
          <w:highlight w:val="green"/>
        </w:rPr>
        <w:t>to</w:t>
      </w:r>
      <w:r w:rsidRPr="00DD2D90">
        <w:rPr>
          <w:rStyle w:val="StyleUnderline"/>
        </w:rPr>
        <w:t xml:space="preserve"> both </w:t>
      </w:r>
      <w:r w:rsidRPr="00DD2D90">
        <w:rPr>
          <w:rStyle w:val="StyleUnderline"/>
          <w:highlight w:val="green"/>
        </w:rPr>
        <w:t>developing</w:t>
      </w:r>
      <w:r w:rsidRPr="00DD2D90">
        <w:rPr>
          <w:rStyle w:val="StyleUnderline"/>
        </w:rPr>
        <w:t xml:space="preserve"> and developed </w:t>
      </w:r>
      <w:r w:rsidRPr="00DD2D90">
        <w:rPr>
          <w:rStyle w:val="StyleUnderline"/>
          <w:highlight w:val="green"/>
        </w:rPr>
        <w:t>nations</w:t>
      </w:r>
      <w:r w:rsidRPr="009C4A5A">
        <w:rPr>
          <w:sz w:val="16"/>
        </w:rPr>
        <w:t xml:space="preserve">.” With strong foundation in generic drug manufacturing, expansion of Contract Research and Manufacturing Services (CRAMS) capabilities and increasing focus on innovation, </w:t>
      </w:r>
      <w:r w:rsidRPr="00DD2D90">
        <w:rPr>
          <w:rStyle w:val="StyleUnderline"/>
          <w:highlight w:val="green"/>
        </w:rPr>
        <w:t>the country is well-positioned to</w:t>
      </w:r>
      <w:r w:rsidRPr="00DD2D90">
        <w:rPr>
          <w:rStyle w:val="StyleUnderline"/>
        </w:rPr>
        <w:t xml:space="preserve"> realize its vision of </w:t>
      </w:r>
      <w:r w:rsidRPr="00DD2D90">
        <w:rPr>
          <w:rStyle w:val="StyleUnderline"/>
          <w:highlight w:val="green"/>
        </w:rPr>
        <w:t>becoming a</w:t>
      </w:r>
      <w:r w:rsidRPr="00DD2D90">
        <w:rPr>
          <w:rStyle w:val="StyleUnderline"/>
        </w:rPr>
        <w:t xml:space="preserve"> global </w:t>
      </w:r>
      <w:r w:rsidRPr="00DD2D90">
        <w:rPr>
          <w:rStyle w:val="StyleUnderline"/>
          <w:highlight w:val="green"/>
        </w:rPr>
        <w:t>pharma</w:t>
      </w:r>
      <w:r w:rsidRPr="00DD2D90">
        <w:rPr>
          <w:rStyle w:val="StyleUnderline"/>
        </w:rPr>
        <w:t xml:space="preserve">ceutical </w:t>
      </w:r>
      <w:r w:rsidRPr="00DD2D90">
        <w:rPr>
          <w:rStyle w:val="StyleUnderline"/>
          <w:highlight w:val="green"/>
        </w:rPr>
        <w:t>powerhouse that plays a crucial role in eradicating</w:t>
      </w:r>
      <w:r w:rsidRPr="00DD2D90">
        <w:rPr>
          <w:rStyle w:val="StyleUnderline"/>
        </w:rPr>
        <w:t xml:space="preserve"> </w:t>
      </w:r>
      <w:r w:rsidRPr="00DD2D90">
        <w:rPr>
          <w:rStyle w:val="StyleUnderline"/>
          <w:highlight w:val="green"/>
        </w:rPr>
        <w:t>diseases worldwide.</w:t>
      </w:r>
    </w:p>
    <w:sectPr w:rsidR="00B0589A" w:rsidRPr="0092415E" w:rsidSect="004C5C14">
      <w:headerReference w:type="default" r:id="rId34"/>
      <w:footerReference w:type="defaul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AD202" w14:textId="77777777" w:rsidR="00F80D79" w:rsidRDefault="00F80D79" w:rsidP="000C05A6">
      <w:pPr>
        <w:spacing w:after="0" w:line="240" w:lineRule="auto"/>
      </w:pPr>
      <w:r>
        <w:separator/>
      </w:r>
    </w:p>
  </w:endnote>
  <w:endnote w:type="continuationSeparator" w:id="0">
    <w:p w14:paraId="40B309DC" w14:textId="77777777" w:rsidR="00F80D79" w:rsidRDefault="00F80D79" w:rsidP="000C0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2327531"/>
      <w:docPartObj>
        <w:docPartGallery w:val="Page Numbers (Bottom of Page)"/>
        <w:docPartUnique/>
      </w:docPartObj>
    </w:sdtPr>
    <w:sdtEndPr>
      <w:rPr>
        <w:noProof/>
      </w:rPr>
    </w:sdtEndPr>
    <w:sdtContent>
      <w:p w14:paraId="61BCEE8C" w14:textId="6D224328" w:rsidR="004C5C14" w:rsidRPr="002E5585" w:rsidRDefault="004C5C14" w:rsidP="004C5C14">
        <w:pPr>
          <w:pStyle w:val="Footer"/>
          <w:jc w:val="center"/>
          <w:rPr>
            <w:rFonts w:ascii="Arial Black" w:hAnsi="Arial Black"/>
          </w:rPr>
        </w:pPr>
        <w:r w:rsidRPr="004C5C14">
          <w:rPr>
            <w:b/>
            <w:bCs/>
            <w14:textOutline w14:w="9525" w14:cap="rnd" w14:cmpd="sng" w14:algn="ctr">
              <w14:solidFill>
                <w14:srgbClr w14:val="000000"/>
              </w14:solidFill>
              <w14:prstDash w14:val="solid"/>
              <w14:bevel/>
            </w14:textOutline>
          </w:rPr>
          <w:fldChar w:fldCharType="begin"/>
        </w:r>
        <w:r w:rsidRPr="004C5C14">
          <w:rPr>
            <w:b/>
            <w:bCs/>
            <w14:textOutline w14:w="9525" w14:cap="rnd" w14:cmpd="sng" w14:algn="ctr">
              <w14:solidFill>
                <w14:srgbClr w14:val="000000"/>
              </w14:solidFill>
              <w14:prstDash w14:val="solid"/>
              <w14:bevel/>
            </w14:textOutline>
          </w:rPr>
          <w:instrText xml:space="preserve"> PAGE   \* MERGEFORMAT </w:instrText>
        </w:r>
        <w:r w:rsidRPr="004C5C14">
          <w:rPr>
            <w:b/>
            <w:bCs/>
            <w14:textOutline w14:w="9525" w14:cap="rnd" w14:cmpd="sng" w14:algn="ctr">
              <w14:solidFill>
                <w14:srgbClr w14:val="000000"/>
              </w14:solidFill>
              <w14:prstDash w14:val="solid"/>
              <w14:bevel/>
            </w14:textOutline>
          </w:rPr>
          <w:fldChar w:fldCharType="separate"/>
        </w:r>
        <w:r w:rsidRPr="004C5C14">
          <w:rPr>
            <w:b/>
            <w:bCs/>
            <w:noProof/>
            <w14:textOutline w14:w="9525" w14:cap="rnd" w14:cmpd="sng" w14:algn="ctr">
              <w14:solidFill>
                <w14:srgbClr w14:val="000000"/>
              </w14:solidFill>
              <w14:prstDash w14:val="solid"/>
              <w14:bevel/>
            </w14:textOutline>
          </w:rPr>
          <w:t>2</w:t>
        </w:r>
        <w:r w:rsidRPr="004C5C14">
          <w:rPr>
            <w:b/>
            <w:bCs/>
            <w:noProof/>
            <w14:textOutline w14:w="9525" w14:cap="rnd" w14:cmpd="sng" w14:algn="ctr">
              <w14:solidFill>
                <w14:srgbClr w14:val="000000"/>
              </w14:solidFill>
              <w14:prstDash w14:val="solid"/>
              <w14:bevel/>
            </w14:textOutline>
          </w:rPr>
          <w:fldChar w:fldCharType="end"/>
        </w:r>
      </w:p>
      <w:p w14:paraId="79045018" w14:textId="28185B1C" w:rsidR="004C5C14" w:rsidRDefault="00F71643">
        <w:pPr>
          <w:pStyle w:val="Footer"/>
          <w:jc w:val="center"/>
        </w:pPr>
      </w:p>
    </w:sdtContent>
  </w:sdt>
  <w:p w14:paraId="41C29917" w14:textId="77777777" w:rsidR="008E46B7" w:rsidRDefault="008E4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8084A" w14:textId="77777777" w:rsidR="00F80D79" w:rsidRDefault="00F80D79" w:rsidP="000C05A6">
      <w:pPr>
        <w:spacing w:after="0" w:line="240" w:lineRule="auto"/>
      </w:pPr>
      <w:r>
        <w:separator/>
      </w:r>
    </w:p>
  </w:footnote>
  <w:footnote w:type="continuationSeparator" w:id="0">
    <w:p w14:paraId="20BED734" w14:textId="77777777" w:rsidR="00F80D79" w:rsidRDefault="00F80D79" w:rsidP="000C05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466"/>
      <w:gridCol w:w="894"/>
    </w:tblGrid>
    <w:tr w:rsidR="008E46B7" w14:paraId="49505C2A" w14:textId="77777777" w:rsidTr="002E5585">
      <w:trPr>
        <w:jc w:val="right"/>
      </w:trPr>
      <w:tc>
        <w:tcPr>
          <w:tcW w:w="0" w:type="auto"/>
          <w:shd w:val="clear" w:color="auto" w:fill="B43E1F"/>
          <w:vAlign w:val="center"/>
        </w:tcPr>
        <w:p w14:paraId="1067D891" w14:textId="105F02B5" w:rsidR="008E46B7" w:rsidRPr="002E5585" w:rsidRDefault="00981B35">
          <w:pPr>
            <w:pStyle w:val="Header"/>
            <w:rPr>
              <w:rFonts w:ascii="Arial Black" w:hAnsi="Arial Black"/>
              <w:caps/>
              <w:color w:val="FFFFFF" w:themeColor="background1"/>
            </w:rPr>
          </w:pPr>
          <w:r>
            <w:rPr>
              <w:rFonts w:ascii="Arial Black" w:hAnsi="Arial Black"/>
              <w:caps/>
              <w:color w:val="000000" w:themeColor="text1"/>
            </w:rPr>
            <w:t>Kankee Briefs</w:t>
          </w:r>
        </w:p>
      </w:tc>
      <w:tc>
        <w:tcPr>
          <w:tcW w:w="0" w:type="auto"/>
          <w:shd w:val="clear" w:color="auto" w:fill="B43E1F"/>
          <w:vAlign w:val="center"/>
        </w:tcPr>
        <w:p w14:paraId="7AEBF62F" w14:textId="77777777" w:rsidR="008E46B7" w:rsidRDefault="008E46B7" w:rsidP="002E5585">
          <w:pPr>
            <w:pStyle w:val="Header"/>
            <w:jc w:val="right"/>
            <w:rPr>
              <w:caps/>
              <w:color w:val="FFFFFF" w:themeColor="background1"/>
            </w:rPr>
          </w:pPr>
          <w:r>
            <w:rPr>
              <w:caps/>
              <w:color w:val="FFFFFF" w:themeColor="background1"/>
            </w:rPr>
            <w:t xml:space="preserve"> </w:t>
          </w:r>
        </w:p>
      </w:tc>
    </w:tr>
  </w:tbl>
  <w:p w14:paraId="2AEC9119" w14:textId="77777777" w:rsidR="008E46B7" w:rsidRDefault="008E4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C22E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D20C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E60F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C7285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032FF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D2E7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6EDE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164F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E2A4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EED66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0C421C"/>
    <w:multiLevelType w:val="multilevel"/>
    <w:tmpl w:val="EB36F710"/>
    <w:lvl w:ilvl="0">
      <w:start w:val="1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15010F"/>
    <w:multiLevelType w:val="multilevel"/>
    <w:tmpl w:val="AD369B88"/>
    <w:lvl w:ilvl="0">
      <w:start w:val="1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F179B8"/>
    <w:multiLevelType w:val="multilevel"/>
    <w:tmpl w:val="AAE23D6A"/>
    <w:lvl w:ilvl="0">
      <w:start w:val="1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D61E7F"/>
    <w:multiLevelType w:val="hybridMultilevel"/>
    <w:tmpl w:val="CD68C136"/>
    <w:lvl w:ilvl="0" w:tplc="E3AA7A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002175"/>
    <w:multiLevelType w:val="hybridMultilevel"/>
    <w:tmpl w:val="DAAEE846"/>
    <w:lvl w:ilvl="0" w:tplc="07C4530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820AA6"/>
    <w:multiLevelType w:val="multilevel"/>
    <w:tmpl w:val="514E97B6"/>
    <w:lvl w:ilvl="0">
      <w:start w:val="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D75608"/>
    <w:multiLevelType w:val="hybridMultilevel"/>
    <w:tmpl w:val="8A569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E65564"/>
    <w:multiLevelType w:val="hybridMultilevel"/>
    <w:tmpl w:val="0D26D45C"/>
    <w:lvl w:ilvl="0" w:tplc="FC66A1F6">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954744"/>
    <w:multiLevelType w:val="multilevel"/>
    <w:tmpl w:val="A2482C68"/>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C3849CC"/>
    <w:multiLevelType w:val="multilevel"/>
    <w:tmpl w:val="D396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AC7175"/>
    <w:multiLevelType w:val="hybridMultilevel"/>
    <w:tmpl w:val="DA0CB928"/>
    <w:lvl w:ilvl="0" w:tplc="4A5AB6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DC22FE"/>
    <w:multiLevelType w:val="hybridMultilevel"/>
    <w:tmpl w:val="49DAAC0E"/>
    <w:lvl w:ilvl="0" w:tplc="C65414A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39841D3"/>
    <w:multiLevelType w:val="hybridMultilevel"/>
    <w:tmpl w:val="8326AB2E"/>
    <w:lvl w:ilvl="0" w:tplc="61C4FF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5E16DC"/>
    <w:multiLevelType w:val="multilevel"/>
    <w:tmpl w:val="38DA858A"/>
    <w:lvl w:ilvl="0">
      <w:start w:val="1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FA4439"/>
    <w:multiLevelType w:val="hybridMultilevel"/>
    <w:tmpl w:val="5A0034F6"/>
    <w:lvl w:ilvl="0" w:tplc="C65414A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8056C3"/>
    <w:multiLevelType w:val="hybridMultilevel"/>
    <w:tmpl w:val="CAFE3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C17CE4"/>
    <w:multiLevelType w:val="multilevel"/>
    <w:tmpl w:val="37727BE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E3B4CBB"/>
    <w:multiLevelType w:val="hybridMultilevel"/>
    <w:tmpl w:val="CE227572"/>
    <w:lvl w:ilvl="0" w:tplc="87C65044">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0C09EF"/>
    <w:multiLevelType w:val="multilevel"/>
    <w:tmpl w:val="73C4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F07F83"/>
    <w:multiLevelType w:val="multilevel"/>
    <w:tmpl w:val="5476C51A"/>
    <w:lvl w:ilvl="0">
      <w:start w:val="10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AAB6D31"/>
    <w:multiLevelType w:val="hybridMultilevel"/>
    <w:tmpl w:val="023875EC"/>
    <w:lvl w:ilvl="0" w:tplc="A258888C">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B15C4C"/>
    <w:multiLevelType w:val="multilevel"/>
    <w:tmpl w:val="282205C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4BF1A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7252BF0"/>
    <w:multiLevelType w:val="hybridMultilevel"/>
    <w:tmpl w:val="4168BD44"/>
    <w:lvl w:ilvl="0" w:tplc="F30A8686">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4B0717"/>
    <w:multiLevelType w:val="hybridMultilevel"/>
    <w:tmpl w:val="74B4AC9C"/>
    <w:lvl w:ilvl="0" w:tplc="C65414A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D77971"/>
    <w:multiLevelType w:val="hybridMultilevel"/>
    <w:tmpl w:val="680E6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C64A7A"/>
    <w:multiLevelType w:val="multilevel"/>
    <w:tmpl w:val="034256D0"/>
    <w:lvl w:ilvl="0">
      <w:start w:val="1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F66738"/>
    <w:multiLevelType w:val="multilevel"/>
    <w:tmpl w:val="1A2E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6F0559"/>
    <w:multiLevelType w:val="hybridMultilevel"/>
    <w:tmpl w:val="74763ADA"/>
    <w:lvl w:ilvl="0" w:tplc="2FD8FB26">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E22C91"/>
    <w:multiLevelType w:val="multilevel"/>
    <w:tmpl w:val="D38C4136"/>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EC813DF"/>
    <w:multiLevelType w:val="hybridMultilevel"/>
    <w:tmpl w:val="BD5887EA"/>
    <w:lvl w:ilvl="0" w:tplc="B4F0EF24">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427290"/>
    <w:multiLevelType w:val="hybridMultilevel"/>
    <w:tmpl w:val="236E9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435172"/>
    <w:multiLevelType w:val="hybridMultilevel"/>
    <w:tmpl w:val="C47E8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A385919"/>
    <w:multiLevelType w:val="hybridMultilevel"/>
    <w:tmpl w:val="B1DA8E66"/>
    <w:lvl w:ilvl="0" w:tplc="7B9EC1A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014345D"/>
    <w:multiLevelType w:val="multilevel"/>
    <w:tmpl w:val="1634293E"/>
    <w:lvl w:ilvl="0">
      <w:start w:val="1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32B2398"/>
    <w:multiLevelType w:val="multilevel"/>
    <w:tmpl w:val="5852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194F73"/>
    <w:multiLevelType w:val="hybridMultilevel"/>
    <w:tmpl w:val="ECDAEBC2"/>
    <w:lvl w:ilvl="0" w:tplc="BA6C5B24">
      <w:start w:val="3"/>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385601"/>
    <w:multiLevelType w:val="multilevel"/>
    <w:tmpl w:val="462ECCE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4857552"/>
    <w:multiLevelType w:val="hybridMultilevel"/>
    <w:tmpl w:val="D5A6C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D6020A"/>
    <w:multiLevelType w:val="hybridMultilevel"/>
    <w:tmpl w:val="91304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B94ECC"/>
    <w:multiLevelType w:val="hybridMultilevel"/>
    <w:tmpl w:val="5E58BC04"/>
    <w:lvl w:ilvl="0" w:tplc="9050E052">
      <w:start w:val="1"/>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2224652">
    <w:abstractNumId w:val="9"/>
  </w:num>
  <w:num w:numId="2" w16cid:durableId="29455191">
    <w:abstractNumId w:val="7"/>
  </w:num>
  <w:num w:numId="3" w16cid:durableId="2074692918">
    <w:abstractNumId w:val="6"/>
  </w:num>
  <w:num w:numId="4" w16cid:durableId="1753359335">
    <w:abstractNumId w:val="5"/>
  </w:num>
  <w:num w:numId="5" w16cid:durableId="1937517140">
    <w:abstractNumId w:val="4"/>
  </w:num>
  <w:num w:numId="6" w16cid:durableId="346644170">
    <w:abstractNumId w:val="8"/>
  </w:num>
  <w:num w:numId="7" w16cid:durableId="171074573">
    <w:abstractNumId w:val="3"/>
  </w:num>
  <w:num w:numId="8" w16cid:durableId="1785347979">
    <w:abstractNumId w:val="2"/>
  </w:num>
  <w:num w:numId="9" w16cid:durableId="1157191722">
    <w:abstractNumId w:val="1"/>
  </w:num>
  <w:num w:numId="10" w16cid:durableId="2779395">
    <w:abstractNumId w:val="0"/>
  </w:num>
  <w:num w:numId="11" w16cid:durableId="1270160569">
    <w:abstractNumId w:val="28"/>
  </w:num>
  <w:num w:numId="12" w16cid:durableId="1723557092">
    <w:abstractNumId w:val="45"/>
  </w:num>
  <w:num w:numId="13" w16cid:durableId="225647404">
    <w:abstractNumId w:val="37"/>
  </w:num>
  <w:num w:numId="14" w16cid:durableId="1433093021">
    <w:abstractNumId w:val="19"/>
  </w:num>
  <w:num w:numId="15" w16cid:durableId="898444746">
    <w:abstractNumId w:val="33"/>
  </w:num>
  <w:num w:numId="16" w16cid:durableId="1957373285">
    <w:abstractNumId w:val="30"/>
  </w:num>
  <w:num w:numId="17" w16cid:durableId="36441222">
    <w:abstractNumId w:val="43"/>
  </w:num>
  <w:num w:numId="18" w16cid:durableId="1481926595">
    <w:abstractNumId w:val="31"/>
  </w:num>
  <w:num w:numId="19" w16cid:durableId="2056738767">
    <w:abstractNumId w:val="47"/>
  </w:num>
  <w:num w:numId="20" w16cid:durableId="623583310">
    <w:abstractNumId w:val="26"/>
  </w:num>
  <w:num w:numId="21" w16cid:durableId="432626345">
    <w:abstractNumId w:val="16"/>
  </w:num>
  <w:num w:numId="22" w16cid:durableId="1717386782">
    <w:abstractNumId w:val="35"/>
  </w:num>
  <w:num w:numId="23" w16cid:durableId="1164666443">
    <w:abstractNumId w:val="25"/>
  </w:num>
  <w:num w:numId="24" w16cid:durableId="726342318">
    <w:abstractNumId w:val="27"/>
  </w:num>
  <w:num w:numId="25" w16cid:durableId="2034959934">
    <w:abstractNumId w:val="38"/>
  </w:num>
  <w:num w:numId="26" w16cid:durableId="1517231305">
    <w:abstractNumId w:val="42"/>
  </w:num>
  <w:num w:numId="27" w16cid:durableId="1306810934">
    <w:abstractNumId w:val="49"/>
  </w:num>
  <w:num w:numId="28" w16cid:durableId="1781073127">
    <w:abstractNumId w:val="41"/>
  </w:num>
  <w:num w:numId="29" w16cid:durableId="909073978">
    <w:abstractNumId w:val="32"/>
  </w:num>
  <w:num w:numId="30" w16cid:durableId="1205605210">
    <w:abstractNumId w:val="22"/>
  </w:num>
  <w:num w:numId="31" w16cid:durableId="1695883432">
    <w:abstractNumId w:val="20"/>
  </w:num>
  <w:num w:numId="32" w16cid:durableId="720713117">
    <w:abstractNumId w:val="13"/>
  </w:num>
  <w:num w:numId="33" w16cid:durableId="732191566">
    <w:abstractNumId w:val="14"/>
  </w:num>
  <w:num w:numId="34" w16cid:durableId="1673482533">
    <w:abstractNumId w:val="50"/>
  </w:num>
  <w:num w:numId="35" w16cid:durableId="1660843258">
    <w:abstractNumId w:val="46"/>
  </w:num>
  <w:num w:numId="36" w16cid:durableId="2119400146">
    <w:abstractNumId w:val="18"/>
  </w:num>
  <w:num w:numId="37" w16cid:durableId="154878078">
    <w:abstractNumId w:val="39"/>
  </w:num>
  <w:num w:numId="38" w16cid:durableId="1213343890">
    <w:abstractNumId w:val="15"/>
  </w:num>
  <w:num w:numId="39" w16cid:durableId="46422176">
    <w:abstractNumId w:val="29"/>
  </w:num>
  <w:num w:numId="40" w16cid:durableId="1164780025">
    <w:abstractNumId w:val="44"/>
  </w:num>
  <w:num w:numId="41" w16cid:durableId="1975452007">
    <w:abstractNumId w:val="10"/>
  </w:num>
  <w:num w:numId="42" w16cid:durableId="1189484764">
    <w:abstractNumId w:val="23"/>
  </w:num>
  <w:num w:numId="43" w16cid:durableId="2102025843">
    <w:abstractNumId w:val="36"/>
  </w:num>
  <w:num w:numId="44" w16cid:durableId="976372246">
    <w:abstractNumId w:val="12"/>
  </w:num>
  <w:num w:numId="45" w16cid:durableId="677007887">
    <w:abstractNumId w:val="11"/>
  </w:num>
  <w:num w:numId="46" w16cid:durableId="302927846">
    <w:abstractNumId w:val="17"/>
  </w:num>
  <w:num w:numId="47" w16cid:durableId="911238289">
    <w:abstractNumId w:val="40"/>
  </w:num>
  <w:num w:numId="48" w16cid:durableId="1403717474">
    <w:abstractNumId w:val="24"/>
  </w:num>
  <w:num w:numId="49" w16cid:durableId="1990819039">
    <w:abstractNumId w:val="34"/>
  </w:num>
  <w:num w:numId="50" w16cid:durableId="716202983">
    <w:abstractNumId w:val="48"/>
  </w:num>
  <w:num w:numId="51" w16cid:durableId="14550564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4"/>
  <w:removePersonalInformation/>
  <w:removeDateAndTime/>
  <w:proofState w:spelling="clean" w:grammar="clean"/>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ibbonPointer" w:val="1470009454784"/>
    <w:docVar w:name="VerbatimVersion" w:val="5.1"/>
  </w:docVars>
  <w:rsids>
    <w:rsidRoot w:val="00345B2B"/>
    <w:rsid w:val="000008FF"/>
    <w:rsid w:val="00002F48"/>
    <w:rsid w:val="000054C2"/>
    <w:rsid w:val="00006CD2"/>
    <w:rsid w:val="000110DE"/>
    <w:rsid w:val="00011D5C"/>
    <w:rsid w:val="000136A6"/>
    <w:rsid w:val="000139A3"/>
    <w:rsid w:val="000139FB"/>
    <w:rsid w:val="00013D96"/>
    <w:rsid w:val="00014F7F"/>
    <w:rsid w:val="00015106"/>
    <w:rsid w:val="0001554C"/>
    <w:rsid w:val="00016571"/>
    <w:rsid w:val="00016A4C"/>
    <w:rsid w:val="00016E7B"/>
    <w:rsid w:val="00020007"/>
    <w:rsid w:val="000218F3"/>
    <w:rsid w:val="000219E6"/>
    <w:rsid w:val="00021B59"/>
    <w:rsid w:val="00021D79"/>
    <w:rsid w:val="00022233"/>
    <w:rsid w:val="00022D36"/>
    <w:rsid w:val="0002559C"/>
    <w:rsid w:val="00026E60"/>
    <w:rsid w:val="000277C0"/>
    <w:rsid w:val="00027A79"/>
    <w:rsid w:val="00030E7C"/>
    <w:rsid w:val="00031990"/>
    <w:rsid w:val="000325AA"/>
    <w:rsid w:val="00032DA7"/>
    <w:rsid w:val="00033D46"/>
    <w:rsid w:val="00033E4B"/>
    <w:rsid w:val="00037A7E"/>
    <w:rsid w:val="00044040"/>
    <w:rsid w:val="000471D4"/>
    <w:rsid w:val="000542A3"/>
    <w:rsid w:val="00054F16"/>
    <w:rsid w:val="00057B61"/>
    <w:rsid w:val="00061860"/>
    <w:rsid w:val="00062187"/>
    <w:rsid w:val="0006223C"/>
    <w:rsid w:val="0006234F"/>
    <w:rsid w:val="00065821"/>
    <w:rsid w:val="0006609B"/>
    <w:rsid w:val="00066E3E"/>
    <w:rsid w:val="000679C2"/>
    <w:rsid w:val="00067D5F"/>
    <w:rsid w:val="000707A5"/>
    <w:rsid w:val="0007089C"/>
    <w:rsid w:val="00076080"/>
    <w:rsid w:val="0007796F"/>
    <w:rsid w:val="00081119"/>
    <w:rsid w:val="00082641"/>
    <w:rsid w:val="00084076"/>
    <w:rsid w:val="00084DBE"/>
    <w:rsid w:val="00085291"/>
    <w:rsid w:val="00085EA2"/>
    <w:rsid w:val="00090D8F"/>
    <w:rsid w:val="00091F4C"/>
    <w:rsid w:val="00092496"/>
    <w:rsid w:val="00095B51"/>
    <w:rsid w:val="00097D34"/>
    <w:rsid w:val="000A06F9"/>
    <w:rsid w:val="000A2D29"/>
    <w:rsid w:val="000A4560"/>
    <w:rsid w:val="000A4706"/>
    <w:rsid w:val="000A55F1"/>
    <w:rsid w:val="000A591A"/>
    <w:rsid w:val="000A5CC9"/>
    <w:rsid w:val="000B0309"/>
    <w:rsid w:val="000B06D0"/>
    <w:rsid w:val="000B2A11"/>
    <w:rsid w:val="000B2C7C"/>
    <w:rsid w:val="000B300F"/>
    <w:rsid w:val="000B4916"/>
    <w:rsid w:val="000B4A1B"/>
    <w:rsid w:val="000B4CE9"/>
    <w:rsid w:val="000B4E88"/>
    <w:rsid w:val="000B61A9"/>
    <w:rsid w:val="000B6799"/>
    <w:rsid w:val="000B6E1D"/>
    <w:rsid w:val="000B75F9"/>
    <w:rsid w:val="000C05A6"/>
    <w:rsid w:val="000C0ACF"/>
    <w:rsid w:val="000C0BDE"/>
    <w:rsid w:val="000C3835"/>
    <w:rsid w:val="000C48A5"/>
    <w:rsid w:val="000C48D1"/>
    <w:rsid w:val="000C56E9"/>
    <w:rsid w:val="000C6937"/>
    <w:rsid w:val="000C707D"/>
    <w:rsid w:val="000D127E"/>
    <w:rsid w:val="000D1BF2"/>
    <w:rsid w:val="000D2751"/>
    <w:rsid w:val="000D2AEC"/>
    <w:rsid w:val="000D4AE2"/>
    <w:rsid w:val="000D6BAC"/>
    <w:rsid w:val="000D6D1A"/>
    <w:rsid w:val="000E135B"/>
    <w:rsid w:val="000E155E"/>
    <w:rsid w:val="000E1C72"/>
    <w:rsid w:val="000E5A07"/>
    <w:rsid w:val="000E676E"/>
    <w:rsid w:val="000E6AC3"/>
    <w:rsid w:val="000E7790"/>
    <w:rsid w:val="000F1364"/>
    <w:rsid w:val="000F4348"/>
    <w:rsid w:val="000F6102"/>
    <w:rsid w:val="000F64BA"/>
    <w:rsid w:val="000F7EA3"/>
    <w:rsid w:val="00100010"/>
    <w:rsid w:val="001005D3"/>
    <w:rsid w:val="00100833"/>
    <w:rsid w:val="001011E6"/>
    <w:rsid w:val="00101F96"/>
    <w:rsid w:val="001024C9"/>
    <w:rsid w:val="00104529"/>
    <w:rsid w:val="001051F4"/>
    <w:rsid w:val="0010534E"/>
    <w:rsid w:val="00105942"/>
    <w:rsid w:val="00105D7F"/>
    <w:rsid w:val="001070CD"/>
    <w:rsid w:val="00107396"/>
    <w:rsid w:val="00112FA3"/>
    <w:rsid w:val="001149E9"/>
    <w:rsid w:val="0011551A"/>
    <w:rsid w:val="0011607F"/>
    <w:rsid w:val="00117F1F"/>
    <w:rsid w:val="001201ED"/>
    <w:rsid w:val="0012192D"/>
    <w:rsid w:val="0012389E"/>
    <w:rsid w:val="001270B2"/>
    <w:rsid w:val="00130163"/>
    <w:rsid w:val="001305D3"/>
    <w:rsid w:val="00130AC9"/>
    <w:rsid w:val="00130D28"/>
    <w:rsid w:val="0013109B"/>
    <w:rsid w:val="0013111C"/>
    <w:rsid w:val="001349F2"/>
    <w:rsid w:val="00137B53"/>
    <w:rsid w:val="0014182E"/>
    <w:rsid w:val="00142B41"/>
    <w:rsid w:val="00143267"/>
    <w:rsid w:val="001441E6"/>
    <w:rsid w:val="001446E4"/>
    <w:rsid w:val="001448C4"/>
    <w:rsid w:val="00144A4C"/>
    <w:rsid w:val="00145FD3"/>
    <w:rsid w:val="001469B3"/>
    <w:rsid w:val="00146D72"/>
    <w:rsid w:val="00146E9E"/>
    <w:rsid w:val="001527D2"/>
    <w:rsid w:val="001533E3"/>
    <w:rsid w:val="001550DA"/>
    <w:rsid w:val="00156387"/>
    <w:rsid w:val="00160014"/>
    <w:rsid w:val="00164B12"/>
    <w:rsid w:val="001666C6"/>
    <w:rsid w:val="0017095C"/>
    <w:rsid w:val="001756B0"/>
    <w:rsid w:val="00176AB0"/>
    <w:rsid w:val="00177B7D"/>
    <w:rsid w:val="00177C18"/>
    <w:rsid w:val="00180589"/>
    <w:rsid w:val="00180CB3"/>
    <w:rsid w:val="00182678"/>
    <w:rsid w:val="0018322D"/>
    <w:rsid w:val="001850C8"/>
    <w:rsid w:val="00186B97"/>
    <w:rsid w:val="001900E4"/>
    <w:rsid w:val="00191341"/>
    <w:rsid w:val="00192E4E"/>
    <w:rsid w:val="00193C26"/>
    <w:rsid w:val="00194734"/>
    <w:rsid w:val="00194AE1"/>
    <w:rsid w:val="001958E6"/>
    <w:rsid w:val="001959EA"/>
    <w:rsid w:val="00196D87"/>
    <w:rsid w:val="001A05D5"/>
    <w:rsid w:val="001A063D"/>
    <w:rsid w:val="001A0EF3"/>
    <w:rsid w:val="001A1B5D"/>
    <w:rsid w:val="001A41A0"/>
    <w:rsid w:val="001A61D5"/>
    <w:rsid w:val="001A7E47"/>
    <w:rsid w:val="001B11DA"/>
    <w:rsid w:val="001B2DF5"/>
    <w:rsid w:val="001B5776"/>
    <w:rsid w:val="001C3122"/>
    <w:rsid w:val="001C3B3D"/>
    <w:rsid w:val="001C4F33"/>
    <w:rsid w:val="001C5B4B"/>
    <w:rsid w:val="001C7B4F"/>
    <w:rsid w:val="001D1B16"/>
    <w:rsid w:val="001D1E18"/>
    <w:rsid w:val="001D49C2"/>
    <w:rsid w:val="001D6173"/>
    <w:rsid w:val="001E369F"/>
    <w:rsid w:val="001E39CA"/>
    <w:rsid w:val="001E3D47"/>
    <w:rsid w:val="001E527A"/>
    <w:rsid w:val="001E67CD"/>
    <w:rsid w:val="001F06EE"/>
    <w:rsid w:val="001F336C"/>
    <w:rsid w:val="001F6C74"/>
    <w:rsid w:val="001F78CE"/>
    <w:rsid w:val="00200996"/>
    <w:rsid w:val="00205184"/>
    <w:rsid w:val="00210A3B"/>
    <w:rsid w:val="002112AA"/>
    <w:rsid w:val="00212965"/>
    <w:rsid w:val="00212B64"/>
    <w:rsid w:val="002134C6"/>
    <w:rsid w:val="00213680"/>
    <w:rsid w:val="0021370C"/>
    <w:rsid w:val="00216C67"/>
    <w:rsid w:val="002206B8"/>
    <w:rsid w:val="00222A37"/>
    <w:rsid w:val="00222B1E"/>
    <w:rsid w:val="002233F1"/>
    <w:rsid w:val="00223414"/>
    <w:rsid w:val="002242A2"/>
    <w:rsid w:val="002255E1"/>
    <w:rsid w:val="002262E9"/>
    <w:rsid w:val="0023094D"/>
    <w:rsid w:val="002319F4"/>
    <w:rsid w:val="00233431"/>
    <w:rsid w:val="0023422A"/>
    <w:rsid w:val="002346C8"/>
    <w:rsid w:val="0023556B"/>
    <w:rsid w:val="002368AD"/>
    <w:rsid w:val="0023798C"/>
    <w:rsid w:val="0024089D"/>
    <w:rsid w:val="002408B6"/>
    <w:rsid w:val="002417EC"/>
    <w:rsid w:val="00241C4A"/>
    <w:rsid w:val="00242939"/>
    <w:rsid w:val="00243C90"/>
    <w:rsid w:val="002448F2"/>
    <w:rsid w:val="002509F1"/>
    <w:rsid w:val="00251992"/>
    <w:rsid w:val="00251AC1"/>
    <w:rsid w:val="00251FC7"/>
    <w:rsid w:val="00252444"/>
    <w:rsid w:val="00254032"/>
    <w:rsid w:val="00256AD3"/>
    <w:rsid w:val="00257887"/>
    <w:rsid w:val="00261972"/>
    <w:rsid w:val="00262816"/>
    <w:rsid w:val="0026345C"/>
    <w:rsid w:val="0026346F"/>
    <w:rsid w:val="002637A5"/>
    <w:rsid w:val="00263FD6"/>
    <w:rsid w:val="002654C9"/>
    <w:rsid w:val="00266860"/>
    <w:rsid w:val="00267F41"/>
    <w:rsid w:val="00271754"/>
    <w:rsid w:val="00274B8B"/>
    <w:rsid w:val="00274BFE"/>
    <w:rsid w:val="00274C55"/>
    <w:rsid w:val="00275BE3"/>
    <w:rsid w:val="00276CBA"/>
    <w:rsid w:val="00276EC9"/>
    <w:rsid w:val="00277AD0"/>
    <w:rsid w:val="00280867"/>
    <w:rsid w:val="00282D5A"/>
    <w:rsid w:val="00282F5E"/>
    <w:rsid w:val="00283519"/>
    <w:rsid w:val="0028370D"/>
    <w:rsid w:val="002837D1"/>
    <w:rsid w:val="00283901"/>
    <w:rsid w:val="002855A7"/>
    <w:rsid w:val="0028572E"/>
    <w:rsid w:val="00285F47"/>
    <w:rsid w:val="002862E9"/>
    <w:rsid w:val="0028648C"/>
    <w:rsid w:val="00287C7C"/>
    <w:rsid w:val="00290570"/>
    <w:rsid w:val="00291F7B"/>
    <w:rsid w:val="002925C9"/>
    <w:rsid w:val="002929C6"/>
    <w:rsid w:val="00293D9F"/>
    <w:rsid w:val="00294201"/>
    <w:rsid w:val="002942D9"/>
    <w:rsid w:val="00295915"/>
    <w:rsid w:val="002962D1"/>
    <w:rsid w:val="00296411"/>
    <w:rsid w:val="002A28CB"/>
    <w:rsid w:val="002A2C2E"/>
    <w:rsid w:val="002A40CA"/>
    <w:rsid w:val="002A6738"/>
    <w:rsid w:val="002A68DE"/>
    <w:rsid w:val="002A6959"/>
    <w:rsid w:val="002B05CA"/>
    <w:rsid w:val="002B146A"/>
    <w:rsid w:val="002B1D3F"/>
    <w:rsid w:val="002B2F2B"/>
    <w:rsid w:val="002B37DA"/>
    <w:rsid w:val="002B3E62"/>
    <w:rsid w:val="002B5448"/>
    <w:rsid w:val="002B5E17"/>
    <w:rsid w:val="002B6F88"/>
    <w:rsid w:val="002B7D4E"/>
    <w:rsid w:val="002B7FEA"/>
    <w:rsid w:val="002C1E8C"/>
    <w:rsid w:val="002C3000"/>
    <w:rsid w:val="002D16CC"/>
    <w:rsid w:val="002D24B8"/>
    <w:rsid w:val="002D384C"/>
    <w:rsid w:val="002D3B25"/>
    <w:rsid w:val="002D6FF9"/>
    <w:rsid w:val="002D707B"/>
    <w:rsid w:val="002D78FB"/>
    <w:rsid w:val="002E0D90"/>
    <w:rsid w:val="002E1389"/>
    <w:rsid w:val="002E219F"/>
    <w:rsid w:val="002E244F"/>
    <w:rsid w:val="002E444A"/>
    <w:rsid w:val="002E54B9"/>
    <w:rsid w:val="002E5585"/>
    <w:rsid w:val="002E5C1E"/>
    <w:rsid w:val="002E7B70"/>
    <w:rsid w:val="002F04D7"/>
    <w:rsid w:val="002F07D2"/>
    <w:rsid w:val="002F1612"/>
    <w:rsid w:val="002F359D"/>
    <w:rsid w:val="002F41A6"/>
    <w:rsid w:val="002F5A55"/>
    <w:rsid w:val="002F63CC"/>
    <w:rsid w:val="002F6987"/>
    <w:rsid w:val="002F7447"/>
    <w:rsid w:val="002F7677"/>
    <w:rsid w:val="0030098F"/>
    <w:rsid w:val="0030205B"/>
    <w:rsid w:val="00303A39"/>
    <w:rsid w:val="003040CE"/>
    <w:rsid w:val="00304307"/>
    <w:rsid w:val="00304AC5"/>
    <w:rsid w:val="0030611D"/>
    <w:rsid w:val="00310C0B"/>
    <w:rsid w:val="00310CB8"/>
    <w:rsid w:val="00314E6D"/>
    <w:rsid w:val="00315690"/>
    <w:rsid w:val="00316B75"/>
    <w:rsid w:val="00322BB4"/>
    <w:rsid w:val="00322E7C"/>
    <w:rsid w:val="00325646"/>
    <w:rsid w:val="003261BE"/>
    <w:rsid w:val="00326BAD"/>
    <w:rsid w:val="00327041"/>
    <w:rsid w:val="00331B40"/>
    <w:rsid w:val="003321FE"/>
    <w:rsid w:val="00332A78"/>
    <w:rsid w:val="0033489F"/>
    <w:rsid w:val="0033530B"/>
    <w:rsid w:val="0033757A"/>
    <w:rsid w:val="00341883"/>
    <w:rsid w:val="00343469"/>
    <w:rsid w:val="00345B2B"/>
    <w:rsid w:val="003460F2"/>
    <w:rsid w:val="003469A0"/>
    <w:rsid w:val="003515E2"/>
    <w:rsid w:val="003525FF"/>
    <w:rsid w:val="0035276F"/>
    <w:rsid w:val="00353354"/>
    <w:rsid w:val="003542EA"/>
    <w:rsid w:val="003551FB"/>
    <w:rsid w:val="00355390"/>
    <w:rsid w:val="003612A7"/>
    <w:rsid w:val="00361A9D"/>
    <w:rsid w:val="00364F63"/>
    <w:rsid w:val="00365942"/>
    <w:rsid w:val="00366A5E"/>
    <w:rsid w:val="00371C92"/>
    <w:rsid w:val="00373153"/>
    <w:rsid w:val="003733ED"/>
    <w:rsid w:val="00373EEC"/>
    <w:rsid w:val="003744EB"/>
    <w:rsid w:val="0037606D"/>
    <w:rsid w:val="003767C9"/>
    <w:rsid w:val="00377090"/>
    <w:rsid w:val="0038158C"/>
    <w:rsid w:val="00382B12"/>
    <w:rsid w:val="00382D26"/>
    <w:rsid w:val="0038302F"/>
    <w:rsid w:val="00384F98"/>
    <w:rsid w:val="0038598C"/>
    <w:rsid w:val="003902BA"/>
    <w:rsid w:val="00394C27"/>
    <w:rsid w:val="003A09E2"/>
    <w:rsid w:val="003A1B7C"/>
    <w:rsid w:val="003A2F08"/>
    <w:rsid w:val="003A56A1"/>
    <w:rsid w:val="003A6BE0"/>
    <w:rsid w:val="003A71E6"/>
    <w:rsid w:val="003B31F2"/>
    <w:rsid w:val="003B39CD"/>
    <w:rsid w:val="003B3BC4"/>
    <w:rsid w:val="003B3FC7"/>
    <w:rsid w:val="003B7262"/>
    <w:rsid w:val="003C1EB0"/>
    <w:rsid w:val="003C4406"/>
    <w:rsid w:val="003C5546"/>
    <w:rsid w:val="003C5B65"/>
    <w:rsid w:val="003C649A"/>
    <w:rsid w:val="003C7294"/>
    <w:rsid w:val="003C7760"/>
    <w:rsid w:val="003D1A8F"/>
    <w:rsid w:val="003D1FB2"/>
    <w:rsid w:val="003D29DF"/>
    <w:rsid w:val="003D2F14"/>
    <w:rsid w:val="003D45ED"/>
    <w:rsid w:val="003D7FA7"/>
    <w:rsid w:val="003E0751"/>
    <w:rsid w:val="003E1B59"/>
    <w:rsid w:val="003E2D89"/>
    <w:rsid w:val="003E3367"/>
    <w:rsid w:val="003E50D4"/>
    <w:rsid w:val="003E5BD8"/>
    <w:rsid w:val="003E6106"/>
    <w:rsid w:val="003E640E"/>
    <w:rsid w:val="003F0E54"/>
    <w:rsid w:val="003F14E3"/>
    <w:rsid w:val="003F1B53"/>
    <w:rsid w:val="003F21A0"/>
    <w:rsid w:val="003F2A03"/>
    <w:rsid w:val="003F3EA5"/>
    <w:rsid w:val="00401C46"/>
    <w:rsid w:val="0040367E"/>
    <w:rsid w:val="004041BD"/>
    <w:rsid w:val="00404B17"/>
    <w:rsid w:val="00405081"/>
    <w:rsid w:val="00407037"/>
    <w:rsid w:val="00407BFC"/>
    <w:rsid w:val="004106BA"/>
    <w:rsid w:val="00410B4F"/>
    <w:rsid w:val="0041131B"/>
    <w:rsid w:val="004116A2"/>
    <w:rsid w:val="00413DAF"/>
    <w:rsid w:val="00415541"/>
    <w:rsid w:val="0042011A"/>
    <w:rsid w:val="00420140"/>
    <w:rsid w:val="00420BC0"/>
    <w:rsid w:val="00420C3B"/>
    <w:rsid w:val="00430E0B"/>
    <w:rsid w:val="004316A9"/>
    <w:rsid w:val="00431A9B"/>
    <w:rsid w:val="00432A87"/>
    <w:rsid w:val="00432BEB"/>
    <w:rsid w:val="00434227"/>
    <w:rsid w:val="004345BE"/>
    <w:rsid w:val="00435288"/>
    <w:rsid w:val="004352F1"/>
    <w:rsid w:val="00437601"/>
    <w:rsid w:val="00440EC4"/>
    <w:rsid w:val="004421AA"/>
    <w:rsid w:val="00445B65"/>
    <w:rsid w:val="00446751"/>
    <w:rsid w:val="004468BF"/>
    <w:rsid w:val="00447110"/>
    <w:rsid w:val="00447191"/>
    <w:rsid w:val="00447F33"/>
    <w:rsid w:val="004500B5"/>
    <w:rsid w:val="004500E5"/>
    <w:rsid w:val="004518EC"/>
    <w:rsid w:val="004536E7"/>
    <w:rsid w:val="00454D88"/>
    <w:rsid w:val="00457158"/>
    <w:rsid w:val="0046020B"/>
    <w:rsid w:val="004605D6"/>
    <w:rsid w:val="00460DDD"/>
    <w:rsid w:val="00462DCB"/>
    <w:rsid w:val="0046446F"/>
    <w:rsid w:val="004653BA"/>
    <w:rsid w:val="0046650F"/>
    <w:rsid w:val="00466A77"/>
    <w:rsid w:val="0047344E"/>
    <w:rsid w:val="0047392C"/>
    <w:rsid w:val="004745A8"/>
    <w:rsid w:val="00475184"/>
    <w:rsid w:val="004754B9"/>
    <w:rsid w:val="0047598B"/>
    <w:rsid w:val="00476914"/>
    <w:rsid w:val="004826D0"/>
    <w:rsid w:val="00482B76"/>
    <w:rsid w:val="00482E72"/>
    <w:rsid w:val="00483073"/>
    <w:rsid w:val="00483C20"/>
    <w:rsid w:val="00484D37"/>
    <w:rsid w:val="0048570C"/>
    <w:rsid w:val="0048573C"/>
    <w:rsid w:val="0049349B"/>
    <w:rsid w:val="00493621"/>
    <w:rsid w:val="00495260"/>
    <w:rsid w:val="004965D7"/>
    <w:rsid w:val="00496CF2"/>
    <w:rsid w:val="004971B2"/>
    <w:rsid w:val="004A1BF5"/>
    <w:rsid w:val="004A4AAE"/>
    <w:rsid w:val="004A4F1C"/>
    <w:rsid w:val="004A5185"/>
    <w:rsid w:val="004A55D0"/>
    <w:rsid w:val="004A572D"/>
    <w:rsid w:val="004A6F56"/>
    <w:rsid w:val="004A7A14"/>
    <w:rsid w:val="004B056B"/>
    <w:rsid w:val="004B1A5B"/>
    <w:rsid w:val="004B1A95"/>
    <w:rsid w:val="004B3263"/>
    <w:rsid w:val="004B3C42"/>
    <w:rsid w:val="004B3D42"/>
    <w:rsid w:val="004B5D22"/>
    <w:rsid w:val="004B63F8"/>
    <w:rsid w:val="004B7AE5"/>
    <w:rsid w:val="004C08FA"/>
    <w:rsid w:val="004C1166"/>
    <w:rsid w:val="004C1ABB"/>
    <w:rsid w:val="004C1C71"/>
    <w:rsid w:val="004C59CE"/>
    <w:rsid w:val="004C5C14"/>
    <w:rsid w:val="004C60E8"/>
    <w:rsid w:val="004C727A"/>
    <w:rsid w:val="004D00AE"/>
    <w:rsid w:val="004D039D"/>
    <w:rsid w:val="004D0A01"/>
    <w:rsid w:val="004D1378"/>
    <w:rsid w:val="004D1822"/>
    <w:rsid w:val="004D2599"/>
    <w:rsid w:val="004D3637"/>
    <w:rsid w:val="004D3FE6"/>
    <w:rsid w:val="004D4346"/>
    <w:rsid w:val="004E07E9"/>
    <w:rsid w:val="004E0B03"/>
    <w:rsid w:val="004E3113"/>
    <w:rsid w:val="004E3579"/>
    <w:rsid w:val="004E3E2B"/>
    <w:rsid w:val="004E4F24"/>
    <w:rsid w:val="004E5D29"/>
    <w:rsid w:val="004E63A2"/>
    <w:rsid w:val="004E671C"/>
    <w:rsid w:val="004E6E89"/>
    <w:rsid w:val="004E728B"/>
    <w:rsid w:val="004E7A90"/>
    <w:rsid w:val="004E7C7C"/>
    <w:rsid w:val="004F0E49"/>
    <w:rsid w:val="004F3696"/>
    <w:rsid w:val="004F39E0"/>
    <w:rsid w:val="004F4194"/>
    <w:rsid w:val="004F679B"/>
    <w:rsid w:val="0050057D"/>
    <w:rsid w:val="00500CB8"/>
    <w:rsid w:val="00501D36"/>
    <w:rsid w:val="00503789"/>
    <w:rsid w:val="00503CAF"/>
    <w:rsid w:val="005054D0"/>
    <w:rsid w:val="005073A4"/>
    <w:rsid w:val="005073C3"/>
    <w:rsid w:val="005109BD"/>
    <w:rsid w:val="00512ACE"/>
    <w:rsid w:val="00515688"/>
    <w:rsid w:val="005161E1"/>
    <w:rsid w:val="005209BA"/>
    <w:rsid w:val="00521967"/>
    <w:rsid w:val="00521AF6"/>
    <w:rsid w:val="0052228E"/>
    <w:rsid w:val="00525D4C"/>
    <w:rsid w:val="0053268C"/>
    <w:rsid w:val="005353DA"/>
    <w:rsid w:val="00535848"/>
    <w:rsid w:val="00536CC5"/>
    <w:rsid w:val="0053772C"/>
    <w:rsid w:val="00537BD5"/>
    <w:rsid w:val="00541200"/>
    <w:rsid w:val="00541823"/>
    <w:rsid w:val="00541CEB"/>
    <w:rsid w:val="00541D57"/>
    <w:rsid w:val="00547369"/>
    <w:rsid w:val="005475A8"/>
    <w:rsid w:val="00547D06"/>
    <w:rsid w:val="00553803"/>
    <w:rsid w:val="00554F66"/>
    <w:rsid w:val="0055501C"/>
    <w:rsid w:val="0055684D"/>
    <w:rsid w:val="0056047E"/>
    <w:rsid w:val="00561F84"/>
    <w:rsid w:val="00562BE3"/>
    <w:rsid w:val="00563ED6"/>
    <w:rsid w:val="00564507"/>
    <w:rsid w:val="005645A8"/>
    <w:rsid w:val="00566934"/>
    <w:rsid w:val="00566DAB"/>
    <w:rsid w:val="005722BB"/>
    <w:rsid w:val="0057268A"/>
    <w:rsid w:val="00573C8E"/>
    <w:rsid w:val="005771E3"/>
    <w:rsid w:val="00580B8E"/>
    <w:rsid w:val="00581892"/>
    <w:rsid w:val="005849F9"/>
    <w:rsid w:val="00585CDE"/>
    <w:rsid w:val="00586C2B"/>
    <w:rsid w:val="00591DA6"/>
    <w:rsid w:val="00592E75"/>
    <w:rsid w:val="00594847"/>
    <w:rsid w:val="0059489F"/>
    <w:rsid w:val="00594ACE"/>
    <w:rsid w:val="00594E01"/>
    <w:rsid w:val="005A04E1"/>
    <w:rsid w:val="005A379D"/>
    <w:rsid w:val="005A38BE"/>
    <w:rsid w:val="005A3A7B"/>
    <w:rsid w:val="005A3F85"/>
    <w:rsid w:val="005A4037"/>
    <w:rsid w:val="005A46EF"/>
    <w:rsid w:val="005A555C"/>
    <w:rsid w:val="005A5EE8"/>
    <w:rsid w:val="005B03D9"/>
    <w:rsid w:val="005B12CB"/>
    <w:rsid w:val="005B198C"/>
    <w:rsid w:val="005B215D"/>
    <w:rsid w:val="005B311D"/>
    <w:rsid w:val="005B3D7F"/>
    <w:rsid w:val="005B7F8B"/>
    <w:rsid w:val="005C1148"/>
    <w:rsid w:val="005C1985"/>
    <w:rsid w:val="005C2238"/>
    <w:rsid w:val="005C43A3"/>
    <w:rsid w:val="005C53D5"/>
    <w:rsid w:val="005C551E"/>
    <w:rsid w:val="005C5F55"/>
    <w:rsid w:val="005D0369"/>
    <w:rsid w:val="005D1889"/>
    <w:rsid w:val="005D2912"/>
    <w:rsid w:val="005D32C5"/>
    <w:rsid w:val="005D477C"/>
    <w:rsid w:val="005D48AF"/>
    <w:rsid w:val="005D5D05"/>
    <w:rsid w:val="005E0A7E"/>
    <w:rsid w:val="005E3475"/>
    <w:rsid w:val="005E50F3"/>
    <w:rsid w:val="005E6359"/>
    <w:rsid w:val="005E6408"/>
    <w:rsid w:val="005E72A2"/>
    <w:rsid w:val="005E7716"/>
    <w:rsid w:val="005E7C6B"/>
    <w:rsid w:val="005F0E63"/>
    <w:rsid w:val="005F262E"/>
    <w:rsid w:val="005F6111"/>
    <w:rsid w:val="005F7D23"/>
    <w:rsid w:val="00603E0C"/>
    <w:rsid w:val="00604ACC"/>
    <w:rsid w:val="00605696"/>
    <w:rsid w:val="006065BD"/>
    <w:rsid w:val="00612DE1"/>
    <w:rsid w:val="00614920"/>
    <w:rsid w:val="00615B8D"/>
    <w:rsid w:val="00617692"/>
    <w:rsid w:val="00617E2B"/>
    <w:rsid w:val="00625B97"/>
    <w:rsid w:val="0062666B"/>
    <w:rsid w:val="006269A7"/>
    <w:rsid w:val="00630412"/>
    <w:rsid w:val="00631CCF"/>
    <w:rsid w:val="00631E21"/>
    <w:rsid w:val="00633F5B"/>
    <w:rsid w:val="00634675"/>
    <w:rsid w:val="006369D4"/>
    <w:rsid w:val="006379AF"/>
    <w:rsid w:val="00637DDF"/>
    <w:rsid w:val="00642702"/>
    <w:rsid w:val="00642792"/>
    <w:rsid w:val="00642984"/>
    <w:rsid w:val="00642D9D"/>
    <w:rsid w:val="006439D9"/>
    <w:rsid w:val="00645D17"/>
    <w:rsid w:val="00645FA9"/>
    <w:rsid w:val="00646BC7"/>
    <w:rsid w:val="006471CE"/>
    <w:rsid w:val="00647866"/>
    <w:rsid w:val="00653BF5"/>
    <w:rsid w:val="00655257"/>
    <w:rsid w:val="006555C8"/>
    <w:rsid w:val="0065740D"/>
    <w:rsid w:val="00661769"/>
    <w:rsid w:val="00665003"/>
    <w:rsid w:val="00667183"/>
    <w:rsid w:val="00672855"/>
    <w:rsid w:val="00672D7A"/>
    <w:rsid w:val="00674ACF"/>
    <w:rsid w:val="006760CD"/>
    <w:rsid w:val="0067649E"/>
    <w:rsid w:val="006810B5"/>
    <w:rsid w:val="00681E1B"/>
    <w:rsid w:val="0068377C"/>
    <w:rsid w:val="00686199"/>
    <w:rsid w:val="00686494"/>
    <w:rsid w:val="0068740F"/>
    <w:rsid w:val="0068756B"/>
    <w:rsid w:val="00687D41"/>
    <w:rsid w:val="0069153B"/>
    <w:rsid w:val="00694518"/>
    <w:rsid w:val="00697027"/>
    <w:rsid w:val="006A065E"/>
    <w:rsid w:val="006A212C"/>
    <w:rsid w:val="006A23B3"/>
    <w:rsid w:val="006A26DA"/>
    <w:rsid w:val="006A2AD0"/>
    <w:rsid w:val="006A2D6C"/>
    <w:rsid w:val="006A3358"/>
    <w:rsid w:val="006A483C"/>
    <w:rsid w:val="006A5F85"/>
    <w:rsid w:val="006A721B"/>
    <w:rsid w:val="006B7288"/>
    <w:rsid w:val="006C0346"/>
    <w:rsid w:val="006C2375"/>
    <w:rsid w:val="006C2D83"/>
    <w:rsid w:val="006C433E"/>
    <w:rsid w:val="006C750B"/>
    <w:rsid w:val="006D13C7"/>
    <w:rsid w:val="006D225B"/>
    <w:rsid w:val="006D2828"/>
    <w:rsid w:val="006D2A86"/>
    <w:rsid w:val="006D3614"/>
    <w:rsid w:val="006D4C8B"/>
    <w:rsid w:val="006D4ECC"/>
    <w:rsid w:val="006D5426"/>
    <w:rsid w:val="006D63BE"/>
    <w:rsid w:val="006D6A74"/>
    <w:rsid w:val="006D6FCA"/>
    <w:rsid w:val="006D7AA1"/>
    <w:rsid w:val="006E1050"/>
    <w:rsid w:val="006E2128"/>
    <w:rsid w:val="006E27A8"/>
    <w:rsid w:val="006E609D"/>
    <w:rsid w:val="006E6647"/>
    <w:rsid w:val="006F0DE2"/>
    <w:rsid w:val="006F0F0A"/>
    <w:rsid w:val="006F27E6"/>
    <w:rsid w:val="006F5878"/>
    <w:rsid w:val="006F5A18"/>
    <w:rsid w:val="006F5DA2"/>
    <w:rsid w:val="006F65D2"/>
    <w:rsid w:val="006F7C06"/>
    <w:rsid w:val="007008E3"/>
    <w:rsid w:val="00700F66"/>
    <w:rsid w:val="00702175"/>
    <w:rsid w:val="00702FE0"/>
    <w:rsid w:val="007057CF"/>
    <w:rsid w:val="00705E07"/>
    <w:rsid w:val="0071158B"/>
    <w:rsid w:val="00713079"/>
    <w:rsid w:val="0071415E"/>
    <w:rsid w:val="007143B9"/>
    <w:rsid w:val="00714D36"/>
    <w:rsid w:val="00716992"/>
    <w:rsid w:val="00716F9F"/>
    <w:rsid w:val="00717185"/>
    <w:rsid w:val="007171FF"/>
    <w:rsid w:val="007214F7"/>
    <w:rsid w:val="00722258"/>
    <w:rsid w:val="00722902"/>
    <w:rsid w:val="00722F21"/>
    <w:rsid w:val="007235D6"/>
    <w:rsid w:val="007243E5"/>
    <w:rsid w:val="00725F14"/>
    <w:rsid w:val="0072636B"/>
    <w:rsid w:val="00727A04"/>
    <w:rsid w:val="007311C6"/>
    <w:rsid w:val="007318E9"/>
    <w:rsid w:val="00734C7B"/>
    <w:rsid w:val="00735F68"/>
    <w:rsid w:val="00736B07"/>
    <w:rsid w:val="007424CA"/>
    <w:rsid w:val="0074393E"/>
    <w:rsid w:val="00745271"/>
    <w:rsid w:val="00746791"/>
    <w:rsid w:val="00747F02"/>
    <w:rsid w:val="00751A63"/>
    <w:rsid w:val="007529F1"/>
    <w:rsid w:val="0075309E"/>
    <w:rsid w:val="00756402"/>
    <w:rsid w:val="00757CF6"/>
    <w:rsid w:val="00760740"/>
    <w:rsid w:val="007626C5"/>
    <w:rsid w:val="00762F0C"/>
    <w:rsid w:val="00766EA0"/>
    <w:rsid w:val="00767CB5"/>
    <w:rsid w:val="0077010A"/>
    <w:rsid w:val="00771CAC"/>
    <w:rsid w:val="00772549"/>
    <w:rsid w:val="00773537"/>
    <w:rsid w:val="0077407E"/>
    <w:rsid w:val="00775F70"/>
    <w:rsid w:val="0077637E"/>
    <w:rsid w:val="0077760B"/>
    <w:rsid w:val="00777787"/>
    <w:rsid w:val="0078060E"/>
    <w:rsid w:val="0078222F"/>
    <w:rsid w:val="007822FA"/>
    <w:rsid w:val="00782916"/>
    <w:rsid w:val="007839C8"/>
    <w:rsid w:val="00784536"/>
    <w:rsid w:val="00784F2D"/>
    <w:rsid w:val="00790FE5"/>
    <w:rsid w:val="00791768"/>
    <w:rsid w:val="00791BB9"/>
    <w:rsid w:val="00794A3C"/>
    <w:rsid w:val="00794F66"/>
    <w:rsid w:val="00794F8A"/>
    <w:rsid w:val="00796710"/>
    <w:rsid w:val="007967BA"/>
    <w:rsid w:val="00796FC5"/>
    <w:rsid w:val="00797FE6"/>
    <w:rsid w:val="007A17DF"/>
    <w:rsid w:val="007A1F19"/>
    <w:rsid w:val="007A2226"/>
    <w:rsid w:val="007A271B"/>
    <w:rsid w:val="007A4A3E"/>
    <w:rsid w:val="007A4D9E"/>
    <w:rsid w:val="007A5C54"/>
    <w:rsid w:val="007A7965"/>
    <w:rsid w:val="007B16C5"/>
    <w:rsid w:val="007B205F"/>
    <w:rsid w:val="007B239D"/>
    <w:rsid w:val="007B24F8"/>
    <w:rsid w:val="007B27E9"/>
    <w:rsid w:val="007B2A61"/>
    <w:rsid w:val="007B5CAD"/>
    <w:rsid w:val="007B6BA1"/>
    <w:rsid w:val="007C0690"/>
    <w:rsid w:val="007C0986"/>
    <w:rsid w:val="007C1B65"/>
    <w:rsid w:val="007C1D60"/>
    <w:rsid w:val="007C5B91"/>
    <w:rsid w:val="007D0EF7"/>
    <w:rsid w:val="007D1979"/>
    <w:rsid w:val="007D286E"/>
    <w:rsid w:val="007D321B"/>
    <w:rsid w:val="007D392B"/>
    <w:rsid w:val="007D6875"/>
    <w:rsid w:val="007D7943"/>
    <w:rsid w:val="007E081B"/>
    <w:rsid w:val="007E1E60"/>
    <w:rsid w:val="007E1FBD"/>
    <w:rsid w:val="007E2298"/>
    <w:rsid w:val="007E29C8"/>
    <w:rsid w:val="007E2F75"/>
    <w:rsid w:val="007E2F76"/>
    <w:rsid w:val="007E56EC"/>
    <w:rsid w:val="007E753B"/>
    <w:rsid w:val="007F1849"/>
    <w:rsid w:val="007F3532"/>
    <w:rsid w:val="007F381D"/>
    <w:rsid w:val="007F5B66"/>
    <w:rsid w:val="007F7461"/>
    <w:rsid w:val="00801388"/>
    <w:rsid w:val="0080225F"/>
    <w:rsid w:val="008022C8"/>
    <w:rsid w:val="008028AC"/>
    <w:rsid w:val="0080422C"/>
    <w:rsid w:val="00805F94"/>
    <w:rsid w:val="00807790"/>
    <w:rsid w:val="00810DF8"/>
    <w:rsid w:val="008115C2"/>
    <w:rsid w:val="00813B0C"/>
    <w:rsid w:val="00816AF5"/>
    <w:rsid w:val="00820C00"/>
    <w:rsid w:val="00822FE6"/>
    <w:rsid w:val="00823A1C"/>
    <w:rsid w:val="00823D81"/>
    <w:rsid w:val="00824144"/>
    <w:rsid w:val="0082453E"/>
    <w:rsid w:val="0082537A"/>
    <w:rsid w:val="0082598C"/>
    <w:rsid w:val="00832B64"/>
    <w:rsid w:val="008342BD"/>
    <w:rsid w:val="00837D55"/>
    <w:rsid w:val="0084141C"/>
    <w:rsid w:val="00841F1C"/>
    <w:rsid w:val="00843BE3"/>
    <w:rsid w:val="00843F0B"/>
    <w:rsid w:val="00844E07"/>
    <w:rsid w:val="008454CE"/>
    <w:rsid w:val="00845726"/>
    <w:rsid w:val="00845B9D"/>
    <w:rsid w:val="0084743E"/>
    <w:rsid w:val="00850FF8"/>
    <w:rsid w:val="0085374D"/>
    <w:rsid w:val="008537D4"/>
    <w:rsid w:val="00855A7D"/>
    <w:rsid w:val="00855CE5"/>
    <w:rsid w:val="0085687F"/>
    <w:rsid w:val="008600C2"/>
    <w:rsid w:val="00860984"/>
    <w:rsid w:val="00861BC0"/>
    <w:rsid w:val="008622C4"/>
    <w:rsid w:val="00862B24"/>
    <w:rsid w:val="00862B83"/>
    <w:rsid w:val="00864E5E"/>
    <w:rsid w:val="008672B8"/>
    <w:rsid w:val="008727CC"/>
    <w:rsid w:val="00872D32"/>
    <w:rsid w:val="008732A1"/>
    <w:rsid w:val="008736A5"/>
    <w:rsid w:val="00873D9C"/>
    <w:rsid w:val="00873DCA"/>
    <w:rsid w:val="008745B4"/>
    <w:rsid w:val="00874C44"/>
    <w:rsid w:val="0087727C"/>
    <w:rsid w:val="00877A04"/>
    <w:rsid w:val="00882855"/>
    <w:rsid w:val="00884928"/>
    <w:rsid w:val="00887A90"/>
    <w:rsid w:val="00890155"/>
    <w:rsid w:val="0089044A"/>
    <w:rsid w:val="00892620"/>
    <w:rsid w:val="00892A45"/>
    <w:rsid w:val="00892A5F"/>
    <w:rsid w:val="00893021"/>
    <w:rsid w:val="008939DF"/>
    <w:rsid w:val="00894324"/>
    <w:rsid w:val="0089446C"/>
    <w:rsid w:val="00894B83"/>
    <w:rsid w:val="00895770"/>
    <w:rsid w:val="00895A50"/>
    <w:rsid w:val="0089643B"/>
    <w:rsid w:val="008973C3"/>
    <w:rsid w:val="008A2CB2"/>
    <w:rsid w:val="008A3558"/>
    <w:rsid w:val="008A62D2"/>
    <w:rsid w:val="008A7AFE"/>
    <w:rsid w:val="008B0416"/>
    <w:rsid w:val="008B057D"/>
    <w:rsid w:val="008B16F8"/>
    <w:rsid w:val="008B3ECB"/>
    <w:rsid w:val="008B440C"/>
    <w:rsid w:val="008B4DA0"/>
    <w:rsid w:val="008B4E85"/>
    <w:rsid w:val="008B5211"/>
    <w:rsid w:val="008B6CB4"/>
    <w:rsid w:val="008B6DD5"/>
    <w:rsid w:val="008C01C7"/>
    <w:rsid w:val="008C1334"/>
    <w:rsid w:val="008C1B2E"/>
    <w:rsid w:val="008C376B"/>
    <w:rsid w:val="008C3B17"/>
    <w:rsid w:val="008C3F04"/>
    <w:rsid w:val="008C68AF"/>
    <w:rsid w:val="008C71CA"/>
    <w:rsid w:val="008C7A47"/>
    <w:rsid w:val="008C7D29"/>
    <w:rsid w:val="008D0C85"/>
    <w:rsid w:val="008D0E8C"/>
    <w:rsid w:val="008D1D1B"/>
    <w:rsid w:val="008D1F6A"/>
    <w:rsid w:val="008D20A0"/>
    <w:rsid w:val="008D2FDD"/>
    <w:rsid w:val="008D4D95"/>
    <w:rsid w:val="008D529C"/>
    <w:rsid w:val="008D58DB"/>
    <w:rsid w:val="008D6BFA"/>
    <w:rsid w:val="008E027B"/>
    <w:rsid w:val="008E25E0"/>
    <w:rsid w:val="008E2609"/>
    <w:rsid w:val="008E3D45"/>
    <w:rsid w:val="008E3F40"/>
    <w:rsid w:val="008E46B7"/>
    <w:rsid w:val="008E66F8"/>
    <w:rsid w:val="008E7628"/>
    <w:rsid w:val="008F0922"/>
    <w:rsid w:val="008F1940"/>
    <w:rsid w:val="008F214F"/>
    <w:rsid w:val="008F2270"/>
    <w:rsid w:val="008F2A2C"/>
    <w:rsid w:val="008F41A5"/>
    <w:rsid w:val="008F569E"/>
    <w:rsid w:val="008F610B"/>
    <w:rsid w:val="008F6E15"/>
    <w:rsid w:val="0090230A"/>
    <w:rsid w:val="0090242C"/>
    <w:rsid w:val="00902936"/>
    <w:rsid w:val="0090400F"/>
    <w:rsid w:val="00904024"/>
    <w:rsid w:val="00904A1F"/>
    <w:rsid w:val="009079EF"/>
    <w:rsid w:val="00907B75"/>
    <w:rsid w:val="0091340D"/>
    <w:rsid w:val="00914260"/>
    <w:rsid w:val="00914D4F"/>
    <w:rsid w:val="0091627E"/>
    <w:rsid w:val="00920993"/>
    <w:rsid w:val="009218F0"/>
    <w:rsid w:val="00921EF5"/>
    <w:rsid w:val="00922541"/>
    <w:rsid w:val="00922FD6"/>
    <w:rsid w:val="0092415E"/>
    <w:rsid w:val="009255FD"/>
    <w:rsid w:val="009278EB"/>
    <w:rsid w:val="009335E8"/>
    <w:rsid w:val="00933C31"/>
    <w:rsid w:val="0093427A"/>
    <w:rsid w:val="00935CB0"/>
    <w:rsid w:val="00936587"/>
    <w:rsid w:val="00941E66"/>
    <w:rsid w:val="0094200A"/>
    <w:rsid w:val="009505C0"/>
    <w:rsid w:val="00950F90"/>
    <w:rsid w:val="00951436"/>
    <w:rsid w:val="009514D5"/>
    <w:rsid w:val="00953B3E"/>
    <w:rsid w:val="009543E7"/>
    <w:rsid w:val="00954F43"/>
    <w:rsid w:val="00955CB9"/>
    <w:rsid w:val="00960124"/>
    <w:rsid w:val="00961C1C"/>
    <w:rsid w:val="009651BD"/>
    <w:rsid w:val="009660F7"/>
    <w:rsid w:val="0097032B"/>
    <w:rsid w:val="0097160E"/>
    <w:rsid w:val="00972133"/>
    <w:rsid w:val="00972314"/>
    <w:rsid w:val="00974352"/>
    <w:rsid w:val="00974BE3"/>
    <w:rsid w:val="00976D6E"/>
    <w:rsid w:val="009776AE"/>
    <w:rsid w:val="00980DE5"/>
    <w:rsid w:val="00981B35"/>
    <w:rsid w:val="0098479D"/>
    <w:rsid w:val="00986590"/>
    <w:rsid w:val="00986E31"/>
    <w:rsid w:val="00990C82"/>
    <w:rsid w:val="0099189B"/>
    <w:rsid w:val="00991F21"/>
    <w:rsid w:val="00992437"/>
    <w:rsid w:val="00992B96"/>
    <w:rsid w:val="009941D7"/>
    <w:rsid w:val="00995E4B"/>
    <w:rsid w:val="00996928"/>
    <w:rsid w:val="00997859"/>
    <w:rsid w:val="009A0489"/>
    <w:rsid w:val="009A270A"/>
    <w:rsid w:val="009A37CF"/>
    <w:rsid w:val="009A4020"/>
    <w:rsid w:val="009A4F91"/>
    <w:rsid w:val="009A5536"/>
    <w:rsid w:val="009A6972"/>
    <w:rsid w:val="009B01C8"/>
    <w:rsid w:val="009B03BA"/>
    <w:rsid w:val="009B0685"/>
    <w:rsid w:val="009B1F68"/>
    <w:rsid w:val="009B3F7F"/>
    <w:rsid w:val="009B51E1"/>
    <w:rsid w:val="009B58DB"/>
    <w:rsid w:val="009C0552"/>
    <w:rsid w:val="009C1371"/>
    <w:rsid w:val="009C1886"/>
    <w:rsid w:val="009C4347"/>
    <w:rsid w:val="009C4A5A"/>
    <w:rsid w:val="009C5319"/>
    <w:rsid w:val="009C702C"/>
    <w:rsid w:val="009D11E7"/>
    <w:rsid w:val="009D2EAD"/>
    <w:rsid w:val="009D307A"/>
    <w:rsid w:val="009D514C"/>
    <w:rsid w:val="009D54B2"/>
    <w:rsid w:val="009D55BC"/>
    <w:rsid w:val="009D73F8"/>
    <w:rsid w:val="009D7772"/>
    <w:rsid w:val="009E180A"/>
    <w:rsid w:val="009E1922"/>
    <w:rsid w:val="009E2CB6"/>
    <w:rsid w:val="009E56D3"/>
    <w:rsid w:val="009E6DCD"/>
    <w:rsid w:val="009F0558"/>
    <w:rsid w:val="009F1102"/>
    <w:rsid w:val="009F24FB"/>
    <w:rsid w:val="009F2671"/>
    <w:rsid w:val="009F5137"/>
    <w:rsid w:val="009F570D"/>
    <w:rsid w:val="009F6609"/>
    <w:rsid w:val="009F6999"/>
    <w:rsid w:val="009F7854"/>
    <w:rsid w:val="009F7ED2"/>
    <w:rsid w:val="00A016F4"/>
    <w:rsid w:val="00A01D44"/>
    <w:rsid w:val="00A03389"/>
    <w:rsid w:val="00A03743"/>
    <w:rsid w:val="00A057A0"/>
    <w:rsid w:val="00A065AC"/>
    <w:rsid w:val="00A06A81"/>
    <w:rsid w:val="00A070D4"/>
    <w:rsid w:val="00A0711F"/>
    <w:rsid w:val="00A0782A"/>
    <w:rsid w:val="00A11768"/>
    <w:rsid w:val="00A158C3"/>
    <w:rsid w:val="00A1739E"/>
    <w:rsid w:val="00A215F0"/>
    <w:rsid w:val="00A24142"/>
    <w:rsid w:val="00A24E86"/>
    <w:rsid w:val="00A26085"/>
    <w:rsid w:val="00A2638F"/>
    <w:rsid w:val="00A279AC"/>
    <w:rsid w:val="00A319F7"/>
    <w:rsid w:val="00A3228B"/>
    <w:rsid w:val="00A33C31"/>
    <w:rsid w:val="00A33C8C"/>
    <w:rsid w:val="00A33D77"/>
    <w:rsid w:val="00A3456C"/>
    <w:rsid w:val="00A35119"/>
    <w:rsid w:val="00A35570"/>
    <w:rsid w:val="00A43DF1"/>
    <w:rsid w:val="00A45A77"/>
    <w:rsid w:val="00A47BBA"/>
    <w:rsid w:val="00A50622"/>
    <w:rsid w:val="00A50DC5"/>
    <w:rsid w:val="00A51B91"/>
    <w:rsid w:val="00A54359"/>
    <w:rsid w:val="00A544D5"/>
    <w:rsid w:val="00A55D6B"/>
    <w:rsid w:val="00A57AB9"/>
    <w:rsid w:val="00A601E8"/>
    <w:rsid w:val="00A62676"/>
    <w:rsid w:val="00A62F2C"/>
    <w:rsid w:val="00A64E0A"/>
    <w:rsid w:val="00A65998"/>
    <w:rsid w:val="00A663E0"/>
    <w:rsid w:val="00A665F8"/>
    <w:rsid w:val="00A67BB1"/>
    <w:rsid w:val="00A707AF"/>
    <w:rsid w:val="00A72A81"/>
    <w:rsid w:val="00A72C2F"/>
    <w:rsid w:val="00A74170"/>
    <w:rsid w:val="00A7683C"/>
    <w:rsid w:val="00A7696B"/>
    <w:rsid w:val="00A77C61"/>
    <w:rsid w:val="00A77D94"/>
    <w:rsid w:val="00A830F8"/>
    <w:rsid w:val="00A84C9C"/>
    <w:rsid w:val="00A87E9C"/>
    <w:rsid w:val="00A901C6"/>
    <w:rsid w:val="00A90362"/>
    <w:rsid w:val="00A90F63"/>
    <w:rsid w:val="00A9134A"/>
    <w:rsid w:val="00A91425"/>
    <w:rsid w:val="00A9158B"/>
    <w:rsid w:val="00A92A90"/>
    <w:rsid w:val="00A93661"/>
    <w:rsid w:val="00A93AD9"/>
    <w:rsid w:val="00A9400A"/>
    <w:rsid w:val="00A95652"/>
    <w:rsid w:val="00A979B5"/>
    <w:rsid w:val="00AA0151"/>
    <w:rsid w:val="00AA02E8"/>
    <w:rsid w:val="00AA0846"/>
    <w:rsid w:val="00AA1E54"/>
    <w:rsid w:val="00AA30B8"/>
    <w:rsid w:val="00AA30CE"/>
    <w:rsid w:val="00AA32E8"/>
    <w:rsid w:val="00AA342A"/>
    <w:rsid w:val="00AA34CD"/>
    <w:rsid w:val="00AA3B61"/>
    <w:rsid w:val="00AA50FB"/>
    <w:rsid w:val="00AA72F1"/>
    <w:rsid w:val="00AB0488"/>
    <w:rsid w:val="00AB3FFE"/>
    <w:rsid w:val="00AB54BE"/>
    <w:rsid w:val="00AB7171"/>
    <w:rsid w:val="00AC0AB8"/>
    <w:rsid w:val="00AC3856"/>
    <w:rsid w:val="00AC43D7"/>
    <w:rsid w:val="00AC66DF"/>
    <w:rsid w:val="00AC7580"/>
    <w:rsid w:val="00AD2243"/>
    <w:rsid w:val="00AD27E3"/>
    <w:rsid w:val="00AD30F5"/>
    <w:rsid w:val="00AD39BF"/>
    <w:rsid w:val="00AD553C"/>
    <w:rsid w:val="00AD7B05"/>
    <w:rsid w:val="00AE070D"/>
    <w:rsid w:val="00AE1F07"/>
    <w:rsid w:val="00AE2A38"/>
    <w:rsid w:val="00AE2A91"/>
    <w:rsid w:val="00AE4350"/>
    <w:rsid w:val="00AE4CD0"/>
    <w:rsid w:val="00AE4E15"/>
    <w:rsid w:val="00AE6802"/>
    <w:rsid w:val="00AE78DE"/>
    <w:rsid w:val="00AF053F"/>
    <w:rsid w:val="00AF45F1"/>
    <w:rsid w:val="00AF4996"/>
    <w:rsid w:val="00AF4C31"/>
    <w:rsid w:val="00AF7291"/>
    <w:rsid w:val="00B0066C"/>
    <w:rsid w:val="00B00C2C"/>
    <w:rsid w:val="00B03255"/>
    <w:rsid w:val="00B0589A"/>
    <w:rsid w:val="00B05D65"/>
    <w:rsid w:val="00B1185D"/>
    <w:rsid w:val="00B11D46"/>
    <w:rsid w:val="00B14041"/>
    <w:rsid w:val="00B14470"/>
    <w:rsid w:val="00B16888"/>
    <w:rsid w:val="00B16AF6"/>
    <w:rsid w:val="00B2000C"/>
    <w:rsid w:val="00B2192A"/>
    <w:rsid w:val="00B23539"/>
    <w:rsid w:val="00B2415D"/>
    <w:rsid w:val="00B24269"/>
    <w:rsid w:val="00B25298"/>
    <w:rsid w:val="00B25723"/>
    <w:rsid w:val="00B25D40"/>
    <w:rsid w:val="00B26273"/>
    <w:rsid w:val="00B328E7"/>
    <w:rsid w:val="00B33A10"/>
    <w:rsid w:val="00B33C6D"/>
    <w:rsid w:val="00B3543D"/>
    <w:rsid w:val="00B35BA0"/>
    <w:rsid w:val="00B370E6"/>
    <w:rsid w:val="00B37363"/>
    <w:rsid w:val="00B41444"/>
    <w:rsid w:val="00B41D04"/>
    <w:rsid w:val="00B425CF"/>
    <w:rsid w:val="00B42BE8"/>
    <w:rsid w:val="00B42E27"/>
    <w:rsid w:val="00B43876"/>
    <w:rsid w:val="00B43BD4"/>
    <w:rsid w:val="00B4421B"/>
    <w:rsid w:val="00B44717"/>
    <w:rsid w:val="00B4508F"/>
    <w:rsid w:val="00B4595D"/>
    <w:rsid w:val="00B45DDB"/>
    <w:rsid w:val="00B45E1B"/>
    <w:rsid w:val="00B51832"/>
    <w:rsid w:val="00B52A5B"/>
    <w:rsid w:val="00B5443A"/>
    <w:rsid w:val="00B55AD5"/>
    <w:rsid w:val="00B5600F"/>
    <w:rsid w:val="00B562E1"/>
    <w:rsid w:val="00B56CF0"/>
    <w:rsid w:val="00B57A3C"/>
    <w:rsid w:val="00B60895"/>
    <w:rsid w:val="00B628D1"/>
    <w:rsid w:val="00B644F9"/>
    <w:rsid w:val="00B654A3"/>
    <w:rsid w:val="00B66220"/>
    <w:rsid w:val="00B662CB"/>
    <w:rsid w:val="00B71EDD"/>
    <w:rsid w:val="00B75160"/>
    <w:rsid w:val="00B77087"/>
    <w:rsid w:val="00B77972"/>
    <w:rsid w:val="00B8057C"/>
    <w:rsid w:val="00B80E14"/>
    <w:rsid w:val="00B819EE"/>
    <w:rsid w:val="00B83683"/>
    <w:rsid w:val="00B84817"/>
    <w:rsid w:val="00B85D78"/>
    <w:rsid w:val="00B86949"/>
    <w:rsid w:val="00B87DD8"/>
    <w:rsid w:val="00B9053B"/>
    <w:rsid w:val="00B913A5"/>
    <w:rsid w:val="00B926C1"/>
    <w:rsid w:val="00B9272B"/>
    <w:rsid w:val="00B92776"/>
    <w:rsid w:val="00B93173"/>
    <w:rsid w:val="00B93956"/>
    <w:rsid w:val="00B97E15"/>
    <w:rsid w:val="00BA1BC7"/>
    <w:rsid w:val="00BA1E07"/>
    <w:rsid w:val="00BA3B53"/>
    <w:rsid w:val="00BA7515"/>
    <w:rsid w:val="00BA777B"/>
    <w:rsid w:val="00BB1DC8"/>
    <w:rsid w:val="00BB385D"/>
    <w:rsid w:val="00BB45F3"/>
    <w:rsid w:val="00BB519A"/>
    <w:rsid w:val="00BC5CDC"/>
    <w:rsid w:val="00BD1172"/>
    <w:rsid w:val="00BD16E9"/>
    <w:rsid w:val="00BD215C"/>
    <w:rsid w:val="00BD4077"/>
    <w:rsid w:val="00BD6238"/>
    <w:rsid w:val="00BD7199"/>
    <w:rsid w:val="00BE0E09"/>
    <w:rsid w:val="00BE3CAA"/>
    <w:rsid w:val="00BE68D2"/>
    <w:rsid w:val="00BE6D1E"/>
    <w:rsid w:val="00BE6FCF"/>
    <w:rsid w:val="00BE7D72"/>
    <w:rsid w:val="00BF1A21"/>
    <w:rsid w:val="00BF215A"/>
    <w:rsid w:val="00BF3B05"/>
    <w:rsid w:val="00BF593B"/>
    <w:rsid w:val="00BF5D78"/>
    <w:rsid w:val="00BF6981"/>
    <w:rsid w:val="00BF6D52"/>
    <w:rsid w:val="00BF7683"/>
    <w:rsid w:val="00BF773A"/>
    <w:rsid w:val="00BF7E81"/>
    <w:rsid w:val="00C00236"/>
    <w:rsid w:val="00C029D7"/>
    <w:rsid w:val="00C02B85"/>
    <w:rsid w:val="00C03AA4"/>
    <w:rsid w:val="00C07351"/>
    <w:rsid w:val="00C0793E"/>
    <w:rsid w:val="00C07970"/>
    <w:rsid w:val="00C10687"/>
    <w:rsid w:val="00C11721"/>
    <w:rsid w:val="00C13773"/>
    <w:rsid w:val="00C15897"/>
    <w:rsid w:val="00C16E35"/>
    <w:rsid w:val="00C174FC"/>
    <w:rsid w:val="00C17CC8"/>
    <w:rsid w:val="00C203BF"/>
    <w:rsid w:val="00C2219E"/>
    <w:rsid w:val="00C22583"/>
    <w:rsid w:val="00C22F3F"/>
    <w:rsid w:val="00C230DE"/>
    <w:rsid w:val="00C306FC"/>
    <w:rsid w:val="00C3178F"/>
    <w:rsid w:val="00C31D8A"/>
    <w:rsid w:val="00C3229A"/>
    <w:rsid w:val="00C32EA5"/>
    <w:rsid w:val="00C336E5"/>
    <w:rsid w:val="00C33EBE"/>
    <w:rsid w:val="00C347B4"/>
    <w:rsid w:val="00C34BAF"/>
    <w:rsid w:val="00C35535"/>
    <w:rsid w:val="00C35FED"/>
    <w:rsid w:val="00C41EB6"/>
    <w:rsid w:val="00C428E5"/>
    <w:rsid w:val="00C42E19"/>
    <w:rsid w:val="00C45836"/>
    <w:rsid w:val="00C45957"/>
    <w:rsid w:val="00C45D39"/>
    <w:rsid w:val="00C46A83"/>
    <w:rsid w:val="00C4743D"/>
    <w:rsid w:val="00C51867"/>
    <w:rsid w:val="00C52AF0"/>
    <w:rsid w:val="00C52CA4"/>
    <w:rsid w:val="00C52D63"/>
    <w:rsid w:val="00C53588"/>
    <w:rsid w:val="00C53C2E"/>
    <w:rsid w:val="00C54A82"/>
    <w:rsid w:val="00C54FD1"/>
    <w:rsid w:val="00C56114"/>
    <w:rsid w:val="00C56367"/>
    <w:rsid w:val="00C564B7"/>
    <w:rsid w:val="00C56A7B"/>
    <w:rsid w:val="00C56E87"/>
    <w:rsid w:val="00C6211E"/>
    <w:rsid w:val="00C625F8"/>
    <w:rsid w:val="00C63400"/>
    <w:rsid w:val="00C63CC0"/>
    <w:rsid w:val="00C63D82"/>
    <w:rsid w:val="00C64F59"/>
    <w:rsid w:val="00C65538"/>
    <w:rsid w:val="00C65FDF"/>
    <w:rsid w:val="00C70413"/>
    <w:rsid w:val="00C71154"/>
    <w:rsid w:val="00C7293A"/>
    <w:rsid w:val="00C73904"/>
    <w:rsid w:val="00C74018"/>
    <w:rsid w:val="00C74169"/>
    <w:rsid w:val="00C75991"/>
    <w:rsid w:val="00C80956"/>
    <w:rsid w:val="00C81162"/>
    <w:rsid w:val="00C83417"/>
    <w:rsid w:val="00C837E5"/>
    <w:rsid w:val="00C84DE0"/>
    <w:rsid w:val="00C850E7"/>
    <w:rsid w:val="00C857F2"/>
    <w:rsid w:val="00C919C6"/>
    <w:rsid w:val="00C92760"/>
    <w:rsid w:val="00C9297C"/>
    <w:rsid w:val="00C93366"/>
    <w:rsid w:val="00C9585D"/>
    <w:rsid w:val="00C9604F"/>
    <w:rsid w:val="00C9737F"/>
    <w:rsid w:val="00CA0801"/>
    <w:rsid w:val="00CA1430"/>
    <w:rsid w:val="00CA152B"/>
    <w:rsid w:val="00CA19AA"/>
    <w:rsid w:val="00CA3592"/>
    <w:rsid w:val="00CA4A41"/>
    <w:rsid w:val="00CA57E7"/>
    <w:rsid w:val="00CA6061"/>
    <w:rsid w:val="00CA6081"/>
    <w:rsid w:val="00CA6DA7"/>
    <w:rsid w:val="00CA75B7"/>
    <w:rsid w:val="00CB119E"/>
    <w:rsid w:val="00CB4C07"/>
    <w:rsid w:val="00CB51E3"/>
    <w:rsid w:val="00CB6841"/>
    <w:rsid w:val="00CB703B"/>
    <w:rsid w:val="00CB74EF"/>
    <w:rsid w:val="00CC0C6B"/>
    <w:rsid w:val="00CC49CA"/>
    <w:rsid w:val="00CC5298"/>
    <w:rsid w:val="00CC54BE"/>
    <w:rsid w:val="00CC5D22"/>
    <w:rsid w:val="00CC71EC"/>
    <w:rsid w:val="00CD0BD2"/>
    <w:rsid w:val="00CD0CC0"/>
    <w:rsid w:val="00CD71E9"/>
    <w:rsid w:val="00CD736E"/>
    <w:rsid w:val="00CD798D"/>
    <w:rsid w:val="00CE161E"/>
    <w:rsid w:val="00CE20C2"/>
    <w:rsid w:val="00CE2536"/>
    <w:rsid w:val="00CE2592"/>
    <w:rsid w:val="00CE2F8F"/>
    <w:rsid w:val="00CE7109"/>
    <w:rsid w:val="00CE770A"/>
    <w:rsid w:val="00CF0AC0"/>
    <w:rsid w:val="00CF0D49"/>
    <w:rsid w:val="00CF3FDE"/>
    <w:rsid w:val="00CF54EA"/>
    <w:rsid w:val="00CF59A8"/>
    <w:rsid w:val="00CF5C4F"/>
    <w:rsid w:val="00CF63E3"/>
    <w:rsid w:val="00D000E1"/>
    <w:rsid w:val="00D01142"/>
    <w:rsid w:val="00D02306"/>
    <w:rsid w:val="00D033D2"/>
    <w:rsid w:val="00D05211"/>
    <w:rsid w:val="00D10220"/>
    <w:rsid w:val="00D108E2"/>
    <w:rsid w:val="00D11CAE"/>
    <w:rsid w:val="00D1204B"/>
    <w:rsid w:val="00D13583"/>
    <w:rsid w:val="00D14047"/>
    <w:rsid w:val="00D14693"/>
    <w:rsid w:val="00D15EFA"/>
    <w:rsid w:val="00D16A93"/>
    <w:rsid w:val="00D201A9"/>
    <w:rsid w:val="00D22893"/>
    <w:rsid w:val="00D22FA5"/>
    <w:rsid w:val="00D23BCE"/>
    <w:rsid w:val="00D25620"/>
    <w:rsid w:val="00D25AE4"/>
    <w:rsid w:val="00D265E5"/>
    <w:rsid w:val="00D26B0C"/>
    <w:rsid w:val="00D27692"/>
    <w:rsid w:val="00D325A9"/>
    <w:rsid w:val="00D33988"/>
    <w:rsid w:val="00D35AA0"/>
    <w:rsid w:val="00D36A8A"/>
    <w:rsid w:val="00D379BB"/>
    <w:rsid w:val="00D4246B"/>
    <w:rsid w:val="00D440C2"/>
    <w:rsid w:val="00D45416"/>
    <w:rsid w:val="00D471C2"/>
    <w:rsid w:val="00D47507"/>
    <w:rsid w:val="00D50A76"/>
    <w:rsid w:val="00D50D9F"/>
    <w:rsid w:val="00D5122B"/>
    <w:rsid w:val="00D51AB7"/>
    <w:rsid w:val="00D522F3"/>
    <w:rsid w:val="00D54190"/>
    <w:rsid w:val="00D54208"/>
    <w:rsid w:val="00D545F9"/>
    <w:rsid w:val="00D54995"/>
    <w:rsid w:val="00D55636"/>
    <w:rsid w:val="00D60243"/>
    <w:rsid w:val="00D61198"/>
    <w:rsid w:val="00D61409"/>
    <w:rsid w:val="00D63DFC"/>
    <w:rsid w:val="00D657D9"/>
    <w:rsid w:val="00D65A5F"/>
    <w:rsid w:val="00D6691E"/>
    <w:rsid w:val="00D66A97"/>
    <w:rsid w:val="00D6709B"/>
    <w:rsid w:val="00D678F9"/>
    <w:rsid w:val="00D70E8D"/>
    <w:rsid w:val="00D71170"/>
    <w:rsid w:val="00D711EF"/>
    <w:rsid w:val="00D71E68"/>
    <w:rsid w:val="00D72D44"/>
    <w:rsid w:val="00D76DD8"/>
    <w:rsid w:val="00D8014F"/>
    <w:rsid w:val="00D826CA"/>
    <w:rsid w:val="00D83B24"/>
    <w:rsid w:val="00D83C29"/>
    <w:rsid w:val="00D8586E"/>
    <w:rsid w:val="00D90EDE"/>
    <w:rsid w:val="00D919D0"/>
    <w:rsid w:val="00D92073"/>
    <w:rsid w:val="00D9510F"/>
    <w:rsid w:val="00D95C6B"/>
    <w:rsid w:val="00D95EBF"/>
    <w:rsid w:val="00D9617E"/>
    <w:rsid w:val="00D97781"/>
    <w:rsid w:val="00DA1A2A"/>
    <w:rsid w:val="00DA1C92"/>
    <w:rsid w:val="00DA25D4"/>
    <w:rsid w:val="00DA6538"/>
    <w:rsid w:val="00DB1026"/>
    <w:rsid w:val="00DB24E6"/>
    <w:rsid w:val="00DB26BD"/>
    <w:rsid w:val="00DB2DA5"/>
    <w:rsid w:val="00DB3757"/>
    <w:rsid w:val="00DB378B"/>
    <w:rsid w:val="00DB3BA7"/>
    <w:rsid w:val="00DB3DF5"/>
    <w:rsid w:val="00DB5084"/>
    <w:rsid w:val="00DB6FFF"/>
    <w:rsid w:val="00DB7C5F"/>
    <w:rsid w:val="00DC0317"/>
    <w:rsid w:val="00DC41C4"/>
    <w:rsid w:val="00DC5442"/>
    <w:rsid w:val="00DC55BD"/>
    <w:rsid w:val="00DC573E"/>
    <w:rsid w:val="00DC605C"/>
    <w:rsid w:val="00DD0149"/>
    <w:rsid w:val="00DD0AF9"/>
    <w:rsid w:val="00DD0DCA"/>
    <w:rsid w:val="00DD2D90"/>
    <w:rsid w:val="00DD3C89"/>
    <w:rsid w:val="00DD5E10"/>
    <w:rsid w:val="00DD6CBE"/>
    <w:rsid w:val="00DE1002"/>
    <w:rsid w:val="00DE1847"/>
    <w:rsid w:val="00DE33B6"/>
    <w:rsid w:val="00DE6F7B"/>
    <w:rsid w:val="00DF0CD4"/>
    <w:rsid w:val="00DF149B"/>
    <w:rsid w:val="00DF352E"/>
    <w:rsid w:val="00DF3FD8"/>
    <w:rsid w:val="00DF3FE0"/>
    <w:rsid w:val="00DF454E"/>
    <w:rsid w:val="00DF4EBB"/>
    <w:rsid w:val="00DF548C"/>
    <w:rsid w:val="00DF5DA1"/>
    <w:rsid w:val="00DF75CE"/>
    <w:rsid w:val="00E017FF"/>
    <w:rsid w:val="00E01BBF"/>
    <w:rsid w:val="00E02C07"/>
    <w:rsid w:val="00E06053"/>
    <w:rsid w:val="00E0607A"/>
    <w:rsid w:val="00E06C55"/>
    <w:rsid w:val="00E07926"/>
    <w:rsid w:val="00E10EDD"/>
    <w:rsid w:val="00E11759"/>
    <w:rsid w:val="00E12DD9"/>
    <w:rsid w:val="00E13483"/>
    <w:rsid w:val="00E140A8"/>
    <w:rsid w:val="00E15E75"/>
    <w:rsid w:val="00E15F73"/>
    <w:rsid w:val="00E23B1B"/>
    <w:rsid w:val="00E2445F"/>
    <w:rsid w:val="00E2615D"/>
    <w:rsid w:val="00E276B8"/>
    <w:rsid w:val="00E30C41"/>
    <w:rsid w:val="00E30F00"/>
    <w:rsid w:val="00E31A46"/>
    <w:rsid w:val="00E337EE"/>
    <w:rsid w:val="00E40494"/>
    <w:rsid w:val="00E457B2"/>
    <w:rsid w:val="00E46597"/>
    <w:rsid w:val="00E4776C"/>
    <w:rsid w:val="00E50FF9"/>
    <w:rsid w:val="00E513BB"/>
    <w:rsid w:val="00E5262C"/>
    <w:rsid w:val="00E54C70"/>
    <w:rsid w:val="00E556BF"/>
    <w:rsid w:val="00E56DAA"/>
    <w:rsid w:val="00E61A39"/>
    <w:rsid w:val="00E63CD2"/>
    <w:rsid w:val="00E648AB"/>
    <w:rsid w:val="00E64C5C"/>
    <w:rsid w:val="00E64CC1"/>
    <w:rsid w:val="00E64FE6"/>
    <w:rsid w:val="00E656D7"/>
    <w:rsid w:val="00E658EB"/>
    <w:rsid w:val="00E6597B"/>
    <w:rsid w:val="00E659E0"/>
    <w:rsid w:val="00E66058"/>
    <w:rsid w:val="00E66258"/>
    <w:rsid w:val="00E66FBA"/>
    <w:rsid w:val="00E6720A"/>
    <w:rsid w:val="00E674CC"/>
    <w:rsid w:val="00E67522"/>
    <w:rsid w:val="00E71849"/>
    <w:rsid w:val="00E71CCC"/>
    <w:rsid w:val="00E73385"/>
    <w:rsid w:val="00E73C13"/>
    <w:rsid w:val="00E74B0C"/>
    <w:rsid w:val="00E765C5"/>
    <w:rsid w:val="00E76861"/>
    <w:rsid w:val="00E8004C"/>
    <w:rsid w:val="00E80C12"/>
    <w:rsid w:val="00E81854"/>
    <w:rsid w:val="00E845E9"/>
    <w:rsid w:val="00E84A1E"/>
    <w:rsid w:val="00E84DFC"/>
    <w:rsid w:val="00E874AE"/>
    <w:rsid w:val="00E87694"/>
    <w:rsid w:val="00E91FB2"/>
    <w:rsid w:val="00E940FD"/>
    <w:rsid w:val="00E94CB5"/>
    <w:rsid w:val="00E94FB4"/>
    <w:rsid w:val="00E95676"/>
    <w:rsid w:val="00E95D63"/>
    <w:rsid w:val="00E96D2C"/>
    <w:rsid w:val="00EA028A"/>
    <w:rsid w:val="00EA13A0"/>
    <w:rsid w:val="00EA5596"/>
    <w:rsid w:val="00EA6776"/>
    <w:rsid w:val="00EA723E"/>
    <w:rsid w:val="00EA7CB5"/>
    <w:rsid w:val="00EB171F"/>
    <w:rsid w:val="00EB1962"/>
    <w:rsid w:val="00EB1B4A"/>
    <w:rsid w:val="00EB21A1"/>
    <w:rsid w:val="00EB3749"/>
    <w:rsid w:val="00EB4221"/>
    <w:rsid w:val="00EB4730"/>
    <w:rsid w:val="00EB7F20"/>
    <w:rsid w:val="00EC046E"/>
    <w:rsid w:val="00EC7DC4"/>
    <w:rsid w:val="00ED19FB"/>
    <w:rsid w:val="00ED222B"/>
    <w:rsid w:val="00ED30CF"/>
    <w:rsid w:val="00ED7F56"/>
    <w:rsid w:val="00EE1644"/>
    <w:rsid w:val="00EE3F0C"/>
    <w:rsid w:val="00EE4825"/>
    <w:rsid w:val="00EE4DC1"/>
    <w:rsid w:val="00EF1111"/>
    <w:rsid w:val="00EF568A"/>
    <w:rsid w:val="00F01087"/>
    <w:rsid w:val="00F011B5"/>
    <w:rsid w:val="00F0257E"/>
    <w:rsid w:val="00F03CF6"/>
    <w:rsid w:val="00F05142"/>
    <w:rsid w:val="00F06B15"/>
    <w:rsid w:val="00F07AAC"/>
    <w:rsid w:val="00F07F90"/>
    <w:rsid w:val="00F10840"/>
    <w:rsid w:val="00F15CD2"/>
    <w:rsid w:val="00F164DB"/>
    <w:rsid w:val="00F176EF"/>
    <w:rsid w:val="00F202C2"/>
    <w:rsid w:val="00F211F2"/>
    <w:rsid w:val="00F21C9F"/>
    <w:rsid w:val="00F25C34"/>
    <w:rsid w:val="00F25E34"/>
    <w:rsid w:val="00F267DA"/>
    <w:rsid w:val="00F269ED"/>
    <w:rsid w:val="00F30942"/>
    <w:rsid w:val="00F321BF"/>
    <w:rsid w:val="00F34477"/>
    <w:rsid w:val="00F36AE7"/>
    <w:rsid w:val="00F375E9"/>
    <w:rsid w:val="00F40CEF"/>
    <w:rsid w:val="00F41AA7"/>
    <w:rsid w:val="00F42E6C"/>
    <w:rsid w:val="00F452FC"/>
    <w:rsid w:val="00F45E10"/>
    <w:rsid w:val="00F47DEA"/>
    <w:rsid w:val="00F51392"/>
    <w:rsid w:val="00F51B74"/>
    <w:rsid w:val="00F52B3C"/>
    <w:rsid w:val="00F55B28"/>
    <w:rsid w:val="00F5648C"/>
    <w:rsid w:val="00F57D85"/>
    <w:rsid w:val="00F61AF9"/>
    <w:rsid w:val="00F62038"/>
    <w:rsid w:val="00F62568"/>
    <w:rsid w:val="00F62882"/>
    <w:rsid w:val="00F62FC7"/>
    <w:rsid w:val="00F63522"/>
    <w:rsid w:val="00F6364A"/>
    <w:rsid w:val="00F658A3"/>
    <w:rsid w:val="00F67221"/>
    <w:rsid w:val="00F71643"/>
    <w:rsid w:val="00F71E44"/>
    <w:rsid w:val="00F72EAD"/>
    <w:rsid w:val="00F73458"/>
    <w:rsid w:val="00F7566F"/>
    <w:rsid w:val="00F80929"/>
    <w:rsid w:val="00F80D79"/>
    <w:rsid w:val="00F81737"/>
    <w:rsid w:val="00F81E93"/>
    <w:rsid w:val="00F82B8C"/>
    <w:rsid w:val="00F83330"/>
    <w:rsid w:val="00F839DE"/>
    <w:rsid w:val="00F84F6E"/>
    <w:rsid w:val="00F85161"/>
    <w:rsid w:val="00F874D3"/>
    <w:rsid w:val="00F9113A"/>
    <w:rsid w:val="00F913C7"/>
    <w:rsid w:val="00F91C4A"/>
    <w:rsid w:val="00F91F38"/>
    <w:rsid w:val="00F93727"/>
    <w:rsid w:val="00F93A28"/>
    <w:rsid w:val="00F95C60"/>
    <w:rsid w:val="00F969C2"/>
    <w:rsid w:val="00F96F48"/>
    <w:rsid w:val="00F97334"/>
    <w:rsid w:val="00F977FD"/>
    <w:rsid w:val="00FA17B1"/>
    <w:rsid w:val="00FA1D49"/>
    <w:rsid w:val="00FA32B2"/>
    <w:rsid w:val="00FA34D6"/>
    <w:rsid w:val="00FB07BD"/>
    <w:rsid w:val="00FB2DF4"/>
    <w:rsid w:val="00FB3F2D"/>
    <w:rsid w:val="00FB5D78"/>
    <w:rsid w:val="00FC0E44"/>
    <w:rsid w:val="00FC3F84"/>
    <w:rsid w:val="00FC54D1"/>
    <w:rsid w:val="00FC656D"/>
    <w:rsid w:val="00FC6E9D"/>
    <w:rsid w:val="00FD0AAB"/>
    <w:rsid w:val="00FD0FF6"/>
    <w:rsid w:val="00FD279A"/>
    <w:rsid w:val="00FD57AD"/>
    <w:rsid w:val="00FE004E"/>
    <w:rsid w:val="00FE0BB8"/>
    <w:rsid w:val="00FE2546"/>
    <w:rsid w:val="00FF02E2"/>
    <w:rsid w:val="00FF0344"/>
    <w:rsid w:val="00FF07DB"/>
    <w:rsid w:val="00FF0E2F"/>
    <w:rsid w:val="00FF2C62"/>
    <w:rsid w:val="00FF2C88"/>
    <w:rsid w:val="00FF3588"/>
    <w:rsid w:val="00FF4954"/>
    <w:rsid w:val="00FF53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3FF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iPriority="21" w:unhideWhenUsed="1" w:qFormat="1"/>
    <w:lsdException w:name="Subtle Reference" w:semiHidden="1" w:unhideWhenUsed="1" w:qFormat="1"/>
    <w:lsdException w:name="Intense Reference" w:semiHidden="1" w:uiPriority="32" w:unhideWhenUsed="1" w:qFormat="1"/>
    <w:lsdException w:name="Book Title" w:semiHidden="1" w:uiPriority="33" w:unhideWhenUsed="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Card"/>
    <w:uiPriority w:val="5"/>
    <w:qFormat/>
    <w:rsid w:val="007B5CAD"/>
    <w:rPr>
      <w:rFonts w:ascii="Calibri" w:hAnsi="Calibri" w:cs="Calibri"/>
    </w:rPr>
  </w:style>
  <w:style w:type="paragraph" w:styleId="Heading1">
    <w:name w:val="heading 1"/>
    <w:aliases w:val="Pocket,ALEX,Heading,Brief - Heading 1,Heading 1 Char Char,Header Char Char Char,Heading 1 Char Char Char Char,Header Char Char Char Char Char,Heading 1 Char Char Char Char Char Char,Header 1 Char,HatText,Titles,Brief Title,Block Title"/>
    <w:basedOn w:val="Normal"/>
    <w:next w:val="Normal"/>
    <w:link w:val="Heading1Char"/>
    <w:qFormat/>
    <w:rsid w:val="007B5CAD"/>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sz w:val="52"/>
      <w:szCs w:val="32"/>
    </w:rPr>
  </w:style>
  <w:style w:type="paragraph" w:styleId="Heading2">
    <w:name w:val="heading 2"/>
    <w:aliases w:val="Hat,Heading 2 Char Char1 Char,Heading 2 Char2,Heading 2 Char1 Char,Heading 2 Char Char Char,Heading 2 Char Char1,Heading 21,Char2,BlockText, 1, 2, 3, Char Char Char Char1, 31, 4, 5,Char Char Char Char1,Tag&amp;C,1,2,3,31,4,5,Heading 2 Char Char"/>
    <w:basedOn w:val="Normal"/>
    <w:next w:val="Normal"/>
    <w:link w:val="Heading2Char"/>
    <w:uiPriority w:val="1"/>
    <w:qFormat/>
    <w:rsid w:val="007B5CAD"/>
    <w:pPr>
      <w:keepNext/>
      <w:keepLines/>
      <w:pageBreakBefore/>
      <w:spacing w:before="40" w:after="0"/>
      <w:jc w:val="center"/>
      <w:outlineLvl w:val="1"/>
    </w:pPr>
    <w:rPr>
      <w:rFonts w:eastAsiaTheme="majorEastAsia" w:cstheme="majorBidi"/>
      <w:b/>
      <w:sz w:val="44"/>
      <w:szCs w:val="26"/>
      <w:u w:val="double"/>
    </w:rPr>
  </w:style>
  <w:style w:type="paragraph" w:styleId="Heading3">
    <w:name w:val="heading 3"/>
    <w:aliases w:val="Block,Char Char Char Char Char Char Char,Heading 3 Char Char, Char Char, Char Char Char Char Char Char Char,Char Char, Char,Tag Char Char,Bold Cite,Cite 1,Read Char,Heading 3 Char1 Char Char,Heading 3 Char Char1 Char Char,Read Char Ch,Citation"/>
    <w:basedOn w:val="Normal"/>
    <w:next w:val="Normal"/>
    <w:link w:val="Heading3Char"/>
    <w:uiPriority w:val="2"/>
    <w:qFormat/>
    <w:rsid w:val="007B5CAD"/>
    <w:pPr>
      <w:keepNext/>
      <w:keepLines/>
      <w:pageBreakBefore/>
      <w:spacing w:before="40" w:after="0"/>
      <w:jc w:val="center"/>
      <w:outlineLvl w:val="2"/>
    </w:pPr>
    <w:rPr>
      <w:rFonts w:eastAsiaTheme="majorEastAsia" w:cstheme="majorBidi"/>
      <w:b/>
      <w:sz w:val="32"/>
      <w:szCs w:val="24"/>
      <w:u w:val="single"/>
    </w:rPr>
  </w:style>
  <w:style w:type="paragraph" w:styleId="Heading4">
    <w:name w:val="heading 4"/>
    <w:aliases w:val="Tag,body,Big card,small text,Normal Tag,heading 2,Heading 2 Char2 Char,Heading 2 Char1 Char Char, Ch,Ch,No Spacing211,No Spacing12,no read,TAG,ta,No Spacing2111,No Spacing111111,No Spacing11111,No Spacing4,No Spacing21,tags,Car,small space,T,t"/>
    <w:basedOn w:val="Normal"/>
    <w:next w:val="Normal"/>
    <w:link w:val="Heading4Char"/>
    <w:uiPriority w:val="3"/>
    <w:qFormat/>
    <w:rsid w:val="007B5CAD"/>
    <w:pPr>
      <w:keepNext/>
      <w:keepLines/>
      <w:spacing w:before="40" w:after="0"/>
      <w:outlineLvl w:val="3"/>
    </w:pPr>
    <w:rPr>
      <w:rFonts w:eastAsiaTheme="majorEastAsia" w:cstheme="majorBidi"/>
      <w:b/>
      <w:iCs/>
      <w:sz w:val="26"/>
    </w:rPr>
  </w:style>
  <w:style w:type="paragraph" w:styleId="Heading5">
    <w:name w:val="heading 5"/>
    <w:basedOn w:val="Normal"/>
    <w:next w:val="Normal"/>
    <w:link w:val="Heading5Char"/>
    <w:uiPriority w:val="9"/>
    <w:semiHidden/>
    <w:unhideWhenUsed/>
    <w:rsid w:val="007B5CA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16A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A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A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A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rsid w:val="007B5CA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B5CAD"/>
  </w:style>
  <w:style w:type="character" w:customStyle="1" w:styleId="Heading1Char">
    <w:name w:val="Heading 1 Char"/>
    <w:aliases w:val="Pocket Char,ALEX Char,Heading Char,Brief - Heading 1 Char,Heading 1 Char Char Char,Header Char Char Char Char,Heading 1 Char Char Char Char Char,Header Char Char Char Char Char Char,Heading 1 Char Char Char Char Char Char Char,Titles Char"/>
    <w:basedOn w:val="DefaultParagraphFont"/>
    <w:link w:val="Heading1"/>
    <w:rsid w:val="007B5CAD"/>
    <w:rPr>
      <w:rFonts w:ascii="Calibri" w:eastAsiaTheme="majorEastAsia" w:hAnsi="Calibri" w:cstheme="majorBidi"/>
      <w:b/>
      <w:sz w:val="52"/>
      <w:szCs w:val="32"/>
    </w:rPr>
  </w:style>
  <w:style w:type="character" w:customStyle="1" w:styleId="Heading2Char">
    <w:name w:val="Heading 2 Char"/>
    <w:aliases w:val="Hat Char,Heading 2 Char Char1 Char Char,Heading 2 Char2 Char1,Heading 2 Char1 Char Char1,Heading 2 Char Char Char Char,Heading 2 Char Char1 Char1,Heading 21 Char,Char2 Char,BlockText Char, 1 Char, 2 Char, 3 Char, Char Char Char Char1 Char"/>
    <w:basedOn w:val="DefaultParagraphFont"/>
    <w:link w:val="Heading2"/>
    <w:uiPriority w:val="1"/>
    <w:rsid w:val="007B5CAD"/>
    <w:rPr>
      <w:rFonts w:ascii="Calibri" w:eastAsiaTheme="majorEastAsia" w:hAnsi="Calibri" w:cstheme="majorBidi"/>
      <w:b/>
      <w:sz w:val="44"/>
      <w:szCs w:val="26"/>
      <w:u w:val="double"/>
    </w:rPr>
  </w:style>
  <w:style w:type="character" w:customStyle="1" w:styleId="Heading3Char">
    <w:name w:val="Heading 3 Char"/>
    <w:aliases w:val="Block Char,Char Char Char Char Char Char Char Char,Heading 3 Char Char Char, Char Char Char, Char Char Char Char Char Char Char Char,Char Char Char, Char Char1,Tag Char Char Char,Bold Cite Char,Cite 1 Char,Read Char Char,Read Char Ch Char"/>
    <w:basedOn w:val="DefaultParagraphFont"/>
    <w:link w:val="Heading3"/>
    <w:uiPriority w:val="2"/>
    <w:rsid w:val="007B5CAD"/>
    <w:rPr>
      <w:rFonts w:ascii="Calibri" w:eastAsiaTheme="majorEastAsia" w:hAnsi="Calibri" w:cstheme="majorBidi"/>
      <w:b/>
      <w:sz w:val="32"/>
      <w:szCs w:val="24"/>
      <w:u w:val="single"/>
    </w:rPr>
  </w:style>
  <w:style w:type="character" w:customStyle="1" w:styleId="Heading4Char">
    <w:name w:val="Heading 4 Char"/>
    <w:aliases w:val="Tag Char,body Char,Big card Char,small text Char,Normal Tag Char,heading 2 Char,Heading 2 Char2 Char Char,Heading 2 Char1 Char Char Char, Ch Char,Ch Char,No Spacing211 Char,No Spacing12 Char,no read Char,TAG Char,ta Char,No Spacing4 Char"/>
    <w:basedOn w:val="DefaultParagraphFont"/>
    <w:link w:val="Heading4"/>
    <w:uiPriority w:val="3"/>
    <w:rsid w:val="007B5CAD"/>
    <w:rPr>
      <w:rFonts w:ascii="Calibri" w:eastAsiaTheme="majorEastAsia" w:hAnsi="Calibri" w:cstheme="majorBidi"/>
      <w:b/>
      <w:iCs/>
      <w:sz w:val="26"/>
    </w:rPr>
  </w:style>
  <w:style w:type="character" w:styleId="Emphasis">
    <w:name w:val="Emphasis"/>
    <w:aliases w:val="Evidence,Minimized,minimized,Highlighted,tag2,Size 10,emphasis in card,CD Card,ED - Tag,Underlined,emphasis,Emphasis!!,small,Bold Underline,Qualifications,normal card text,Shrunk,bold underline,qualifications in card,qualifications,Style1,Box,s"/>
    <w:basedOn w:val="DefaultParagraphFont"/>
    <w:link w:val="textbold"/>
    <w:uiPriority w:val="8"/>
    <w:qFormat/>
    <w:rsid w:val="007B5CAD"/>
    <w:rPr>
      <w:rFonts w:ascii="Calibri" w:hAnsi="Calibri" w:cs="Calibri"/>
      <w:b/>
      <w:i w:val="0"/>
      <w:iCs/>
      <w:sz w:val="22"/>
      <w:u w:val="single"/>
      <w:bdr w:val="none" w:sz="0" w:space="0" w:color="auto"/>
    </w:rPr>
  </w:style>
  <w:style w:type="character" w:customStyle="1" w:styleId="Style13ptBold">
    <w:name w:val="Style 13 pt Bold"/>
    <w:aliases w:val="Cite,Style Style Bold + 12 pt,Style Style Bold,Style Style Bold + 12pt,Style Style + 12 pt,Style Style Bo... +,Old Cite,Style Style Bold + 10 pt,tagld + 12 pt,Style Style Bold + 13 pt,Style Style Bold + 11 pt,tag + 12 pt,Not...,Not.,Not"/>
    <w:basedOn w:val="DefaultParagraphFont"/>
    <w:uiPriority w:val="6"/>
    <w:qFormat/>
    <w:rsid w:val="007B5CAD"/>
    <w:rPr>
      <w:b/>
      <w:bCs/>
      <w:sz w:val="26"/>
      <w:u w:val="none"/>
    </w:rPr>
  </w:style>
  <w:style w:type="character" w:customStyle="1" w:styleId="StyleUnderline">
    <w:name w:val="Style Underline"/>
    <w:aliases w:val="Underline,Style Bold Underline,apple-style-span + 6 pt,Bold,Kern at 16 pt,Intense Emphasis1,Intense Emphasis2,HHeading 3 + 12 pt,Minimized Char,Heading 3 Char Char Char Char Char,c,Citation Char Char Char,Style,ci,Intense Emphasis3,Bo,B"/>
    <w:basedOn w:val="DefaultParagraphFont"/>
    <w:uiPriority w:val="7"/>
    <w:qFormat/>
    <w:rsid w:val="007B5CAD"/>
    <w:rPr>
      <w:b w:val="0"/>
      <w:sz w:val="22"/>
      <w:u w:val="single"/>
    </w:rPr>
  </w:style>
  <w:style w:type="character" w:styleId="Hyperlink">
    <w:name w:val="Hyperlink"/>
    <w:aliases w:val="heading 1 (block title),Important,Read,Card Text,Internet Link,Analytic Text,Internet link,Underline Char Char Char Char1,Heading 3 Char Char Char Char Char Char Char Char Char Char1,BlockText Char1,TAG ,Char Char1,Heading 1 Char1,Pocket Char1"/>
    <w:basedOn w:val="DefaultParagraphFont"/>
    <w:link w:val="Card"/>
    <w:uiPriority w:val="99"/>
    <w:unhideWhenUsed/>
    <w:rsid w:val="007B5CAD"/>
    <w:rPr>
      <w:color w:val="0563C1" w:themeColor="hyperlink"/>
      <w:u w:val="single"/>
    </w:rPr>
  </w:style>
  <w:style w:type="character" w:styleId="FollowedHyperlink">
    <w:name w:val="FollowedHyperlink"/>
    <w:basedOn w:val="DefaultParagraphFont"/>
    <w:uiPriority w:val="99"/>
    <w:semiHidden/>
    <w:unhideWhenUsed/>
    <w:rsid w:val="007B5CAD"/>
    <w:rPr>
      <w:color w:val="auto"/>
      <w:u w:val="none"/>
    </w:rPr>
  </w:style>
  <w:style w:type="paragraph" w:customStyle="1" w:styleId="textbold">
    <w:name w:val="text bold"/>
    <w:basedOn w:val="Normal"/>
    <w:link w:val="Emphasis"/>
    <w:uiPriority w:val="8"/>
    <w:qFormat/>
    <w:rsid w:val="00345B2B"/>
    <w:pPr>
      <w:ind w:left="720"/>
      <w:jc w:val="both"/>
    </w:pPr>
    <w:rPr>
      <w:b/>
      <w:iCs/>
      <w:u w:val="single"/>
    </w:rPr>
  </w:style>
  <w:style w:type="paragraph" w:customStyle="1" w:styleId="Card">
    <w:name w:val="Card"/>
    <w:aliases w:val="Debate Text,No Spacing31,No Spacing22,No Spacing3,No Spacing2,Read stuff,Tags,No Spacing11,No Spacing111,No Spacing1121,No Spacing41,No Spacing111112,No Spacing112,No Spacing1111,No Spacing1,Medium Grid 21,tag,Dont use,No Spacing5,CD - Cite,Dont u"/>
    <w:basedOn w:val="Heading1"/>
    <w:link w:val="Hyperlink"/>
    <w:autoRedefine/>
    <w:uiPriority w:val="99"/>
    <w:qFormat/>
    <w:rsid w:val="00345B2B"/>
    <w:pPr>
      <w:keepNext w:val="0"/>
      <w:keepLines w:val="0"/>
      <w:pageBreakBefore w:val="0"/>
      <w:pBdr>
        <w:top w:val="none" w:sz="0" w:space="0" w:color="auto"/>
        <w:left w:val="none" w:sz="0" w:space="0" w:color="auto"/>
        <w:bottom w:val="none" w:sz="0" w:space="0" w:color="auto"/>
        <w:right w:val="none" w:sz="0" w:space="0" w:color="auto"/>
      </w:pBdr>
      <w:jc w:val="left"/>
      <w:outlineLvl w:val="9"/>
    </w:pPr>
    <w:rPr>
      <w:rFonts w:asciiTheme="minorHAnsi" w:eastAsiaTheme="minorHAnsi" w:hAnsiTheme="minorHAnsi" w:cstheme="minorBidi"/>
      <w:b w:val="0"/>
      <w:color w:val="0563C1" w:themeColor="hyperlink"/>
      <w:sz w:val="22"/>
      <w:szCs w:val="22"/>
      <w:u w:val="single"/>
    </w:rPr>
  </w:style>
  <w:style w:type="character" w:styleId="Strong">
    <w:name w:val="Strong"/>
    <w:basedOn w:val="DefaultParagraphFont"/>
    <w:uiPriority w:val="22"/>
    <w:qFormat/>
    <w:rsid w:val="007B5CAD"/>
    <w:rPr>
      <w:b/>
      <w:bCs/>
    </w:rPr>
  </w:style>
  <w:style w:type="paragraph" w:styleId="NormalWeb">
    <w:name w:val="Normal (Web)"/>
    <w:basedOn w:val="Normal"/>
    <w:uiPriority w:val="99"/>
    <w:semiHidden/>
    <w:unhideWhenUsed/>
    <w:rsid w:val="00F07F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kiexternallink">
    <w:name w:val="wikiexternallink"/>
    <w:basedOn w:val="DefaultParagraphFont"/>
    <w:rsid w:val="00F07F90"/>
  </w:style>
  <w:style w:type="character" w:customStyle="1" w:styleId="wikigeneratedlinkcontent">
    <w:name w:val="wikigeneratedlinkcontent"/>
    <w:basedOn w:val="DefaultParagraphFont"/>
    <w:rsid w:val="00F07F90"/>
  </w:style>
  <w:style w:type="character" w:customStyle="1" w:styleId="underline">
    <w:name w:val="underline"/>
    <w:basedOn w:val="DefaultParagraphFont"/>
    <w:rsid w:val="001C3122"/>
  </w:style>
  <w:style w:type="paragraph" w:customStyle="1" w:styleId="css-exrw3m">
    <w:name w:val="css-exrw3m"/>
    <w:basedOn w:val="Normal"/>
    <w:rsid w:val="002668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ancedheadline">
    <w:name w:val="balancedheadline"/>
    <w:basedOn w:val="DefaultParagraphFont"/>
    <w:rsid w:val="00266860"/>
  </w:style>
  <w:style w:type="paragraph" w:customStyle="1" w:styleId="UnderlinePara">
    <w:name w:val="Underline Para"/>
    <w:basedOn w:val="Normal"/>
    <w:uiPriority w:val="6"/>
    <w:qFormat/>
    <w:rsid w:val="00694518"/>
    <w:pPr>
      <w:widowControl w:val="0"/>
      <w:suppressAutoHyphens/>
      <w:spacing w:after="200"/>
      <w:contextualSpacing/>
    </w:pPr>
    <w:rPr>
      <w:rFonts w:asciiTheme="minorHAnsi" w:hAnsiTheme="minorHAnsi"/>
      <w:u w:val="single"/>
    </w:rPr>
  </w:style>
  <w:style w:type="paragraph" w:customStyle="1" w:styleId="font--body">
    <w:name w:val="font--body"/>
    <w:basedOn w:val="Normal"/>
    <w:rsid w:val="00CC54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n-bodyparagraph">
    <w:name w:val="zn-body__paragraph"/>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C2219E"/>
    <w:rPr>
      <w:i/>
      <w:iCs/>
    </w:rPr>
  </w:style>
  <w:style w:type="paragraph" w:customStyle="1" w:styleId="pullquotequote">
    <w:name w:val="pullquote__quote"/>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llquoteauthor">
    <w:name w:val="pullquote__author"/>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storyelementheader">
    <w:name w:val="el__storyelement__header"/>
    <w:basedOn w:val="DefaultParagraphFont"/>
    <w:rsid w:val="00C2219E"/>
  </w:style>
  <w:style w:type="character" w:customStyle="1" w:styleId="inlinkchart">
    <w:name w:val="inlink_chart"/>
    <w:basedOn w:val="DefaultParagraphFont"/>
    <w:rsid w:val="00C2219E"/>
  </w:style>
  <w:style w:type="paragraph" w:customStyle="1" w:styleId="more-ontitle">
    <w:name w:val="more-on__title"/>
    <w:basedOn w:val="Normal"/>
    <w:rsid w:val="004734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oncontent">
    <w:name w:val="more-on__content"/>
    <w:basedOn w:val="Normal"/>
    <w:rsid w:val="0047344E"/>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aliases w:val="Cites and Cards,UNDERLINE,Bold Underlined,title,Block Heading,Read This,Non Read Text,Debate Normal"/>
    <w:basedOn w:val="Normal"/>
    <w:next w:val="Normal"/>
    <w:link w:val="TitleChar"/>
    <w:uiPriority w:val="10"/>
    <w:qFormat/>
    <w:rsid w:val="000A55F1"/>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aliases w:val="Cites and Cards Char,UNDERLINE Char,Bold Underlined Char,title Char,Block Heading Char,Read This Char,Non Read Text Char,Debate Normal Char"/>
    <w:basedOn w:val="DefaultParagraphFont"/>
    <w:link w:val="Title"/>
    <w:uiPriority w:val="10"/>
    <w:qFormat/>
    <w:rsid w:val="000A55F1"/>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0A55F1"/>
    <w:pPr>
      <w:numPr>
        <w:ilvl w:val="1"/>
      </w:numPr>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0A55F1"/>
    <w:rPr>
      <w:rFonts w:eastAsiaTheme="minorEastAsia" w:cs="Times New Roman"/>
      <w:color w:val="5A5A5A" w:themeColor="text1" w:themeTint="A5"/>
      <w:spacing w:val="15"/>
    </w:rPr>
  </w:style>
  <w:style w:type="paragraph" w:styleId="Header">
    <w:name w:val="header"/>
    <w:basedOn w:val="Normal"/>
    <w:link w:val="HeaderChar"/>
    <w:uiPriority w:val="99"/>
    <w:rsid w:val="007B5C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CAD"/>
    <w:rPr>
      <w:rFonts w:ascii="Calibri" w:hAnsi="Calibri" w:cs="Calibri"/>
    </w:rPr>
  </w:style>
  <w:style w:type="paragraph" w:styleId="Footer">
    <w:name w:val="footer"/>
    <w:basedOn w:val="Normal"/>
    <w:link w:val="FooterChar"/>
    <w:uiPriority w:val="99"/>
    <w:rsid w:val="007B5C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CAD"/>
    <w:rPr>
      <w:rFonts w:ascii="Calibri" w:hAnsi="Calibri" w:cs="Calibri"/>
    </w:rPr>
  </w:style>
  <w:style w:type="character" w:styleId="PlaceholderText">
    <w:name w:val="Placeholder Text"/>
    <w:basedOn w:val="DefaultParagraphFont"/>
    <w:uiPriority w:val="99"/>
    <w:semiHidden/>
    <w:rsid w:val="000A55F1"/>
    <w:rPr>
      <w:color w:val="808080"/>
    </w:rPr>
  </w:style>
  <w:style w:type="paragraph" w:customStyle="1" w:styleId="wp-caption-text">
    <w:name w:val="wp-caption-text"/>
    <w:basedOn w:val="Normal"/>
    <w:rsid w:val="00B608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axirz">
    <w:name w:val="sc-axirz"/>
    <w:basedOn w:val="DefaultParagraphFont"/>
    <w:rsid w:val="00A06A81"/>
  </w:style>
  <w:style w:type="paragraph" w:styleId="ListParagraph">
    <w:name w:val="List Paragraph"/>
    <w:basedOn w:val="Normal"/>
    <w:uiPriority w:val="99"/>
    <w:unhideWhenUsed/>
    <w:qFormat/>
    <w:rsid w:val="00D01142"/>
    <w:pPr>
      <w:ind w:left="720"/>
      <w:contextualSpacing/>
    </w:pPr>
  </w:style>
  <w:style w:type="character" w:styleId="UnresolvedMention">
    <w:name w:val="Unresolved Mention"/>
    <w:basedOn w:val="DefaultParagraphFont"/>
    <w:uiPriority w:val="99"/>
    <w:semiHidden/>
    <w:unhideWhenUsed/>
    <w:rsid w:val="007B5CAD"/>
    <w:rPr>
      <w:color w:val="605E5C"/>
      <w:shd w:val="clear" w:color="auto" w:fill="E1DFDD"/>
    </w:rPr>
  </w:style>
  <w:style w:type="paragraph" w:customStyle="1" w:styleId="Emphasize">
    <w:name w:val="Emphasize"/>
    <w:basedOn w:val="Normal"/>
    <w:uiPriority w:val="7"/>
    <w:qFormat/>
    <w:rsid w:val="00C56E87"/>
    <w:pPr>
      <w:pBdr>
        <w:top w:val="single" w:sz="18" w:space="0" w:color="auto"/>
        <w:left w:val="single" w:sz="18" w:space="0" w:color="auto"/>
        <w:bottom w:val="single" w:sz="18" w:space="0" w:color="auto"/>
        <w:right w:val="single" w:sz="18" w:space="0" w:color="auto"/>
      </w:pBdr>
      <w:spacing w:line="256" w:lineRule="auto"/>
      <w:ind w:left="720"/>
      <w:jc w:val="both"/>
    </w:pPr>
    <w:rPr>
      <w:b/>
      <w:iCs/>
      <w:u w:val="single"/>
    </w:rPr>
  </w:style>
  <w:style w:type="character" w:styleId="CommentReference">
    <w:name w:val="annotation reference"/>
    <w:basedOn w:val="DefaultParagraphFont"/>
    <w:uiPriority w:val="99"/>
    <w:semiHidden/>
    <w:unhideWhenUsed/>
    <w:rsid w:val="00E513BB"/>
    <w:rPr>
      <w:sz w:val="16"/>
      <w:szCs w:val="16"/>
    </w:rPr>
  </w:style>
  <w:style w:type="paragraph" w:styleId="CommentText">
    <w:name w:val="annotation text"/>
    <w:basedOn w:val="Normal"/>
    <w:link w:val="CommentTextChar"/>
    <w:uiPriority w:val="99"/>
    <w:semiHidden/>
    <w:unhideWhenUsed/>
    <w:rsid w:val="00E513BB"/>
    <w:pPr>
      <w:spacing w:line="240" w:lineRule="auto"/>
    </w:pPr>
    <w:rPr>
      <w:sz w:val="20"/>
      <w:szCs w:val="20"/>
    </w:rPr>
  </w:style>
  <w:style w:type="character" w:customStyle="1" w:styleId="CommentTextChar">
    <w:name w:val="Comment Text Char"/>
    <w:basedOn w:val="DefaultParagraphFont"/>
    <w:link w:val="CommentText"/>
    <w:uiPriority w:val="99"/>
    <w:semiHidden/>
    <w:rsid w:val="00E513B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513BB"/>
    <w:rPr>
      <w:b/>
      <w:bCs/>
    </w:rPr>
  </w:style>
  <w:style w:type="character" w:customStyle="1" w:styleId="CommentSubjectChar">
    <w:name w:val="Comment Subject Char"/>
    <w:basedOn w:val="CommentTextChar"/>
    <w:link w:val="CommentSubject"/>
    <w:uiPriority w:val="99"/>
    <w:semiHidden/>
    <w:rsid w:val="00E513BB"/>
    <w:rPr>
      <w:rFonts w:ascii="Calibri" w:hAnsi="Calibri" w:cs="Calibri"/>
      <w:b/>
      <w:bCs/>
      <w:sz w:val="20"/>
      <w:szCs w:val="20"/>
    </w:rPr>
  </w:style>
  <w:style w:type="paragraph" w:customStyle="1" w:styleId="Emphasis1">
    <w:name w:val="Emphasis1"/>
    <w:basedOn w:val="Normal"/>
    <w:uiPriority w:val="7"/>
    <w:qFormat/>
    <w:rsid w:val="002B6F88"/>
    <w:pPr>
      <w:pBdr>
        <w:top w:val="single" w:sz="4" w:space="1" w:color="auto"/>
        <w:left w:val="single" w:sz="4" w:space="4" w:color="auto"/>
        <w:bottom w:val="single" w:sz="4" w:space="1" w:color="auto"/>
        <w:right w:val="single" w:sz="4" w:space="4" w:color="auto"/>
      </w:pBdr>
      <w:ind w:left="720"/>
      <w:jc w:val="both"/>
    </w:pPr>
    <w:rPr>
      <w:rFonts w:asciiTheme="minorHAnsi" w:hAnsiTheme="minorHAnsi" w:cstheme="minorBidi"/>
      <w:b/>
      <w:iCs/>
      <w:u w:val="single"/>
      <w:lang w:eastAsia="zh-CN"/>
    </w:rPr>
  </w:style>
  <w:style w:type="character" w:customStyle="1" w:styleId="TitleChar1">
    <w:name w:val="Title Char1"/>
    <w:basedOn w:val="DefaultParagraphFont"/>
    <w:uiPriority w:val="99"/>
    <w:rsid w:val="009A6972"/>
    <w:rPr>
      <w:rFonts w:asciiTheme="majorHAnsi" w:eastAsiaTheme="majorEastAsia" w:hAnsiTheme="majorHAnsi" w:cstheme="majorBidi"/>
      <w:spacing w:val="-10"/>
      <w:kern w:val="28"/>
      <w:sz w:val="56"/>
      <w:szCs w:val="56"/>
    </w:rPr>
  </w:style>
  <w:style w:type="paragraph" w:customStyle="1" w:styleId="Shrink">
    <w:name w:val="Shrink"/>
    <w:basedOn w:val="Normal"/>
    <w:link w:val="ShrinkChar"/>
    <w:autoRedefine/>
    <w:uiPriority w:val="4"/>
    <w:qFormat/>
    <w:rsid w:val="009A6972"/>
    <w:rPr>
      <w:rFonts w:asciiTheme="minorHAnsi" w:eastAsia="Times New Roman" w:hAnsiTheme="minorHAnsi" w:cstheme="minorHAnsi"/>
      <w:bCs/>
      <w:sz w:val="16"/>
      <w:lang w:eastAsia="zh-CN"/>
    </w:rPr>
  </w:style>
  <w:style w:type="character" w:customStyle="1" w:styleId="ShrinkChar">
    <w:name w:val="Shrink Char"/>
    <w:basedOn w:val="DefaultParagraphFont"/>
    <w:link w:val="Shrink"/>
    <w:uiPriority w:val="4"/>
    <w:rsid w:val="009A6972"/>
    <w:rPr>
      <w:rFonts w:eastAsia="Times New Roman" w:cstheme="minorHAnsi"/>
      <w:bCs/>
      <w:sz w:val="16"/>
      <w:lang w:eastAsia="zh-CN"/>
    </w:rPr>
  </w:style>
  <w:style w:type="character" w:styleId="IntenseEmphasis">
    <w:name w:val="Intense Emphasis"/>
    <w:aliases w:val="Intense Emphasis31"/>
    <w:basedOn w:val="DefaultParagraphFont"/>
    <w:uiPriority w:val="21"/>
    <w:qFormat/>
    <w:rsid w:val="009A6972"/>
    <w:rPr>
      <w:b w:val="0"/>
      <w:sz w:val="22"/>
      <w:u w:val="single"/>
    </w:rPr>
  </w:style>
  <w:style w:type="paragraph" w:styleId="NoSpacing">
    <w:name w:val="No Spacing"/>
    <w:link w:val="NoSpacingChar"/>
    <w:uiPriority w:val="99"/>
    <w:unhideWhenUsed/>
    <w:qFormat/>
    <w:rsid w:val="007B5CAD"/>
    <w:pPr>
      <w:spacing w:after="0" w:line="240" w:lineRule="auto"/>
    </w:pPr>
    <w:rPr>
      <w:rFonts w:ascii="Calibri" w:hAnsi="Calibri" w:cs="Calibri"/>
    </w:rPr>
  </w:style>
  <w:style w:type="character" w:customStyle="1" w:styleId="Heading5Char">
    <w:name w:val="Heading 5 Char"/>
    <w:basedOn w:val="DefaultParagraphFont"/>
    <w:link w:val="Heading5"/>
    <w:uiPriority w:val="9"/>
    <w:semiHidden/>
    <w:rsid w:val="007B5CAD"/>
    <w:rPr>
      <w:rFonts w:asciiTheme="majorHAnsi" w:eastAsiaTheme="majorEastAsia" w:hAnsiTheme="majorHAnsi" w:cstheme="majorBidi"/>
      <w:color w:val="2E74B5" w:themeColor="accent1" w:themeShade="BF"/>
    </w:rPr>
  </w:style>
  <w:style w:type="character" w:styleId="BookTitle">
    <w:name w:val="Book Title"/>
    <w:basedOn w:val="DefaultParagraphFont"/>
    <w:uiPriority w:val="33"/>
    <w:qFormat/>
    <w:rsid w:val="007B5CAD"/>
    <w:rPr>
      <w:b/>
      <w:bCs/>
      <w:i/>
      <w:iCs/>
      <w:spacing w:val="5"/>
    </w:rPr>
  </w:style>
  <w:style w:type="numbering" w:styleId="111111">
    <w:name w:val="Outline List 2"/>
    <w:basedOn w:val="NoList"/>
    <w:uiPriority w:val="99"/>
    <w:semiHidden/>
    <w:unhideWhenUsed/>
    <w:rsid w:val="007B5CAD"/>
  </w:style>
  <w:style w:type="paragraph" w:styleId="BodyText">
    <w:name w:val="Body Text"/>
    <w:basedOn w:val="Normal"/>
    <w:link w:val="BodyTextChar"/>
    <w:uiPriority w:val="99"/>
    <w:semiHidden/>
    <w:unhideWhenUsed/>
    <w:rsid w:val="007B5CAD"/>
    <w:pPr>
      <w:spacing w:after="120"/>
    </w:pPr>
  </w:style>
  <w:style w:type="character" w:customStyle="1" w:styleId="BodyTextChar">
    <w:name w:val="Body Text Char"/>
    <w:basedOn w:val="DefaultParagraphFont"/>
    <w:link w:val="BodyText"/>
    <w:uiPriority w:val="99"/>
    <w:semiHidden/>
    <w:rsid w:val="007B5CAD"/>
    <w:rPr>
      <w:rFonts w:ascii="Calibri" w:hAnsi="Calibri" w:cs="Calibri"/>
    </w:rPr>
  </w:style>
  <w:style w:type="character" w:customStyle="1" w:styleId="NoSpacingChar">
    <w:name w:val="No Spacing Char"/>
    <w:basedOn w:val="DefaultParagraphFont"/>
    <w:link w:val="NoSpacing"/>
    <w:uiPriority w:val="99"/>
    <w:rsid w:val="007B5CAD"/>
    <w:rPr>
      <w:rFonts w:ascii="Calibri" w:hAnsi="Calibri" w:cs="Calibri"/>
    </w:rPr>
  </w:style>
  <w:style w:type="character" w:customStyle="1" w:styleId="Heading6Char">
    <w:name w:val="Heading 6 Char"/>
    <w:basedOn w:val="DefaultParagraphFont"/>
    <w:link w:val="Heading6"/>
    <w:uiPriority w:val="9"/>
    <w:semiHidden/>
    <w:rsid w:val="00016A4C"/>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semiHidden/>
    <w:rsid w:val="00016A4C"/>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016A4C"/>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016A4C"/>
    <w:rPr>
      <w:rFonts w:ascii="Calibri" w:eastAsiaTheme="majorEastAsia" w:hAnsi="Calibri" w:cstheme="majorBidi"/>
      <w:color w:val="272727" w:themeColor="text1" w:themeTint="D8"/>
    </w:rPr>
  </w:style>
  <w:style w:type="paragraph" w:styleId="Quote">
    <w:name w:val="Quote"/>
    <w:basedOn w:val="Normal"/>
    <w:next w:val="Normal"/>
    <w:link w:val="QuoteChar"/>
    <w:uiPriority w:val="29"/>
    <w:qFormat/>
    <w:rsid w:val="00016A4C"/>
    <w:pPr>
      <w:spacing w:before="160"/>
      <w:jc w:val="center"/>
    </w:pPr>
    <w:rPr>
      <w:i/>
      <w:iCs/>
      <w:color w:val="404040" w:themeColor="text1" w:themeTint="BF"/>
    </w:rPr>
  </w:style>
  <w:style w:type="character" w:customStyle="1" w:styleId="QuoteChar">
    <w:name w:val="Quote Char"/>
    <w:basedOn w:val="DefaultParagraphFont"/>
    <w:link w:val="Quote"/>
    <w:uiPriority w:val="29"/>
    <w:rsid w:val="00016A4C"/>
    <w:rPr>
      <w:rFonts w:ascii="Calibri" w:hAnsi="Calibri" w:cs="Calibri"/>
      <w:i/>
      <w:iCs/>
      <w:color w:val="404040" w:themeColor="text1" w:themeTint="BF"/>
    </w:rPr>
  </w:style>
  <w:style w:type="paragraph" w:styleId="IntenseQuote">
    <w:name w:val="Intense Quote"/>
    <w:basedOn w:val="Normal"/>
    <w:next w:val="Normal"/>
    <w:link w:val="IntenseQuoteChar"/>
    <w:uiPriority w:val="30"/>
    <w:qFormat/>
    <w:rsid w:val="00016A4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16A4C"/>
    <w:rPr>
      <w:rFonts w:ascii="Calibri" w:hAnsi="Calibri" w:cs="Calibri"/>
      <w:i/>
      <w:iCs/>
      <w:color w:val="2E74B5" w:themeColor="accent1" w:themeShade="BF"/>
    </w:rPr>
  </w:style>
  <w:style w:type="character" w:styleId="IntenseReference">
    <w:name w:val="Intense Reference"/>
    <w:basedOn w:val="DefaultParagraphFont"/>
    <w:uiPriority w:val="32"/>
    <w:qFormat/>
    <w:rsid w:val="00016A4C"/>
    <w:rPr>
      <w:b/>
      <w:bCs/>
      <w:smallCaps/>
      <w:color w:val="2E74B5" w:themeColor="accent1" w:themeShade="BF"/>
      <w:spacing w:val="5"/>
    </w:rPr>
  </w:style>
  <w:style w:type="paragraph" w:styleId="ListBullet">
    <w:name w:val="List Bullet"/>
    <w:basedOn w:val="Normal"/>
    <w:uiPriority w:val="99"/>
    <w:unhideWhenUsed/>
    <w:rsid w:val="00F84F6E"/>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4152">
      <w:bodyDiv w:val="1"/>
      <w:marLeft w:val="0"/>
      <w:marRight w:val="0"/>
      <w:marTop w:val="0"/>
      <w:marBottom w:val="0"/>
      <w:divBdr>
        <w:top w:val="none" w:sz="0" w:space="0" w:color="auto"/>
        <w:left w:val="none" w:sz="0" w:space="0" w:color="auto"/>
        <w:bottom w:val="none" w:sz="0" w:space="0" w:color="auto"/>
        <w:right w:val="none" w:sz="0" w:space="0" w:color="auto"/>
      </w:divBdr>
    </w:div>
    <w:div w:id="93869320">
      <w:bodyDiv w:val="1"/>
      <w:marLeft w:val="0"/>
      <w:marRight w:val="0"/>
      <w:marTop w:val="0"/>
      <w:marBottom w:val="0"/>
      <w:divBdr>
        <w:top w:val="none" w:sz="0" w:space="0" w:color="auto"/>
        <w:left w:val="none" w:sz="0" w:space="0" w:color="auto"/>
        <w:bottom w:val="none" w:sz="0" w:space="0" w:color="auto"/>
        <w:right w:val="none" w:sz="0" w:space="0" w:color="auto"/>
      </w:divBdr>
      <w:divsChild>
        <w:div w:id="127670959">
          <w:marLeft w:val="0"/>
          <w:marRight w:val="0"/>
          <w:marTop w:val="0"/>
          <w:marBottom w:val="450"/>
          <w:divBdr>
            <w:top w:val="none" w:sz="0" w:space="0" w:color="auto"/>
            <w:left w:val="none" w:sz="0" w:space="0" w:color="auto"/>
            <w:bottom w:val="none" w:sz="0" w:space="0" w:color="auto"/>
            <w:right w:val="none" w:sz="0" w:space="0" w:color="auto"/>
          </w:divBdr>
          <w:divsChild>
            <w:div w:id="857235339">
              <w:marLeft w:val="0"/>
              <w:marRight w:val="0"/>
              <w:marTop w:val="0"/>
              <w:marBottom w:val="450"/>
              <w:divBdr>
                <w:top w:val="none" w:sz="0" w:space="0" w:color="auto"/>
                <w:left w:val="none" w:sz="0" w:space="0" w:color="auto"/>
                <w:bottom w:val="none" w:sz="0" w:space="0" w:color="auto"/>
                <w:right w:val="none" w:sz="0" w:space="0" w:color="auto"/>
              </w:divBdr>
              <w:divsChild>
                <w:div w:id="1221945803">
                  <w:marLeft w:val="0"/>
                  <w:marRight w:val="0"/>
                  <w:marTop w:val="0"/>
                  <w:marBottom w:val="0"/>
                  <w:divBdr>
                    <w:top w:val="none" w:sz="0" w:space="0" w:color="auto"/>
                    <w:left w:val="none" w:sz="0" w:space="0" w:color="auto"/>
                    <w:bottom w:val="none" w:sz="0" w:space="0" w:color="auto"/>
                    <w:right w:val="none" w:sz="0" w:space="0" w:color="auto"/>
                  </w:divBdr>
                  <w:divsChild>
                    <w:div w:id="2040205098">
                      <w:marLeft w:val="0"/>
                      <w:marRight w:val="0"/>
                      <w:marTop w:val="0"/>
                      <w:marBottom w:val="0"/>
                      <w:divBdr>
                        <w:top w:val="none" w:sz="0" w:space="0" w:color="auto"/>
                        <w:left w:val="none" w:sz="0" w:space="0" w:color="auto"/>
                        <w:bottom w:val="none" w:sz="0" w:space="0" w:color="auto"/>
                        <w:right w:val="none" w:sz="0" w:space="0" w:color="auto"/>
                      </w:divBdr>
                      <w:divsChild>
                        <w:div w:id="20322153">
                          <w:marLeft w:val="0"/>
                          <w:marRight w:val="0"/>
                          <w:marTop w:val="0"/>
                          <w:marBottom w:val="0"/>
                          <w:divBdr>
                            <w:top w:val="none" w:sz="0" w:space="0" w:color="auto"/>
                            <w:left w:val="none" w:sz="0" w:space="0" w:color="auto"/>
                            <w:bottom w:val="none" w:sz="0" w:space="0" w:color="auto"/>
                            <w:right w:val="none" w:sz="0" w:space="0" w:color="auto"/>
                          </w:divBdr>
                          <w:divsChild>
                            <w:div w:id="1805461316">
                              <w:marLeft w:val="0"/>
                              <w:marRight w:val="0"/>
                              <w:marTop w:val="0"/>
                              <w:marBottom w:val="0"/>
                              <w:divBdr>
                                <w:top w:val="none" w:sz="0" w:space="0" w:color="auto"/>
                                <w:left w:val="none" w:sz="0" w:space="0" w:color="auto"/>
                                <w:bottom w:val="none" w:sz="0" w:space="0" w:color="auto"/>
                                <w:right w:val="none" w:sz="0" w:space="0" w:color="auto"/>
                              </w:divBdr>
                            </w:div>
                          </w:divsChild>
                        </w:div>
                        <w:div w:id="204414877">
                          <w:marLeft w:val="0"/>
                          <w:marRight w:val="0"/>
                          <w:marTop w:val="0"/>
                          <w:marBottom w:val="0"/>
                          <w:divBdr>
                            <w:top w:val="none" w:sz="0" w:space="0" w:color="auto"/>
                            <w:left w:val="none" w:sz="0" w:space="0" w:color="auto"/>
                            <w:bottom w:val="none" w:sz="0" w:space="0" w:color="auto"/>
                            <w:right w:val="none" w:sz="0" w:space="0" w:color="auto"/>
                          </w:divBdr>
                          <w:divsChild>
                            <w:div w:id="989594371">
                              <w:marLeft w:val="0"/>
                              <w:marRight w:val="0"/>
                              <w:marTop w:val="0"/>
                              <w:marBottom w:val="0"/>
                              <w:divBdr>
                                <w:top w:val="none" w:sz="0" w:space="0" w:color="auto"/>
                                <w:left w:val="none" w:sz="0" w:space="0" w:color="auto"/>
                                <w:bottom w:val="none" w:sz="0" w:space="0" w:color="auto"/>
                                <w:right w:val="none" w:sz="0" w:space="0" w:color="auto"/>
                              </w:divBdr>
                            </w:div>
                          </w:divsChild>
                        </w:div>
                        <w:div w:id="423110983">
                          <w:marLeft w:val="0"/>
                          <w:marRight w:val="0"/>
                          <w:marTop w:val="0"/>
                          <w:marBottom w:val="0"/>
                          <w:divBdr>
                            <w:top w:val="none" w:sz="0" w:space="0" w:color="auto"/>
                            <w:left w:val="none" w:sz="0" w:space="0" w:color="auto"/>
                            <w:bottom w:val="none" w:sz="0" w:space="0" w:color="auto"/>
                            <w:right w:val="none" w:sz="0" w:space="0" w:color="auto"/>
                          </w:divBdr>
                          <w:divsChild>
                            <w:div w:id="858272922">
                              <w:marLeft w:val="0"/>
                              <w:marRight w:val="0"/>
                              <w:marTop w:val="0"/>
                              <w:marBottom w:val="0"/>
                              <w:divBdr>
                                <w:top w:val="none" w:sz="0" w:space="0" w:color="auto"/>
                                <w:left w:val="none" w:sz="0" w:space="0" w:color="auto"/>
                                <w:bottom w:val="none" w:sz="0" w:space="0" w:color="auto"/>
                                <w:right w:val="none" w:sz="0" w:space="0" w:color="auto"/>
                              </w:divBdr>
                            </w:div>
                          </w:divsChild>
                        </w:div>
                        <w:div w:id="964972423">
                          <w:marLeft w:val="0"/>
                          <w:marRight w:val="0"/>
                          <w:marTop w:val="0"/>
                          <w:marBottom w:val="0"/>
                          <w:divBdr>
                            <w:top w:val="none" w:sz="0" w:space="0" w:color="auto"/>
                            <w:left w:val="none" w:sz="0" w:space="0" w:color="auto"/>
                            <w:bottom w:val="none" w:sz="0" w:space="0" w:color="auto"/>
                            <w:right w:val="none" w:sz="0" w:space="0" w:color="auto"/>
                          </w:divBdr>
                          <w:divsChild>
                            <w:div w:id="1516724632">
                              <w:marLeft w:val="0"/>
                              <w:marRight w:val="0"/>
                              <w:marTop w:val="0"/>
                              <w:marBottom w:val="0"/>
                              <w:divBdr>
                                <w:top w:val="none" w:sz="0" w:space="0" w:color="auto"/>
                                <w:left w:val="none" w:sz="0" w:space="0" w:color="auto"/>
                                <w:bottom w:val="none" w:sz="0" w:space="0" w:color="auto"/>
                                <w:right w:val="none" w:sz="0" w:space="0" w:color="auto"/>
                              </w:divBdr>
                            </w:div>
                          </w:divsChild>
                        </w:div>
                        <w:div w:id="1106577423">
                          <w:marLeft w:val="0"/>
                          <w:marRight w:val="0"/>
                          <w:marTop w:val="0"/>
                          <w:marBottom w:val="0"/>
                          <w:divBdr>
                            <w:top w:val="none" w:sz="0" w:space="0" w:color="auto"/>
                            <w:left w:val="none" w:sz="0" w:space="0" w:color="auto"/>
                            <w:bottom w:val="none" w:sz="0" w:space="0" w:color="auto"/>
                            <w:right w:val="none" w:sz="0" w:space="0" w:color="auto"/>
                          </w:divBdr>
                          <w:divsChild>
                            <w:div w:id="1248615672">
                              <w:marLeft w:val="0"/>
                              <w:marRight w:val="0"/>
                              <w:marTop w:val="0"/>
                              <w:marBottom w:val="0"/>
                              <w:divBdr>
                                <w:top w:val="none" w:sz="0" w:space="0" w:color="auto"/>
                                <w:left w:val="none" w:sz="0" w:space="0" w:color="auto"/>
                                <w:bottom w:val="none" w:sz="0" w:space="0" w:color="auto"/>
                                <w:right w:val="none" w:sz="0" w:space="0" w:color="auto"/>
                              </w:divBdr>
                            </w:div>
                          </w:divsChild>
                        </w:div>
                        <w:div w:id="1317875781">
                          <w:marLeft w:val="0"/>
                          <w:marRight w:val="0"/>
                          <w:marTop w:val="0"/>
                          <w:marBottom w:val="0"/>
                          <w:divBdr>
                            <w:top w:val="none" w:sz="0" w:space="0" w:color="auto"/>
                            <w:left w:val="none" w:sz="0" w:space="0" w:color="auto"/>
                            <w:bottom w:val="none" w:sz="0" w:space="0" w:color="auto"/>
                            <w:right w:val="none" w:sz="0" w:space="0" w:color="auto"/>
                          </w:divBdr>
                          <w:divsChild>
                            <w:div w:id="250551263">
                              <w:marLeft w:val="0"/>
                              <w:marRight w:val="0"/>
                              <w:marTop w:val="0"/>
                              <w:marBottom w:val="0"/>
                              <w:divBdr>
                                <w:top w:val="none" w:sz="0" w:space="0" w:color="auto"/>
                                <w:left w:val="none" w:sz="0" w:space="0" w:color="auto"/>
                                <w:bottom w:val="none" w:sz="0" w:space="0" w:color="auto"/>
                                <w:right w:val="none" w:sz="0" w:space="0" w:color="auto"/>
                              </w:divBdr>
                            </w:div>
                          </w:divsChild>
                        </w:div>
                        <w:div w:id="1450509965">
                          <w:marLeft w:val="0"/>
                          <w:marRight w:val="0"/>
                          <w:marTop w:val="0"/>
                          <w:marBottom w:val="0"/>
                          <w:divBdr>
                            <w:top w:val="none" w:sz="0" w:space="0" w:color="auto"/>
                            <w:left w:val="none" w:sz="0" w:space="0" w:color="auto"/>
                            <w:bottom w:val="none" w:sz="0" w:space="0" w:color="auto"/>
                            <w:right w:val="none" w:sz="0" w:space="0" w:color="auto"/>
                          </w:divBdr>
                          <w:divsChild>
                            <w:div w:id="397631120">
                              <w:marLeft w:val="0"/>
                              <w:marRight w:val="0"/>
                              <w:marTop w:val="0"/>
                              <w:marBottom w:val="0"/>
                              <w:divBdr>
                                <w:top w:val="none" w:sz="0" w:space="0" w:color="auto"/>
                                <w:left w:val="none" w:sz="0" w:space="0" w:color="auto"/>
                                <w:bottom w:val="none" w:sz="0" w:space="0" w:color="auto"/>
                                <w:right w:val="none" w:sz="0" w:space="0" w:color="auto"/>
                              </w:divBdr>
                            </w:div>
                          </w:divsChild>
                        </w:div>
                        <w:div w:id="1581526178">
                          <w:marLeft w:val="0"/>
                          <w:marRight w:val="0"/>
                          <w:marTop w:val="0"/>
                          <w:marBottom w:val="0"/>
                          <w:divBdr>
                            <w:top w:val="none" w:sz="0" w:space="0" w:color="auto"/>
                            <w:left w:val="none" w:sz="0" w:space="0" w:color="auto"/>
                            <w:bottom w:val="none" w:sz="0" w:space="0" w:color="auto"/>
                            <w:right w:val="none" w:sz="0" w:space="0" w:color="auto"/>
                          </w:divBdr>
                          <w:divsChild>
                            <w:div w:id="1241522891">
                              <w:marLeft w:val="0"/>
                              <w:marRight w:val="0"/>
                              <w:marTop w:val="0"/>
                              <w:marBottom w:val="0"/>
                              <w:divBdr>
                                <w:top w:val="none" w:sz="0" w:space="0" w:color="auto"/>
                                <w:left w:val="none" w:sz="0" w:space="0" w:color="auto"/>
                                <w:bottom w:val="none" w:sz="0" w:space="0" w:color="auto"/>
                                <w:right w:val="none" w:sz="0" w:space="0" w:color="auto"/>
                              </w:divBdr>
                            </w:div>
                          </w:divsChild>
                        </w:div>
                        <w:div w:id="1587617497">
                          <w:marLeft w:val="0"/>
                          <w:marRight w:val="0"/>
                          <w:marTop w:val="0"/>
                          <w:marBottom w:val="0"/>
                          <w:divBdr>
                            <w:top w:val="none" w:sz="0" w:space="0" w:color="auto"/>
                            <w:left w:val="none" w:sz="0" w:space="0" w:color="auto"/>
                            <w:bottom w:val="none" w:sz="0" w:space="0" w:color="auto"/>
                            <w:right w:val="none" w:sz="0" w:space="0" w:color="auto"/>
                          </w:divBdr>
                          <w:divsChild>
                            <w:div w:id="585457670">
                              <w:marLeft w:val="0"/>
                              <w:marRight w:val="0"/>
                              <w:marTop w:val="0"/>
                              <w:marBottom w:val="0"/>
                              <w:divBdr>
                                <w:top w:val="none" w:sz="0" w:space="0" w:color="auto"/>
                                <w:left w:val="none" w:sz="0" w:space="0" w:color="auto"/>
                                <w:bottom w:val="none" w:sz="0" w:space="0" w:color="auto"/>
                                <w:right w:val="none" w:sz="0" w:space="0" w:color="auto"/>
                              </w:divBdr>
                            </w:div>
                          </w:divsChild>
                        </w:div>
                        <w:div w:id="1684086330">
                          <w:marLeft w:val="0"/>
                          <w:marRight w:val="0"/>
                          <w:marTop w:val="0"/>
                          <w:marBottom w:val="0"/>
                          <w:divBdr>
                            <w:top w:val="none" w:sz="0" w:space="0" w:color="auto"/>
                            <w:left w:val="none" w:sz="0" w:space="0" w:color="auto"/>
                            <w:bottom w:val="none" w:sz="0" w:space="0" w:color="auto"/>
                            <w:right w:val="none" w:sz="0" w:space="0" w:color="auto"/>
                          </w:divBdr>
                          <w:divsChild>
                            <w:div w:id="1644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363636">
          <w:blockQuote w:val="1"/>
          <w:marLeft w:val="0"/>
          <w:marRight w:val="0"/>
          <w:marTop w:val="0"/>
          <w:marBottom w:val="750"/>
          <w:divBdr>
            <w:top w:val="none" w:sz="0" w:space="0" w:color="auto"/>
            <w:left w:val="none" w:sz="0" w:space="0" w:color="auto"/>
            <w:bottom w:val="none" w:sz="0" w:space="0" w:color="auto"/>
            <w:right w:val="none" w:sz="0" w:space="0" w:color="auto"/>
          </w:divBdr>
        </w:div>
        <w:div w:id="540628937">
          <w:marLeft w:val="0"/>
          <w:marRight w:val="0"/>
          <w:marTop w:val="600"/>
          <w:marBottom w:val="600"/>
          <w:divBdr>
            <w:top w:val="single" w:sz="6" w:space="8" w:color="E6E6E6"/>
            <w:left w:val="single" w:sz="6" w:space="8" w:color="E6E6E6"/>
            <w:bottom w:val="single" w:sz="6" w:space="8" w:color="E6E6E6"/>
            <w:right w:val="single" w:sz="6" w:space="8" w:color="E6E6E6"/>
          </w:divBdr>
        </w:div>
        <w:div w:id="958410549">
          <w:blockQuote w:val="1"/>
          <w:marLeft w:val="0"/>
          <w:marRight w:val="0"/>
          <w:marTop w:val="0"/>
          <w:marBottom w:val="750"/>
          <w:divBdr>
            <w:top w:val="none" w:sz="0" w:space="0" w:color="auto"/>
            <w:left w:val="none" w:sz="0" w:space="0" w:color="auto"/>
            <w:bottom w:val="none" w:sz="0" w:space="0" w:color="auto"/>
            <w:right w:val="none" w:sz="0" w:space="0" w:color="auto"/>
          </w:divBdr>
        </w:div>
        <w:div w:id="1551307621">
          <w:blockQuote w:val="1"/>
          <w:marLeft w:val="0"/>
          <w:marRight w:val="0"/>
          <w:marTop w:val="0"/>
          <w:marBottom w:val="750"/>
          <w:divBdr>
            <w:top w:val="none" w:sz="0" w:space="0" w:color="auto"/>
            <w:left w:val="none" w:sz="0" w:space="0" w:color="auto"/>
            <w:bottom w:val="none" w:sz="0" w:space="0" w:color="auto"/>
            <w:right w:val="none" w:sz="0" w:space="0" w:color="auto"/>
          </w:divBdr>
        </w:div>
        <w:div w:id="1700399302">
          <w:blockQuote w:val="1"/>
          <w:marLeft w:val="0"/>
          <w:marRight w:val="0"/>
          <w:marTop w:val="0"/>
          <w:marBottom w:val="750"/>
          <w:divBdr>
            <w:top w:val="none" w:sz="0" w:space="0" w:color="auto"/>
            <w:left w:val="none" w:sz="0" w:space="0" w:color="auto"/>
            <w:bottom w:val="none" w:sz="0" w:space="0" w:color="auto"/>
            <w:right w:val="none" w:sz="0" w:space="0" w:color="auto"/>
          </w:divBdr>
        </w:div>
        <w:div w:id="1750425873">
          <w:blockQuote w:val="1"/>
          <w:marLeft w:val="0"/>
          <w:marRight w:val="0"/>
          <w:marTop w:val="0"/>
          <w:marBottom w:val="750"/>
          <w:divBdr>
            <w:top w:val="none" w:sz="0" w:space="0" w:color="auto"/>
            <w:left w:val="none" w:sz="0" w:space="0" w:color="auto"/>
            <w:bottom w:val="none" w:sz="0" w:space="0" w:color="auto"/>
            <w:right w:val="none" w:sz="0" w:space="0" w:color="auto"/>
          </w:divBdr>
        </w:div>
        <w:div w:id="1877573294">
          <w:blockQuote w:val="1"/>
          <w:marLeft w:val="0"/>
          <w:marRight w:val="0"/>
          <w:marTop w:val="0"/>
          <w:marBottom w:val="750"/>
          <w:divBdr>
            <w:top w:val="none" w:sz="0" w:space="0" w:color="auto"/>
            <w:left w:val="none" w:sz="0" w:space="0" w:color="auto"/>
            <w:bottom w:val="none" w:sz="0" w:space="0" w:color="auto"/>
            <w:right w:val="none" w:sz="0" w:space="0" w:color="auto"/>
          </w:divBdr>
        </w:div>
      </w:divsChild>
    </w:div>
    <w:div w:id="210924270">
      <w:bodyDiv w:val="1"/>
      <w:marLeft w:val="0"/>
      <w:marRight w:val="0"/>
      <w:marTop w:val="0"/>
      <w:marBottom w:val="0"/>
      <w:divBdr>
        <w:top w:val="none" w:sz="0" w:space="0" w:color="auto"/>
        <w:left w:val="none" w:sz="0" w:space="0" w:color="auto"/>
        <w:bottom w:val="none" w:sz="0" w:space="0" w:color="auto"/>
        <w:right w:val="none" w:sz="0" w:space="0" w:color="auto"/>
      </w:divBdr>
    </w:div>
    <w:div w:id="254632508">
      <w:bodyDiv w:val="1"/>
      <w:marLeft w:val="0"/>
      <w:marRight w:val="0"/>
      <w:marTop w:val="0"/>
      <w:marBottom w:val="0"/>
      <w:divBdr>
        <w:top w:val="none" w:sz="0" w:space="0" w:color="auto"/>
        <w:left w:val="none" w:sz="0" w:space="0" w:color="auto"/>
        <w:bottom w:val="none" w:sz="0" w:space="0" w:color="auto"/>
        <w:right w:val="none" w:sz="0" w:space="0" w:color="auto"/>
      </w:divBdr>
    </w:div>
    <w:div w:id="274286254">
      <w:bodyDiv w:val="1"/>
      <w:marLeft w:val="0"/>
      <w:marRight w:val="0"/>
      <w:marTop w:val="0"/>
      <w:marBottom w:val="0"/>
      <w:divBdr>
        <w:top w:val="none" w:sz="0" w:space="0" w:color="auto"/>
        <w:left w:val="none" w:sz="0" w:space="0" w:color="auto"/>
        <w:bottom w:val="none" w:sz="0" w:space="0" w:color="auto"/>
        <w:right w:val="none" w:sz="0" w:space="0" w:color="auto"/>
      </w:divBdr>
    </w:div>
    <w:div w:id="335232910">
      <w:bodyDiv w:val="1"/>
      <w:marLeft w:val="0"/>
      <w:marRight w:val="0"/>
      <w:marTop w:val="0"/>
      <w:marBottom w:val="0"/>
      <w:divBdr>
        <w:top w:val="none" w:sz="0" w:space="0" w:color="auto"/>
        <w:left w:val="none" w:sz="0" w:space="0" w:color="auto"/>
        <w:bottom w:val="none" w:sz="0" w:space="0" w:color="auto"/>
        <w:right w:val="none" w:sz="0" w:space="0" w:color="auto"/>
      </w:divBdr>
    </w:div>
    <w:div w:id="359933775">
      <w:bodyDiv w:val="1"/>
      <w:marLeft w:val="0"/>
      <w:marRight w:val="0"/>
      <w:marTop w:val="0"/>
      <w:marBottom w:val="0"/>
      <w:divBdr>
        <w:top w:val="none" w:sz="0" w:space="0" w:color="auto"/>
        <w:left w:val="none" w:sz="0" w:space="0" w:color="auto"/>
        <w:bottom w:val="none" w:sz="0" w:space="0" w:color="auto"/>
        <w:right w:val="none" w:sz="0" w:space="0" w:color="auto"/>
      </w:divBdr>
    </w:div>
    <w:div w:id="426006986">
      <w:bodyDiv w:val="1"/>
      <w:marLeft w:val="0"/>
      <w:marRight w:val="0"/>
      <w:marTop w:val="0"/>
      <w:marBottom w:val="0"/>
      <w:divBdr>
        <w:top w:val="none" w:sz="0" w:space="0" w:color="auto"/>
        <w:left w:val="none" w:sz="0" w:space="0" w:color="auto"/>
        <w:bottom w:val="none" w:sz="0" w:space="0" w:color="auto"/>
        <w:right w:val="none" w:sz="0" w:space="0" w:color="auto"/>
      </w:divBdr>
      <w:divsChild>
        <w:div w:id="14772485">
          <w:marLeft w:val="0"/>
          <w:marRight w:val="0"/>
          <w:marTop w:val="0"/>
          <w:marBottom w:val="0"/>
          <w:divBdr>
            <w:top w:val="none" w:sz="0" w:space="0" w:color="auto"/>
            <w:left w:val="none" w:sz="0" w:space="0" w:color="auto"/>
            <w:bottom w:val="none" w:sz="0" w:space="0" w:color="auto"/>
            <w:right w:val="none" w:sz="0" w:space="0" w:color="auto"/>
          </w:divBdr>
          <w:divsChild>
            <w:div w:id="1835729196">
              <w:marLeft w:val="567"/>
              <w:marRight w:val="0"/>
              <w:marTop w:val="0"/>
              <w:marBottom w:val="0"/>
              <w:divBdr>
                <w:top w:val="none" w:sz="0" w:space="0" w:color="auto"/>
                <w:left w:val="none" w:sz="0" w:space="0" w:color="auto"/>
                <w:bottom w:val="none" w:sz="0" w:space="0" w:color="auto"/>
                <w:right w:val="none" w:sz="0" w:space="0" w:color="auto"/>
              </w:divBdr>
            </w:div>
          </w:divsChild>
        </w:div>
        <w:div w:id="303124700">
          <w:marLeft w:val="567"/>
          <w:marRight w:val="0"/>
          <w:marTop w:val="0"/>
          <w:marBottom w:val="0"/>
          <w:divBdr>
            <w:top w:val="none" w:sz="0" w:space="0" w:color="auto"/>
            <w:left w:val="none" w:sz="0" w:space="0" w:color="auto"/>
            <w:bottom w:val="none" w:sz="0" w:space="0" w:color="auto"/>
            <w:right w:val="none" w:sz="0" w:space="0" w:color="auto"/>
          </w:divBdr>
        </w:div>
      </w:divsChild>
    </w:div>
    <w:div w:id="432895406">
      <w:bodyDiv w:val="1"/>
      <w:marLeft w:val="0"/>
      <w:marRight w:val="0"/>
      <w:marTop w:val="0"/>
      <w:marBottom w:val="0"/>
      <w:divBdr>
        <w:top w:val="none" w:sz="0" w:space="0" w:color="auto"/>
        <w:left w:val="none" w:sz="0" w:space="0" w:color="auto"/>
        <w:bottom w:val="none" w:sz="0" w:space="0" w:color="auto"/>
        <w:right w:val="none" w:sz="0" w:space="0" w:color="auto"/>
      </w:divBdr>
      <w:divsChild>
        <w:div w:id="1238513056">
          <w:marLeft w:val="0"/>
          <w:marRight w:val="0"/>
          <w:marTop w:val="0"/>
          <w:marBottom w:val="225"/>
          <w:divBdr>
            <w:top w:val="none" w:sz="0" w:space="0" w:color="auto"/>
            <w:left w:val="none" w:sz="0" w:space="0" w:color="auto"/>
            <w:bottom w:val="none" w:sz="0" w:space="0" w:color="auto"/>
            <w:right w:val="none" w:sz="0" w:space="0" w:color="auto"/>
          </w:divBdr>
        </w:div>
        <w:div w:id="2118869757">
          <w:marLeft w:val="0"/>
          <w:marRight w:val="0"/>
          <w:marTop w:val="0"/>
          <w:marBottom w:val="0"/>
          <w:divBdr>
            <w:top w:val="none" w:sz="0" w:space="0" w:color="auto"/>
            <w:left w:val="none" w:sz="0" w:space="0" w:color="auto"/>
            <w:bottom w:val="none" w:sz="0" w:space="0" w:color="auto"/>
            <w:right w:val="none" w:sz="0" w:space="0" w:color="auto"/>
          </w:divBdr>
          <w:divsChild>
            <w:div w:id="1133367">
              <w:marLeft w:val="0"/>
              <w:marRight w:val="0"/>
              <w:marTop w:val="0"/>
              <w:marBottom w:val="225"/>
              <w:divBdr>
                <w:top w:val="none" w:sz="0" w:space="0" w:color="auto"/>
                <w:left w:val="none" w:sz="0" w:space="0" w:color="auto"/>
                <w:bottom w:val="none" w:sz="0" w:space="0" w:color="auto"/>
                <w:right w:val="none" w:sz="0" w:space="0" w:color="auto"/>
              </w:divBdr>
            </w:div>
            <w:div w:id="31539071">
              <w:marLeft w:val="0"/>
              <w:marRight w:val="0"/>
              <w:marTop w:val="0"/>
              <w:marBottom w:val="225"/>
              <w:divBdr>
                <w:top w:val="none" w:sz="0" w:space="0" w:color="auto"/>
                <w:left w:val="none" w:sz="0" w:space="0" w:color="auto"/>
                <w:bottom w:val="none" w:sz="0" w:space="0" w:color="auto"/>
                <w:right w:val="none" w:sz="0" w:space="0" w:color="auto"/>
              </w:divBdr>
            </w:div>
            <w:div w:id="49305357">
              <w:marLeft w:val="0"/>
              <w:marRight w:val="0"/>
              <w:marTop w:val="0"/>
              <w:marBottom w:val="225"/>
              <w:divBdr>
                <w:top w:val="none" w:sz="0" w:space="0" w:color="auto"/>
                <w:left w:val="none" w:sz="0" w:space="0" w:color="auto"/>
                <w:bottom w:val="none" w:sz="0" w:space="0" w:color="auto"/>
                <w:right w:val="none" w:sz="0" w:space="0" w:color="auto"/>
              </w:divBdr>
            </w:div>
            <w:div w:id="256639374">
              <w:marLeft w:val="0"/>
              <w:marRight w:val="0"/>
              <w:marTop w:val="0"/>
              <w:marBottom w:val="225"/>
              <w:divBdr>
                <w:top w:val="none" w:sz="0" w:space="0" w:color="auto"/>
                <w:left w:val="none" w:sz="0" w:space="0" w:color="auto"/>
                <w:bottom w:val="none" w:sz="0" w:space="0" w:color="auto"/>
                <w:right w:val="none" w:sz="0" w:space="0" w:color="auto"/>
              </w:divBdr>
            </w:div>
            <w:div w:id="260843509">
              <w:marLeft w:val="0"/>
              <w:marRight w:val="0"/>
              <w:marTop w:val="0"/>
              <w:marBottom w:val="225"/>
              <w:divBdr>
                <w:top w:val="none" w:sz="0" w:space="0" w:color="auto"/>
                <w:left w:val="none" w:sz="0" w:space="0" w:color="auto"/>
                <w:bottom w:val="none" w:sz="0" w:space="0" w:color="auto"/>
                <w:right w:val="none" w:sz="0" w:space="0" w:color="auto"/>
              </w:divBdr>
            </w:div>
            <w:div w:id="372578236">
              <w:marLeft w:val="0"/>
              <w:marRight w:val="0"/>
              <w:marTop w:val="0"/>
              <w:marBottom w:val="225"/>
              <w:divBdr>
                <w:top w:val="none" w:sz="0" w:space="0" w:color="auto"/>
                <w:left w:val="none" w:sz="0" w:space="0" w:color="auto"/>
                <w:bottom w:val="none" w:sz="0" w:space="0" w:color="auto"/>
                <w:right w:val="none" w:sz="0" w:space="0" w:color="auto"/>
              </w:divBdr>
            </w:div>
            <w:div w:id="391852218">
              <w:marLeft w:val="0"/>
              <w:marRight w:val="0"/>
              <w:marTop w:val="0"/>
              <w:marBottom w:val="225"/>
              <w:divBdr>
                <w:top w:val="none" w:sz="0" w:space="0" w:color="auto"/>
                <w:left w:val="none" w:sz="0" w:space="0" w:color="auto"/>
                <w:bottom w:val="none" w:sz="0" w:space="0" w:color="auto"/>
                <w:right w:val="none" w:sz="0" w:space="0" w:color="auto"/>
              </w:divBdr>
            </w:div>
            <w:div w:id="406264335">
              <w:marLeft w:val="0"/>
              <w:marRight w:val="0"/>
              <w:marTop w:val="0"/>
              <w:marBottom w:val="225"/>
              <w:divBdr>
                <w:top w:val="none" w:sz="0" w:space="0" w:color="auto"/>
                <w:left w:val="none" w:sz="0" w:space="0" w:color="auto"/>
                <w:bottom w:val="none" w:sz="0" w:space="0" w:color="auto"/>
                <w:right w:val="none" w:sz="0" w:space="0" w:color="auto"/>
              </w:divBdr>
            </w:div>
            <w:div w:id="496388812">
              <w:marLeft w:val="0"/>
              <w:marRight w:val="0"/>
              <w:marTop w:val="0"/>
              <w:marBottom w:val="225"/>
              <w:divBdr>
                <w:top w:val="none" w:sz="0" w:space="0" w:color="auto"/>
                <w:left w:val="none" w:sz="0" w:space="0" w:color="auto"/>
                <w:bottom w:val="none" w:sz="0" w:space="0" w:color="auto"/>
                <w:right w:val="none" w:sz="0" w:space="0" w:color="auto"/>
              </w:divBdr>
            </w:div>
            <w:div w:id="521282532">
              <w:marLeft w:val="0"/>
              <w:marRight w:val="0"/>
              <w:marTop w:val="0"/>
              <w:marBottom w:val="225"/>
              <w:divBdr>
                <w:top w:val="none" w:sz="0" w:space="0" w:color="auto"/>
                <w:left w:val="none" w:sz="0" w:space="0" w:color="auto"/>
                <w:bottom w:val="none" w:sz="0" w:space="0" w:color="auto"/>
                <w:right w:val="none" w:sz="0" w:space="0" w:color="auto"/>
              </w:divBdr>
            </w:div>
            <w:div w:id="561257961">
              <w:marLeft w:val="0"/>
              <w:marRight w:val="0"/>
              <w:marTop w:val="0"/>
              <w:marBottom w:val="225"/>
              <w:divBdr>
                <w:top w:val="none" w:sz="0" w:space="0" w:color="auto"/>
                <w:left w:val="none" w:sz="0" w:space="0" w:color="auto"/>
                <w:bottom w:val="none" w:sz="0" w:space="0" w:color="auto"/>
                <w:right w:val="none" w:sz="0" w:space="0" w:color="auto"/>
              </w:divBdr>
            </w:div>
            <w:div w:id="700479288">
              <w:marLeft w:val="0"/>
              <w:marRight w:val="0"/>
              <w:marTop w:val="0"/>
              <w:marBottom w:val="225"/>
              <w:divBdr>
                <w:top w:val="none" w:sz="0" w:space="0" w:color="auto"/>
                <w:left w:val="none" w:sz="0" w:space="0" w:color="auto"/>
                <w:bottom w:val="none" w:sz="0" w:space="0" w:color="auto"/>
                <w:right w:val="none" w:sz="0" w:space="0" w:color="auto"/>
              </w:divBdr>
            </w:div>
            <w:div w:id="724254864">
              <w:marLeft w:val="0"/>
              <w:marRight w:val="0"/>
              <w:marTop w:val="0"/>
              <w:marBottom w:val="225"/>
              <w:divBdr>
                <w:top w:val="none" w:sz="0" w:space="0" w:color="auto"/>
                <w:left w:val="none" w:sz="0" w:space="0" w:color="auto"/>
                <w:bottom w:val="none" w:sz="0" w:space="0" w:color="auto"/>
                <w:right w:val="none" w:sz="0" w:space="0" w:color="auto"/>
              </w:divBdr>
            </w:div>
            <w:div w:id="813909884">
              <w:marLeft w:val="0"/>
              <w:marRight w:val="0"/>
              <w:marTop w:val="0"/>
              <w:marBottom w:val="225"/>
              <w:divBdr>
                <w:top w:val="none" w:sz="0" w:space="0" w:color="auto"/>
                <w:left w:val="none" w:sz="0" w:space="0" w:color="auto"/>
                <w:bottom w:val="none" w:sz="0" w:space="0" w:color="auto"/>
                <w:right w:val="none" w:sz="0" w:space="0" w:color="auto"/>
              </w:divBdr>
            </w:div>
            <w:div w:id="863250025">
              <w:marLeft w:val="0"/>
              <w:marRight w:val="0"/>
              <w:marTop w:val="0"/>
              <w:marBottom w:val="225"/>
              <w:divBdr>
                <w:top w:val="none" w:sz="0" w:space="0" w:color="auto"/>
                <w:left w:val="none" w:sz="0" w:space="0" w:color="auto"/>
                <w:bottom w:val="none" w:sz="0" w:space="0" w:color="auto"/>
                <w:right w:val="none" w:sz="0" w:space="0" w:color="auto"/>
              </w:divBdr>
            </w:div>
            <w:div w:id="930898233">
              <w:marLeft w:val="0"/>
              <w:marRight w:val="0"/>
              <w:marTop w:val="0"/>
              <w:marBottom w:val="0"/>
              <w:divBdr>
                <w:top w:val="none" w:sz="0" w:space="0" w:color="auto"/>
                <w:left w:val="none" w:sz="0" w:space="0" w:color="auto"/>
                <w:bottom w:val="none" w:sz="0" w:space="0" w:color="auto"/>
                <w:right w:val="none" w:sz="0" w:space="0" w:color="auto"/>
              </w:divBdr>
              <w:divsChild>
                <w:div w:id="827095126">
                  <w:marLeft w:val="0"/>
                  <w:marRight w:val="450"/>
                  <w:marTop w:val="150"/>
                  <w:marBottom w:val="450"/>
                  <w:divBdr>
                    <w:top w:val="none" w:sz="0" w:space="0" w:color="auto"/>
                    <w:left w:val="none" w:sz="0" w:space="0" w:color="auto"/>
                    <w:bottom w:val="none" w:sz="0" w:space="0" w:color="auto"/>
                    <w:right w:val="none" w:sz="0" w:space="0" w:color="auto"/>
                  </w:divBdr>
                  <w:divsChild>
                    <w:div w:id="778991549">
                      <w:marLeft w:val="0"/>
                      <w:marRight w:val="0"/>
                      <w:marTop w:val="0"/>
                      <w:marBottom w:val="0"/>
                      <w:divBdr>
                        <w:top w:val="none" w:sz="0" w:space="0" w:color="auto"/>
                        <w:left w:val="none" w:sz="0" w:space="0" w:color="auto"/>
                        <w:bottom w:val="none" w:sz="0" w:space="0" w:color="auto"/>
                        <w:right w:val="none" w:sz="0" w:space="0" w:color="auto"/>
                      </w:divBdr>
                      <w:divsChild>
                        <w:div w:id="1496453863">
                          <w:marLeft w:val="0"/>
                          <w:marRight w:val="0"/>
                          <w:marTop w:val="0"/>
                          <w:marBottom w:val="0"/>
                          <w:divBdr>
                            <w:top w:val="none" w:sz="0" w:space="0" w:color="auto"/>
                            <w:left w:val="none" w:sz="0" w:space="0" w:color="auto"/>
                            <w:bottom w:val="none" w:sz="0" w:space="0" w:color="auto"/>
                            <w:right w:val="none" w:sz="0" w:space="0" w:color="auto"/>
                          </w:divBdr>
                          <w:divsChild>
                            <w:div w:id="16839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87913">
              <w:marLeft w:val="0"/>
              <w:marRight w:val="0"/>
              <w:marTop w:val="0"/>
              <w:marBottom w:val="225"/>
              <w:divBdr>
                <w:top w:val="none" w:sz="0" w:space="0" w:color="auto"/>
                <w:left w:val="none" w:sz="0" w:space="0" w:color="auto"/>
                <w:bottom w:val="none" w:sz="0" w:space="0" w:color="auto"/>
                <w:right w:val="none" w:sz="0" w:space="0" w:color="auto"/>
              </w:divBdr>
            </w:div>
            <w:div w:id="1060909193">
              <w:marLeft w:val="0"/>
              <w:marRight w:val="0"/>
              <w:marTop w:val="0"/>
              <w:marBottom w:val="0"/>
              <w:divBdr>
                <w:top w:val="none" w:sz="0" w:space="0" w:color="auto"/>
                <w:left w:val="none" w:sz="0" w:space="0" w:color="auto"/>
                <w:bottom w:val="none" w:sz="0" w:space="0" w:color="auto"/>
                <w:right w:val="none" w:sz="0" w:space="0" w:color="auto"/>
              </w:divBdr>
              <w:divsChild>
                <w:div w:id="832915636">
                  <w:marLeft w:val="0"/>
                  <w:marRight w:val="450"/>
                  <w:marTop w:val="150"/>
                  <w:marBottom w:val="450"/>
                  <w:divBdr>
                    <w:top w:val="none" w:sz="0" w:space="0" w:color="auto"/>
                    <w:left w:val="none" w:sz="0" w:space="0" w:color="auto"/>
                    <w:bottom w:val="none" w:sz="0" w:space="0" w:color="auto"/>
                    <w:right w:val="none" w:sz="0" w:space="0" w:color="auto"/>
                  </w:divBdr>
                  <w:divsChild>
                    <w:div w:id="34626351">
                      <w:marLeft w:val="0"/>
                      <w:marRight w:val="0"/>
                      <w:marTop w:val="0"/>
                      <w:marBottom w:val="0"/>
                      <w:divBdr>
                        <w:top w:val="single" w:sz="6" w:space="11" w:color="E6E6E6"/>
                        <w:left w:val="single" w:sz="6" w:space="8" w:color="E6E6E6"/>
                        <w:bottom w:val="single" w:sz="6" w:space="11" w:color="E6E6E6"/>
                        <w:right w:val="single" w:sz="6" w:space="8" w:color="E6E6E6"/>
                      </w:divBdr>
                    </w:div>
                    <w:div w:id="111549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05780">
              <w:marLeft w:val="0"/>
              <w:marRight w:val="0"/>
              <w:marTop w:val="0"/>
              <w:marBottom w:val="225"/>
              <w:divBdr>
                <w:top w:val="none" w:sz="0" w:space="0" w:color="auto"/>
                <w:left w:val="none" w:sz="0" w:space="0" w:color="auto"/>
                <w:bottom w:val="none" w:sz="0" w:space="0" w:color="auto"/>
                <w:right w:val="none" w:sz="0" w:space="0" w:color="auto"/>
              </w:divBdr>
            </w:div>
            <w:div w:id="1129083420">
              <w:marLeft w:val="0"/>
              <w:marRight w:val="0"/>
              <w:marTop w:val="0"/>
              <w:marBottom w:val="225"/>
              <w:divBdr>
                <w:top w:val="none" w:sz="0" w:space="0" w:color="auto"/>
                <w:left w:val="none" w:sz="0" w:space="0" w:color="auto"/>
                <w:bottom w:val="none" w:sz="0" w:space="0" w:color="auto"/>
                <w:right w:val="none" w:sz="0" w:space="0" w:color="auto"/>
              </w:divBdr>
            </w:div>
            <w:div w:id="1167214667">
              <w:marLeft w:val="0"/>
              <w:marRight w:val="0"/>
              <w:marTop w:val="0"/>
              <w:marBottom w:val="225"/>
              <w:divBdr>
                <w:top w:val="none" w:sz="0" w:space="0" w:color="auto"/>
                <w:left w:val="none" w:sz="0" w:space="0" w:color="auto"/>
                <w:bottom w:val="none" w:sz="0" w:space="0" w:color="auto"/>
                <w:right w:val="none" w:sz="0" w:space="0" w:color="auto"/>
              </w:divBdr>
            </w:div>
            <w:div w:id="1174228169">
              <w:marLeft w:val="0"/>
              <w:marRight w:val="0"/>
              <w:marTop w:val="0"/>
              <w:marBottom w:val="225"/>
              <w:divBdr>
                <w:top w:val="none" w:sz="0" w:space="0" w:color="auto"/>
                <w:left w:val="none" w:sz="0" w:space="0" w:color="auto"/>
                <w:bottom w:val="none" w:sz="0" w:space="0" w:color="auto"/>
                <w:right w:val="none" w:sz="0" w:space="0" w:color="auto"/>
              </w:divBdr>
            </w:div>
            <w:div w:id="1183545363">
              <w:marLeft w:val="0"/>
              <w:marRight w:val="0"/>
              <w:marTop w:val="0"/>
              <w:marBottom w:val="225"/>
              <w:divBdr>
                <w:top w:val="none" w:sz="0" w:space="0" w:color="auto"/>
                <w:left w:val="none" w:sz="0" w:space="0" w:color="auto"/>
                <w:bottom w:val="none" w:sz="0" w:space="0" w:color="auto"/>
                <w:right w:val="none" w:sz="0" w:space="0" w:color="auto"/>
              </w:divBdr>
            </w:div>
            <w:div w:id="1232160556">
              <w:marLeft w:val="0"/>
              <w:marRight w:val="0"/>
              <w:marTop w:val="0"/>
              <w:marBottom w:val="225"/>
              <w:divBdr>
                <w:top w:val="none" w:sz="0" w:space="0" w:color="auto"/>
                <w:left w:val="none" w:sz="0" w:space="0" w:color="auto"/>
                <w:bottom w:val="none" w:sz="0" w:space="0" w:color="auto"/>
                <w:right w:val="none" w:sz="0" w:space="0" w:color="auto"/>
              </w:divBdr>
            </w:div>
            <w:div w:id="1299455557">
              <w:marLeft w:val="0"/>
              <w:marRight w:val="0"/>
              <w:marTop w:val="0"/>
              <w:marBottom w:val="225"/>
              <w:divBdr>
                <w:top w:val="none" w:sz="0" w:space="0" w:color="auto"/>
                <w:left w:val="none" w:sz="0" w:space="0" w:color="auto"/>
                <w:bottom w:val="none" w:sz="0" w:space="0" w:color="auto"/>
                <w:right w:val="none" w:sz="0" w:space="0" w:color="auto"/>
              </w:divBdr>
            </w:div>
            <w:div w:id="1476527296">
              <w:marLeft w:val="0"/>
              <w:marRight w:val="0"/>
              <w:marTop w:val="0"/>
              <w:marBottom w:val="225"/>
              <w:divBdr>
                <w:top w:val="none" w:sz="0" w:space="0" w:color="auto"/>
                <w:left w:val="none" w:sz="0" w:space="0" w:color="auto"/>
                <w:bottom w:val="none" w:sz="0" w:space="0" w:color="auto"/>
                <w:right w:val="none" w:sz="0" w:space="0" w:color="auto"/>
              </w:divBdr>
            </w:div>
            <w:div w:id="1624652355">
              <w:marLeft w:val="0"/>
              <w:marRight w:val="0"/>
              <w:marTop w:val="0"/>
              <w:marBottom w:val="225"/>
              <w:divBdr>
                <w:top w:val="none" w:sz="0" w:space="0" w:color="auto"/>
                <w:left w:val="none" w:sz="0" w:space="0" w:color="auto"/>
                <w:bottom w:val="none" w:sz="0" w:space="0" w:color="auto"/>
                <w:right w:val="none" w:sz="0" w:space="0" w:color="auto"/>
              </w:divBdr>
            </w:div>
            <w:div w:id="1768428743">
              <w:marLeft w:val="0"/>
              <w:marRight w:val="0"/>
              <w:marTop w:val="0"/>
              <w:marBottom w:val="225"/>
              <w:divBdr>
                <w:top w:val="none" w:sz="0" w:space="0" w:color="auto"/>
                <w:left w:val="none" w:sz="0" w:space="0" w:color="auto"/>
                <w:bottom w:val="none" w:sz="0" w:space="0" w:color="auto"/>
                <w:right w:val="none" w:sz="0" w:space="0" w:color="auto"/>
              </w:divBdr>
            </w:div>
            <w:div w:id="1779595750">
              <w:marLeft w:val="0"/>
              <w:marRight w:val="0"/>
              <w:marTop w:val="0"/>
              <w:marBottom w:val="225"/>
              <w:divBdr>
                <w:top w:val="none" w:sz="0" w:space="0" w:color="auto"/>
                <w:left w:val="none" w:sz="0" w:space="0" w:color="auto"/>
                <w:bottom w:val="none" w:sz="0" w:space="0" w:color="auto"/>
                <w:right w:val="none" w:sz="0" w:space="0" w:color="auto"/>
              </w:divBdr>
            </w:div>
            <w:div w:id="1796290961">
              <w:marLeft w:val="0"/>
              <w:marRight w:val="0"/>
              <w:marTop w:val="0"/>
              <w:marBottom w:val="225"/>
              <w:divBdr>
                <w:top w:val="none" w:sz="0" w:space="0" w:color="auto"/>
                <w:left w:val="none" w:sz="0" w:space="0" w:color="auto"/>
                <w:bottom w:val="none" w:sz="0" w:space="0" w:color="auto"/>
                <w:right w:val="none" w:sz="0" w:space="0" w:color="auto"/>
              </w:divBdr>
            </w:div>
            <w:div w:id="1992172751">
              <w:marLeft w:val="0"/>
              <w:marRight w:val="0"/>
              <w:marTop w:val="0"/>
              <w:marBottom w:val="225"/>
              <w:divBdr>
                <w:top w:val="none" w:sz="0" w:space="0" w:color="auto"/>
                <w:left w:val="none" w:sz="0" w:space="0" w:color="auto"/>
                <w:bottom w:val="none" w:sz="0" w:space="0" w:color="auto"/>
                <w:right w:val="none" w:sz="0" w:space="0" w:color="auto"/>
              </w:divBdr>
            </w:div>
            <w:div w:id="21035983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4541056">
      <w:bodyDiv w:val="1"/>
      <w:marLeft w:val="0"/>
      <w:marRight w:val="0"/>
      <w:marTop w:val="0"/>
      <w:marBottom w:val="0"/>
      <w:divBdr>
        <w:top w:val="none" w:sz="0" w:space="0" w:color="auto"/>
        <w:left w:val="none" w:sz="0" w:space="0" w:color="auto"/>
        <w:bottom w:val="none" w:sz="0" w:space="0" w:color="auto"/>
        <w:right w:val="none" w:sz="0" w:space="0" w:color="auto"/>
      </w:divBdr>
    </w:div>
    <w:div w:id="444737964">
      <w:bodyDiv w:val="1"/>
      <w:marLeft w:val="0"/>
      <w:marRight w:val="0"/>
      <w:marTop w:val="0"/>
      <w:marBottom w:val="0"/>
      <w:divBdr>
        <w:top w:val="none" w:sz="0" w:space="0" w:color="auto"/>
        <w:left w:val="none" w:sz="0" w:space="0" w:color="auto"/>
        <w:bottom w:val="none" w:sz="0" w:space="0" w:color="auto"/>
        <w:right w:val="none" w:sz="0" w:space="0" w:color="auto"/>
      </w:divBdr>
    </w:div>
    <w:div w:id="492720546">
      <w:bodyDiv w:val="1"/>
      <w:marLeft w:val="0"/>
      <w:marRight w:val="0"/>
      <w:marTop w:val="0"/>
      <w:marBottom w:val="0"/>
      <w:divBdr>
        <w:top w:val="none" w:sz="0" w:space="0" w:color="auto"/>
        <w:left w:val="none" w:sz="0" w:space="0" w:color="auto"/>
        <w:bottom w:val="none" w:sz="0" w:space="0" w:color="auto"/>
        <w:right w:val="none" w:sz="0" w:space="0" w:color="auto"/>
      </w:divBdr>
    </w:div>
    <w:div w:id="504248477">
      <w:bodyDiv w:val="1"/>
      <w:marLeft w:val="0"/>
      <w:marRight w:val="0"/>
      <w:marTop w:val="0"/>
      <w:marBottom w:val="0"/>
      <w:divBdr>
        <w:top w:val="none" w:sz="0" w:space="0" w:color="auto"/>
        <w:left w:val="none" w:sz="0" w:space="0" w:color="auto"/>
        <w:bottom w:val="none" w:sz="0" w:space="0" w:color="auto"/>
        <w:right w:val="none" w:sz="0" w:space="0" w:color="auto"/>
      </w:divBdr>
      <w:divsChild>
        <w:div w:id="739249976">
          <w:marLeft w:val="0"/>
          <w:marRight w:val="0"/>
          <w:marTop w:val="0"/>
          <w:marBottom w:val="0"/>
          <w:divBdr>
            <w:top w:val="none" w:sz="0" w:space="0" w:color="auto"/>
            <w:left w:val="none" w:sz="0" w:space="0" w:color="auto"/>
            <w:bottom w:val="none" w:sz="0" w:space="0" w:color="auto"/>
            <w:right w:val="none" w:sz="0" w:space="0" w:color="auto"/>
          </w:divBdr>
          <w:divsChild>
            <w:div w:id="15657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15601">
      <w:bodyDiv w:val="1"/>
      <w:marLeft w:val="0"/>
      <w:marRight w:val="0"/>
      <w:marTop w:val="0"/>
      <w:marBottom w:val="0"/>
      <w:divBdr>
        <w:top w:val="none" w:sz="0" w:space="0" w:color="auto"/>
        <w:left w:val="none" w:sz="0" w:space="0" w:color="auto"/>
        <w:bottom w:val="none" w:sz="0" w:space="0" w:color="auto"/>
        <w:right w:val="none" w:sz="0" w:space="0" w:color="auto"/>
      </w:divBdr>
    </w:div>
    <w:div w:id="641274427">
      <w:bodyDiv w:val="1"/>
      <w:marLeft w:val="0"/>
      <w:marRight w:val="0"/>
      <w:marTop w:val="0"/>
      <w:marBottom w:val="0"/>
      <w:divBdr>
        <w:top w:val="none" w:sz="0" w:space="0" w:color="auto"/>
        <w:left w:val="none" w:sz="0" w:space="0" w:color="auto"/>
        <w:bottom w:val="none" w:sz="0" w:space="0" w:color="auto"/>
        <w:right w:val="none" w:sz="0" w:space="0" w:color="auto"/>
      </w:divBdr>
    </w:div>
    <w:div w:id="690642358">
      <w:bodyDiv w:val="1"/>
      <w:marLeft w:val="0"/>
      <w:marRight w:val="0"/>
      <w:marTop w:val="0"/>
      <w:marBottom w:val="0"/>
      <w:divBdr>
        <w:top w:val="none" w:sz="0" w:space="0" w:color="auto"/>
        <w:left w:val="none" w:sz="0" w:space="0" w:color="auto"/>
        <w:bottom w:val="none" w:sz="0" w:space="0" w:color="auto"/>
        <w:right w:val="none" w:sz="0" w:space="0" w:color="auto"/>
      </w:divBdr>
    </w:div>
    <w:div w:id="785736506">
      <w:bodyDiv w:val="1"/>
      <w:marLeft w:val="0"/>
      <w:marRight w:val="0"/>
      <w:marTop w:val="0"/>
      <w:marBottom w:val="0"/>
      <w:divBdr>
        <w:top w:val="none" w:sz="0" w:space="0" w:color="auto"/>
        <w:left w:val="none" w:sz="0" w:space="0" w:color="auto"/>
        <w:bottom w:val="none" w:sz="0" w:space="0" w:color="auto"/>
        <w:right w:val="none" w:sz="0" w:space="0" w:color="auto"/>
      </w:divBdr>
    </w:div>
    <w:div w:id="856890559">
      <w:bodyDiv w:val="1"/>
      <w:marLeft w:val="0"/>
      <w:marRight w:val="0"/>
      <w:marTop w:val="0"/>
      <w:marBottom w:val="0"/>
      <w:divBdr>
        <w:top w:val="none" w:sz="0" w:space="0" w:color="auto"/>
        <w:left w:val="none" w:sz="0" w:space="0" w:color="auto"/>
        <w:bottom w:val="none" w:sz="0" w:space="0" w:color="auto"/>
        <w:right w:val="none" w:sz="0" w:space="0" w:color="auto"/>
      </w:divBdr>
      <w:divsChild>
        <w:div w:id="997343858">
          <w:marLeft w:val="0"/>
          <w:marRight w:val="0"/>
          <w:marTop w:val="0"/>
          <w:marBottom w:val="0"/>
          <w:divBdr>
            <w:top w:val="none" w:sz="0" w:space="0" w:color="auto"/>
            <w:left w:val="none" w:sz="0" w:space="0" w:color="auto"/>
            <w:bottom w:val="none" w:sz="0" w:space="0" w:color="auto"/>
            <w:right w:val="none" w:sz="0" w:space="0" w:color="auto"/>
          </w:divBdr>
          <w:divsChild>
            <w:div w:id="172032061">
              <w:marLeft w:val="0"/>
              <w:marRight w:val="0"/>
              <w:marTop w:val="0"/>
              <w:marBottom w:val="0"/>
              <w:divBdr>
                <w:top w:val="none" w:sz="0" w:space="0" w:color="auto"/>
                <w:left w:val="none" w:sz="0" w:space="0" w:color="auto"/>
                <w:bottom w:val="none" w:sz="0" w:space="0" w:color="auto"/>
                <w:right w:val="none" w:sz="0" w:space="0" w:color="auto"/>
              </w:divBdr>
            </w:div>
            <w:div w:id="1635915087">
              <w:marLeft w:val="0"/>
              <w:marRight w:val="0"/>
              <w:marTop w:val="0"/>
              <w:marBottom w:val="0"/>
              <w:divBdr>
                <w:top w:val="none" w:sz="0" w:space="0" w:color="auto"/>
                <w:left w:val="none" w:sz="0" w:space="0" w:color="auto"/>
                <w:bottom w:val="none" w:sz="0" w:space="0" w:color="auto"/>
                <w:right w:val="none" w:sz="0" w:space="0" w:color="auto"/>
              </w:divBdr>
            </w:div>
          </w:divsChild>
        </w:div>
        <w:div w:id="1082336180">
          <w:marLeft w:val="0"/>
          <w:marRight w:val="0"/>
          <w:marTop w:val="0"/>
          <w:marBottom w:val="0"/>
          <w:divBdr>
            <w:top w:val="none" w:sz="0" w:space="0" w:color="auto"/>
            <w:left w:val="none" w:sz="0" w:space="0" w:color="auto"/>
            <w:bottom w:val="none" w:sz="0" w:space="0" w:color="auto"/>
            <w:right w:val="none" w:sz="0" w:space="0" w:color="auto"/>
          </w:divBdr>
          <w:divsChild>
            <w:div w:id="622730540">
              <w:marLeft w:val="0"/>
              <w:marRight w:val="0"/>
              <w:marTop w:val="0"/>
              <w:marBottom w:val="0"/>
              <w:divBdr>
                <w:top w:val="none" w:sz="0" w:space="0" w:color="auto"/>
                <w:left w:val="none" w:sz="0" w:space="0" w:color="auto"/>
                <w:bottom w:val="none" w:sz="0" w:space="0" w:color="auto"/>
                <w:right w:val="none" w:sz="0" w:space="0" w:color="auto"/>
              </w:divBdr>
            </w:div>
            <w:div w:id="8080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1525">
      <w:bodyDiv w:val="1"/>
      <w:marLeft w:val="0"/>
      <w:marRight w:val="0"/>
      <w:marTop w:val="0"/>
      <w:marBottom w:val="0"/>
      <w:divBdr>
        <w:top w:val="none" w:sz="0" w:space="0" w:color="auto"/>
        <w:left w:val="none" w:sz="0" w:space="0" w:color="auto"/>
        <w:bottom w:val="none" w:sz="0" w:space="0" w:color="auto"/>
        <w:right w:val="none" w:sz="0" w:space="0" w:color="auto"/>
      </w:divBdr>
    </w:div>
    <w:div w:id="884029034">
      <w:bodyDiv w:val="1"/>
      <w:marLeft w:val="0"/>
      <w:marRight w:val="0"/>
      <w:marTop w:val="0"/>
      <w:marBottom w:val="0"/>
      <w:divBdr>
        <w:top w:val="none" w:sz="0" w:space="0" w:color="auto"/>
        <w:left w:val="none" w:sz="0" w:space="0" w:color="auto"/>
        <w:bottom w:val="none" w:sz="0" w:space="0" w:color="auto"/>
        <w:right w:val="none" w:sz="0" w:space="0" w:color="auto"/>
      </w:divBdr>
    </w:div>
    <w:div w:id="890506953">
      <w:bodyDiv w:val="1"/>
      <w:marLeft w:val="0"/>
      <w:marRight w:val="0"/>
      <w:marTop w:val="0"/>
      <w:marBottom w:val="0"/>
      <w:divBdr>
        <w:top w:val="none" w:sz="0" w:space="0" w:color="auto"/>
        <w:left w:val="none" w:sz="0" w:space="0" w:color="auto"/>
        <w:bottom w:val="none" w:sz="0" w:space="0" w:color="auto"/>
        <w:right w:val="none" w:sz="0" w:space="0" w:color="auto"/>
      </w:divBdr>
    </w:div>
    <w:div w:id="911965123">
      <w:bodyDiv w:val="1"/>
      <w:marLeft w:val="0"/>
      <w:marRight w:val="0"/>
      <w:marTop w:val="0"/>
      <w:marBottom w:val="0"/>
      <w:divBdr>
        <w:top w:val="none" w:sz="0" w:space="0" w:color="auto"/>
        <w:left w:val="none" w:sz="0" w:space="0" w:color="auto"/>
        <w:bottom w:val="none" w:sz="0" w:space="0" w:color="auto"/>
        <w:right w:val="none" w:sz="0" w:space="0" w:color="auto"/>
      </w:divBdr>
      <w:divsChild>
        <w:div w:id="139657436">
          <w:marLeft w:val="0"/>
          <w:marRight w:val="0"/>
          <w:marTop w:val="0"/>
          <w:marBottom w:val="0"/>
          <w:divBdr>
            <w:top w:val="none" w:sz="0" w:space="0" w:color="auto"/>
            <w:left w:val="none" w:sz="0" w:space="0" w:color="auto"/>
            <w:bottom w:val="none" w:sz="0" w:space="0" w:color="auto"/>
            <w:right w:val="none" w:sz="0" w:space="0" w:color="auto"/>
          </w:divBdr>
        </w:div>
        <w:div w:id="156041417">
          <w:marLeft w:val="0"/>
          <w:marRight w:val="0"/>
          <w:marTop w:val="0"/>
          <w:marBottom w:val="0"/>
          <w:divBdr>
            <w:top w:val="none" w:sz="0" w:space="0" w:color="auto"/>
            <w:left w:val="none" w:sz="0" w:space="0" w:color="auto"/>
            <w:bottom w:val="none" w:sz="0" w:space="0" w:color="auto"/>
            <w:right w:val="none" w:sz="0" w:space="0" w:color="auto"/>
          </w:divBdr>
        </w:div>
        <w:div w:id="1006790703">
          <w:marLeft w:val="0"/>
          <w:marRight w:val="0"/>
          <w:marTop w:val="0"/>
          <w:marBottom w:val="0"/>
          <w:divBdr>
            <w:top w:val="none" w:sz="0" w:space="0" w:color="auto"/>
            <w:left w:val="none" w:sz="0" w:space="0" w:color="auto"/>
            <w:bottom w:val="none" w:sz="0" w:space="0" w:color="auto"/>
            <w:right w:val="none" w:sz="0" w:space="0" w:color="auto"/>
          </w:divBdr>
        </w:div>
      </w:divsChild>
    </w:div>
    <w:div w:id="962154617">
      <w:bodyDiv w:val="1"/>
      <w:marLeft w:val="0"/>
      <w:marRight w:val="0"/>
      <w:marTop w:val="0"/>
      <w:marBottom w:val="0"/>
      <w:divBdr>
        <w:top w:val="none" w:sz="0" w:space="0" w:color="auto"/>
        <w:left w:val="none" w:sz="0" w:space="0" w:color="auto"/>
        <w:bottom w:val="none" w:sz="0" w:space="0" w:color="auto"/>
        <w:right w:val="none" w:sz="0" w:space="0" w:color="auto"/>
      </w:divBdr>
    </w:div>
    <w:div w:id="1035617872">
      <w:bodyDiv w:val="1"/>
      <w:marLeft w:val="0"/>
      <w:marRight w:val="0"/>
      <w:marTop w:val="0"/>
      <w:marBottom w:val="0"/>
      <w:divBdr>
        <w:top w:val="none" w:sz="0" w:space="0" w:color="auto"/>
        <w:left w:val="none" w:sz="0" w:space="0" w:color="auto"/>
        <w:bottom w:val="none" w:sz="0" w:space="0" w:color="auto"/>
        <w:right w:val="none" w:sz="0" w:space="0" w:color="auto"/>
      </w:divBdr>
    </w:div>
    <w:div w:id="1055861281">
      <w:bodyDiv w:val="1"/>
      <w:marLeft w:val="0"/>
      <w:marRight w:val="0"/>
      <w:marTop w:val="0"/>
      <w:marBottom w:val="0"/>
      <w:divBdr>
        <w:top w:val="none" w:sz="0" w:space="0" w:color="auto"/>
        <w:left w:val="none" w:sz="0" w:space="0" w:color="auto"/>
        <w:bottom w:val="none" w:sz="0" w:space="0" w:color="auto"/>
        <w:right w:val="none" w:sz="0" w:space="0" w:color="auto"/>
      </w:divBdr>
    </w:div>
    <w:div w:id="1084761134">
      <w:bodyDiv w:val="1"/>
      <w:marLeft w:val="0"/>
      <w:marRight w:val="0"/>
      <w:marTop w:val="0"/>
      <w:marBottom w:val="0"/>
      <w:divBdr>
        <w:top w:val="none" w:sz="0" w:space="0" w:color="auto"/>
        <w:left w:val="none" w:sz="0" w:space="0" w:color="auto"/>
        <w:bottom w:val="none" w:sz="0" w:space="0" w:color="auto"/>
        <w:right w:val="none" w:sz="0" w:space="0" w:color="auto"/>
      </w:divBdr>
    </w:div>
    <w:div w:id="1142893341">
      <w:bodyDiv w:val="1"/>
      <w:marLeft w:val="0"/>
      <w:marRight w:val="0"/>
      <w:marTop w:val="0"/>
      <w:marBottom w:val="0"/>
      <w:divBdr>
        <w:top w:val="none" w:sz="0" w:space="0" w:color="auto"/>
        <w:left w:val="none" w:sz="0" w:space="0" w:color="auto"/>
        <w:bottom w:val="none" w:sz="0" w:space="0" w:color="auto"/>
        <w:right w:val="none" w:sz="0" w:space="0" w:color="auto"/>
      </w:divBdr>
    </w:div>
    <w:div w:id="1192232166">
      <w:bodyDiv w:val="1"/>
      <w:marLeft w:val="0"/>
      <w:marRight w:val="0"/>
      <w:marTop w:val="0"/>
      <w:marBottom w:val="0"/>
      <w:divBdr>
        <w:top w:val="none" w:sz="0" w:space="0" w:color="auto"/>
        <w:left w:val="none" w:sz="0" w:space="0" w:color="auto"/>
        <w:bottom w:val="none" w:sz="0" w:space="0" w:color="auto"/>
        <w:right w:val="none" w:sz="0" w:space="0" w:color="auto"/>
      </w:divBdr>
    </w:div>
    <w:div w:id="1192691447">
      <w:bodyDiv w:val="1"/>
      <w:marLeft w:val="0"/>
      <w:marRight w:val="0"/>
      <w:marTop w:val="0"/>
      <w:marBottom w:val="0"/>
      <w:divBdr>
        <w:top w:val="none" w:sz="0" w:space="0" w:color="auto"/>
        <w:left w:val="none" w:sz="0" w:space="0" w:color="auto"/>
        <w:bottom w:val="none" w:sz="0" w:space="0" w:color="auto"/>
        <w:right w:val="none" w:sz="0" w:space="0" w:color="auto"/>
      </w:divBdr>
      <w:divsChild>
        <w:div w:id="913393424">
          <w:marLeft w:val="0"/>
          <w:marRight w:val="0"/>
          <w:marTop w:val="0"/>
          <w:marBottom w:val="0"/>
          <w:divBdr>
            <w:top w:val="none" w:sz="0" w:space="0" w:color="auto"/>
            <w:left w:val="none" w:sz="0" w:space="0" w:color="auto"/>
            <w:bottom w:val="none" w:sz="0" w:space="0" w:color="auto"/>
            <w:right w:val="none" w:sz="0" w:space="0" w:color="auto"/>
          </w:divBdr>
          <w:divsChild>
            <w:div w:id="2133016385">
              <w:marLeft w:val="0"/>
              <w:marRight w:val="0"/>
              <w:marTop w:val="0"/>
              <w:marBottom w:val="0"/>
              <w:divBdr>
                <w:top w:val="none" w:sz="0" w:space="0" w:color="auto"/>
                <w:left w:val="none" w:sz="0" w:space="0" w:color="auto"/>
                <w:bottom w:val="none" w:sz="0" w:space="0" w:color="auto"/>
                <w:right w:val="none" w:sz="0" w:space="0" w:color="auto"/>
              </w:divBdr>
              <w:divsChild>
                <w:div w:id="118694938">
                  <w:marLeft w:val="0"/>
                  <w:marRight w:val="0"/>
                  <w:marTop w:val="0"/>
                  <w:marBottom w:val="0"/>
                  <w:divBdr>
                    <w:top w:val="none" w:sz="0" w:space="0" w:color="auto"/>
                    <w:left w:val="none" w:sz="0" w:space="0" w:color="auto"/>
                    <w:bottom w:val="none" w:sz="0" w:space="0" w:color="auto"/>
                    <w:right w:val="none" w:sz="0" w:space="0" w:color="auto"/>
                  </w:divBdr>
                  <w:divsChild>
                    <w:div w:id="20727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156243">
          <w:marLeft w:val="0"/>
          <w:marRight w:val="0"/>
          <w:marTop w:val="0"/>
          <w:marBottom w:val="0"/>
          <w:divBdr>
            <w:top w:val="none" w:sz="0" w:space="0" w:color="auto"/>
            <w:left w:val="none" w:sz="0" w:space="0" w:color="auto"/>
            <w:bottom w:val="none" w:sz="0" w:space="0" w:color="auto"/>
            <w:right w:val="none" w:sz="0" w:space="0" w:color="auto"/>
          </w:divBdr>
          <w:divsChild>
            <w:div w:id="143709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00992">
      <w:bodyDiv w:val="1"/>
      <w:marLeft w:val="0"/>
      <w:marRight w:val="0"/>
      <w:marTop w:val="0"/>
      <w:marBottom w:val="0"/>
      <w:divBdr>
        <w:top w:val="none" w:sz="0" w:space="0" w:color="auto"/>
        <w:left w:val="none" w:sz="0" w:space="0" w:color="auto"/>
        <w:bottom w:val="none" w:sz="0" w:space="0" w:color="auto"/>
        <w:right w:val="none" w:sz="0" w:space="0" w:color="auto"/>
      </w:divBdr>
      <w:divsChild>
        <w:div w:id="70588099">
          <w:marLeft w:val="0"/>
          <w:marRight w:val="0"/>
          <w:marTop w:val="0"/>
          <w:marBottom w:val="0"/>
          <w:divBdr>
            <w:top w:val="none" w:sz="0" w:space="0" w:color="auto"/>
            <w:left w:val="none" w:sz="0" w:space="0" w:color="auto"/>
            <w:bottom w:val="none" w:sz="0" w:space="0" w:color="auto"/>
            <w:right w:val="none" w:sz="0" w:space="0" w:color="auto"/>
          </w:divBdr>
          <w:divsChild>
            <w:div w:id="218595063">
              <w:marLeft w:val="0"/>
              <w:marRight w:val="0"/>
              <w:marTop w:val="0"/>
              <w:marBottom w:val="0"/>
              <w:divBdr>
                <w:top w:val="none" w:sz="0" w:space="0" w:color="auto"/>
                <w:left w:val="none" w:sz="0" w:space="0" w:color="auto"/>
                <w:bottom w:val="none" w:sz="0" w:space="0" w:color="auto"/>
                <w:right w:val="none" w:sz="0" w:space="0" w:color="auto"/>
              </w:divBdr>
            </w:div>
          </w:divsChild>
        </w:div>
        <w:div w:id="219560881">
          <w:marLeft w:val="0"/>
          <w:marRight w:val="0"/>
          <w:marTop w:val="0"/>
          <w:marBottom w:val="0"/>
          <w:divBdr>
            <w:top w:val="none" w:sz="0" w:space="0" w:color="auto"/>
            <w:left w:val="none" w:sz="0" w:space="0" w:color="auto"/>
            <w:bottom w:val="none" w:sz="0" w:space="0" w:color="auto"/>
            <w:right w:val="none" w:sz="0" w:space="0" w:color="auto"/>
          </w:divBdr>
          <w:divsChild>
            <w:div w:id="1247156363">
              <w:marLeft w:val="0"/>
              <w:marRight w:val="0"/>
              <w:marTop w:val="0"/>
              <w:marBottom w:val="0"/>
              <w:divBdr>
                <w:top w:val="none" w:sz="0" w:space="0" w:color="auto"/>
                <w:left w:val="none" w:sz="0" w:space="0" w:color="auto"/>
                <w:bottom w:val="none" w:sz="0" w:space="0" w:color="auto"/>
                <w:right w:val="none" w:sz="0" w:space="0" w:color="auto"/>
              </w:divBdr>
            </w:div>
          </w:divsChild>
        </w:div>
        <w:div w:id="229267626">
          <w:marLeft w:val="0"/>
          <w:marRight w:val="0"/>
          <w:marTop w:val="0"/>
          <w:marBottom w:val="0"/>
          <w:divBdr>
            <w:top w:val="none" w:sz="0" w:space="0" w:color="auto"/>
            <w:left w:val="none" w:sz="0" w:space="0" w:color="auto"/>
            <w:bottom w:val="none" w:sz="0" w:space="0" w:color="auto"/>
            <w:right w:val="none" w:sz="0" w:space="0" w:color="auto"/>
          </w:divBdr>
          <w:divsChild>
            <w:div w:id="1891570129">
              <w:marLeft w:val="0"/>
              <w:marRight w:val="0"/>
              <w:marTop w:val="0"/>
              <w:marBottom w:val="0"/>
              <w:divBdr>
                <w:top w:val="none" w:sz="0" w:space="0" w:color="auto"/>
                <w:left w:val="none" w:sz="0" w:space="0" w:color="auto"/>
                <w:bottom w:val="none" w:sz="0" w:space="0" w:color="auto"/>
                <w:right w:val="none" w:sz="0" w:space="0" w:color="auto"/>
              </w:divBdr>
            </w:div>
          </w:divsChild>
        </w:div>
        <w:div w:id="250506177">
          <w:marLeft w:val="0"/>
          <w:marRight w:val="0"/>
          <w:marTop w:val="0"/>
          <w:marBottom w:val="0"/>
          <w:divBdr>
            <w:top w:val="none" w:sz="0" w:space="0" w:color="auto"/>
            <w:left w:val="none" w:sz="0" w:space="0" w:color="auto"/>
            <w:bottom w:val="none" w:sz="0" w:space="0" w:color="auto"/>
            <w:right w:val="none" w:sz="0" w:space="0" w:color="auto"/>
          </w:divBdr>
          <w:divsChild>
            <w:div w:id="404644508">
              <w:marLeft w:val="0"/>
              <w:marRight w:val="0"/>
              <w:marTop w:val="0"/>
              <w:marBottom w:val="0"/>
              <w:divBdr>
                <w:top w:val="none" w:sz="0" w:space="0" w:color="auto"/>
                <w:left w:val="none" w:sz="0" w:space="0" w:color="auto"/>
                <w:bottom w:val="none" w:sz="0" w:space="0" w:color="auto"/>
                <w:right w:val="none" w:sz="0" w:space="0" w:color="auto"/>
              </w:divBdr>
            </w:div>
          </w:divsChild>
        </w:div>
        <w:div w:id="269631650">
          <w:marLeft w:val="0"/>
          <w:marRight w:val="0"/>
          <w:marTop w:val="0"/>
          <w:marBottom w:val="0"/>
          <w:divBdr>
            <w:top w:val="none" w:sz="0" w:space="0" w:color="auto"/>
            <w:left w:val="none" w:sz="0" w:space="0" w:color="auto"/>
            <w:bottom w:val="none" w:sz="0" w:space="0" w:color="auto"/>
            <w:right w:val="none" w:sz="0" w:space="0" w:color="auto"/>
          </w:divBdr>
          <w:divsChild>
            <w:div w:id="800809334">
              <w:marLeft w:val="0"/>
              <w:marRight w:val="0"/>
              <w:marTop w:val="0"/>
              <w:marBottom w:val="0"/>
              <w:divBdr>
                <w:top w:val="none" w:sz="0" w:space="0" w:color="auto"/>
                <w:left w:val="none" w:sz="0" w:space="0" w:color="auto"/>
                <w:bottom w:val="none" w:sz="0" w:space="0" w:color="auto"/>
                <w:right w:val="none" w:sz="0" w:space="0" w:color="auto"/>
              </w:divBdr>
            </w:div>
          </w:divsChild>
        </w:div>
        <w:div w:id="340931867">
          <w:marLeft w:val="0"/>
          <w:marRight w:val="0"/>
          <w:marTop w:val="0"/>
          <w:marBottom w:val="0"/>
          <w:divBdr>
            <w:top w:val="none" w:sz="0" w:space="0" w:color="auto"/>
            <w:left w:val="none" w:sz="0" w:space="0" w:color="auto"/>
            <w:bottom w:val="none" w:sz="0" w:space="0" w:color="auto"/>
            <w:right w:val="none" w:sz="0" w:space="0" w:color="auto"/>
          </w:divBdr>
          <w:divsChild>
            <w:div w:id="1892570422">
              <w:marLeft w:val="0"/>
              <w:marRight w:val="0"/>
              <w:marTop w:val="0"/>
              <w:marBottom w:val="0"/>
              <w:divBdr>
                <w:top w:val="none" w:sz="0" w:space="0" w:color="auto"/>
                <w:left w:val="none" w:sz="0" w:space="0" w:color="auto"/>
                <w:bottom w:val="none" w:sz="0" w:space="0" w:color="auto"/>
                <w:right w:val="none" w:sz="0" w:space="0" w:color="auto"/>
              </w:divBdr>
              <w:divsChild>
                <w:div w:id="13312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661133">
          <w:marLeft w:val="0"/>
          <w:marRight w:val="0"/>
          <w:marTop w:val="0"/>
          <w:marBottom w:val="0"/>
          <w:divBdr>
            <w:top w:val="none" w:sz="0" w:space="0" w:color="auto"/>
            <w:left w:val="none" w:sz="0" w:space="0" w:color="auto"/>
            <w:bottom w:val="none" w:sz="0" w:space="0" w:color="auto"/>
            <w:right w:val="none" w:sz="0" w:space="0" w:color="auto"/>
          </w:divBdr>
          <w:divsChild>
            <w:div w:id="408890582">
              <w:marLeft w:val="0"/>
              <w:marRight w:val="0"/>
              <w:marTop w:val="0"/>
              <w:marBottom w:val="0"/>
              <w:divBdr>
                <w:top w:val="none" w:sz="0" w:space="0" w:color="auto"/>
                <w:left w:val="none" w:sz="0" w:space="0" w:color="auto"/>
                <w:bottom w:val="none" w:sz="0" w:space="0" w:color="auto"/>
                <w:right w:val="none" w:sz="0" w:space="0" w:color="auto"/>
              </w:divBdr>
            </w:div>
          </w:divsChild>
        </w:div>
        <w:div w:id="361980285">
          <w:marLeft w:val="0"/>
          <w:marRight w:val="0"/>
          <w:marTop w:val="0"/>
          <w:marBottom w:val="0"/>
          <w:divBdr>
            <w:top w:val="none" w:sz="0" w:space="0" w:color="auto"/>
            <w:left w:val="none" w:sz="0" w:space="0" w:color="auto"/>
            <w:bottom w:val="none" w:sz="0" w:space="0" w:color="auto"/>
            <w:right w:val="none" w:sz="0" w:space="0" w:color="auto"/>
          </w:divBdr>
        </w:div>
        <w:div w:id="381175539">
          <w:marLeft w:val="0"/>
          <w:marRight w:val="0"/>
          <w:marTop w:val="0"/>
          <w:marBottom w:val="0"/>
          <w:divBdr>
            <w:top w:val="none" w:sz="0" w:space="0" w:color="auto"/>
            <w:left w:val="none" w:sz="0" w:space="0" w:color="auto"/>
            <w:bottom w:val="none" w:sz="0" w:space="0" w:color="auto"/>
            <w:right w:val="none" w:sz="0" w:space="0" w:color="auto"/>
          </w:divBdr>
          <w:divsChild>
            <w:div w:id="2100592149">
              <w:marLeft w:val="0"/>
              <w:marRight w:val="0"/>
              <w:marTop w:val="0"/>
              <w:marBottom w:val="0"/>
              <w:divBdr>
                <w:top w:val="none" w:sz="0" w:space="0" w:color="auto"/>
                <w:left w:val="none" w:sz="0" w:space="0" w:color="auto"/>
                <w:bottom w:val="none" w:sz="0" w:space="0" w:color="auto"/>
                <w:right w:val="none" w:sz="0" w:space="0" w:color="auto"/>
              </w:divBdr>
            </w:div>
          </w:divsChild>
        </w:div>
        <w:div w:id="406418489">
          <w:marLeft w:val="0"/>
          <w:marRight w:val="0"/>
          <w:marTop w:val="0"/>
          <w:marBottom w:val="0"/>
          <w:divBdr>
            <w:top w:val="none" w:sz="0" w:space="0" w:color="auto"/>
            <w:left w:val="none" w:sz="0" w:space="0" w:color="auto"/>
            <w:bottom w:val="none" w:sz="0" w:space="0" w:color="auto"/>
            <w:right w:val="none" w:sz="0" w:space="0" w:color="auto"/>
          </w:divBdr>
          <w:divsChild>
            <w:div w:id="1725595517">
              <w:marLeft w:val="0"/>
              <w:marRight w:val="0"/>
              <w:marTop w:val="0"/>
              <w:marBottom w:val="0"/>
              <w:divBdr>
                <w:top w:val="none" w:sz="0" w:space="0" w:color="auto"/>
                <w:left w:val="none" w:sz="0" w:space="0" w:color="auto"/>
                <w:bottom w:val="none" w:sz="0" w:space="0" w:color="auto"/>
                <w:right w:val="none" w:sz="0" w:space="0" w:color="auto"/>
              </w:divBdr>
            </w:div>
          </w:divsChild>
        </w:div>
        <w:div w:id="494302506">
          <w:marLeft w:val="0"/>
          <w:marRight w:val="0"/>
          <w:marTop w:val="0"/>
          <w:marBottom w:val="0"/>
          <w:divBdr>
            <w:top w:val="none" w:sz="0" w:space="0" w:color="auto"/>
            <w:left w:val="none" w:sz="0" w:space="0" w:color="auto"/>
            <w:bottom w:val="none" w:sz="0" w:space="0" w:color="auto"/>
            <w:right w:val="none" w:sz="0" w:space="0" w:color="auto"/>
          </w:divBdr>
          <w:divsChild>
            <w:div w:id="1767533876">
              <w:marLeft w:val="0"/>
              <w:marRight w:val="0"/>
              <w:marTop w:val="0"/>
              <w:marBottom w:val="0"/>
              <w:divBdr>
                <w:top w:val="none" w:sz="0" w:space="0" w:color="auto"/>
                <w:left w:val="none" w:sz="0" w:space="0" w:color="auto"/>
                <w:bottom w:val="none" w:sz="0" w:space="0" w:color="auto"/>
                <w:right w:val="none" w:sz="0" w:space="0" w:color="auto"/>
              </w:divBdr>
            </w:div>
          </w:divsChild>
        </w:div>
        <w:div w:id="528764471">
          <w:marLeft w:val="0"/>
          <w:marRight w:val="0"/>
          <w:marTop w:val="0"/>
          <w:marBottom w:val="0"/>
          <w:divBdr>
            <w:top w:val="none" w:sz="0" w:space="0" w:color="auto"/>
            <w:left w:val="none" w:sz="0" w:space="0" w:color="auto"/>
            <w:bottom w:val="none" w:sz="0" w:space="0" w:color="auto"/>
            <w:right w:val="none" w:sz="0" w:space="0" w:color="auto"/>
          </w:divBdr>
        </w:div>
        <w:div w:id="756437316">
          <w:marLeft w:val="0"/>
          <w:marRight w:val="0"/>
          <w:marTop w:val="0"/>
          <w:marBottom w:val="0"/>
          <w:divBdr>
            <w:top w:val="none" w:sz="0" w:space="0" w:color="auto"/>
            <w:left w:val="none" w:sz="0" w:space="0" w:color="auto"/>
            <w:bottom w:val="none" w:sz="0" w:space="0" w:color="auto"/>
            <w:right w:val="none" w:sz="0" w:space="0" w:color="auto"/>
          </w:divBdr>
          <w:divsChild>
            <w:div w:id="1272669386">
              <w:marLeft w:val="0"/>
              <w:marRight w:val="0"/>
              <w:marTop w:val="0"/>
              <w:marBottom w:val="0"/>
              <w:divBdr>
                <w:top w:val="none" w:sz="0" w:space="0" w:color="auto"/>
                <w:left w:val="none" w:sz="0" w:space="0" w:color="auto"/>
                <w:bottom w:val="none" w:sz="0" w:space="0" w:color="auto"/>
                <w:right w:val="none" w:sz="0" w:space="0" w:color="auto"/>
              </w:divBdr>
            </w:div>
          </w:divsChild>
        </w:div>
        <w:div w:id="870453999">
          <w:marLeft w:val="0"/>
          <w:marRight w:val="0"/>
          <w:marTop w:val="0"/>
          <w:marBottom w:val="0"/>
          <w:divBdr>
            <w:top w:val="none" w:sz="0" w:space="0" w:color="auto"/>
            <w:left w:val="none" w:sz="0" w:space="0" w:color="auto"/>
            <w:bottom w:val="none" w:sz="0" w:space="0" w:color="auto"/>
            <w:right w:val="none" w:sz="0" w:space="0" w:color="auto"/>
          </w:divBdr>
          <w:divsChild>
            <w:div w:id="247037949">
              <w:marLeft w:val="0"/>
              <w:marRight w:val="0"/>
              <w:marTop w:val="0"/>
              <w:marBottom w:val="0"/>
              <w:divBdr>
                <w:top w:val="none" w:sz="0" w:space="0" w:color="auto"/>
                <w:left w:val="none" w:sz="0" w:space="0" w:color="auto"/>
                <w:bottom w:val="none" w:sz="0" w:space="0" w:color="auto"/>
                <w:right w:val="none" w:sz="0" w:space="0" w:color="auto"/>
              </w:divBdr>
            </w:div>
          </w:divsChild>
        </w:div>
        <w:div w:id="909080005">
          <w:marLeft w:val="0"/>
          <w:marRight w:val="0"/>
          <w:marTop w:val="0"/>
          <w:marBottom w:val="0"/>
          <w:divBdr>
            <w:top w:val="none" w:sz="0" w:space="0" w:color="auto"/>
            <w:left w:val="none" w:sz="0" w:space="0" w:color="auto"/>
            <w:bottom w:val="none" w:sz="0" w:space="0" w:color="auto"/>
            <w:right w:val="none" w:sz="0" w:space="0" w:color="auto"/>
          </w:divBdr>
          <w:divsChild>
            <w:div w:id="1071344786">
              <w:marLeft w:val="0"/>
              <w:marRight w:val="0"/>
              <w:marTop w:val="0"/>
              <w:marBottom w:val="0"/>
              <w:divBdr>
                <w:top w:val="none" w:sz="0" w:space="0" w:color="auto"/>
                <w:left w:val="none" w:sz="0" w:space="0" w:color="auto"/>
                <w:bottom w:val="none" w:sz="0" w:space="0" w:color="auto"/>
                <w:right w:val="none" w:sz="0" w:space="0" w:color="auto"/>
              </w:divBdr>
            </w:div>
          </w:divsChild>
        </w:div>
        <w:div w:id="911813428">
          <w:marLeft w:val="0"/>
          <w:marRight w:val="0"/>
          <w:marTop w:val="0"/>
          <w:marBottom w:val="0"/>
          <w:divBdr>
            <w:top w:val="none" w:sz="0" w:space="0" w:color="auto"/>
            <w:left w:val="none" w:sz="0" w:space="0" w:color="auto"/>
            <w:bottom w:val="none" w:sz="0" w:space="0" w:color="auto"/>
            <w:right w:val="none" w:sz="0" w:space="0" w:color="auto"/>
          </w:divBdr>
          <w:divsChild>
            <w:div w:id="1648820616">
              <w:marLeft w:val="0"/>
              <w:marRight w:val="0"/>
              <w:marTop w:val="0"/>
              <w:marBottom w:val="0"/>
              <w:divBdr>
                <w:top w:val="none" w:sz="0" w:space="0" w:color="auto"/>
                <w:left w:val="none" w:sz="0" w:space="0" w:color="auto"/>
                <w:bottom w:val="none" w:sz="0" w:space="0" w:color="auto"/>
                <w:right w:val="none" w:sz="0" w:space="0" w:color="auto"/>
              </w:divBdr>
            </w:div>
          </w:divsChild>
        </w:div>
        <w:div w:id="915819581">
          <w:marLeft w:val="0"/>
          <w:marRight w:val="0"/>
          <w:marTop w:val="0"/>
          <w:marBottom w:val="0"/>
          <w:divBdr>
            <w:top w:val="none" w:sz="0" w:space="0" w:color="auto"/>
            <w:left w:val="none" w:sz="0" w:space="0" w:color="auto"/>
            <w:bottom w:val="none" w:sz="0" w:space="0" w:color="auto"/>
            <w:right w:val="none" w:sz="0" w:space="0" w:color="auto"/>
          </w:divBdr>
          <w:divsChild>
            <w:div w:id="2132750251">
              <w:marLeft w:val="0"/>
              <w:marRight w:val="0"/>
              <w:marTop w:val="0"/>
              <w:marBottom w:val="0"/>
              <w:divBdr>
                <w:top w:val="none" w:sz="0" w:space="0" w:color="auto"/>
                <w:left w:val="none" w:sz="0" w:space="0" w:color="auto"/>
                <w:bottom w:val="none" w:sz="0" w:space="0" w:color="auto"/>
                <w:right w:val="none" w:sz="0" w:space="0" w:color="auto"/>
              </w:divBdr>
            </w:div>
          </w:divsChild>
        </w:div>
        <w:div w:id="946741980">
          <w:marLeft w:val="0"/>
          <w:marRight w:val="0"/>
          <w:marTop w:val="0"/>
          <w:marBottom w:val="0"/>
          <w:divBdr>
            <w:top w:val="none" w:sz="0" w:space="0" w:color="auto"/>
            <w:left w:val="none" w:sz="0" w:space="0" w:color="auto"/>
            <w:bottom w:val="none" w:sz="0" w:space="0" w:color="auto"/>
            <w:right w:val="none" w:sz="0" w:space="0" w:color="auto"/>
          </w:divBdr>
          <w:divsChild>
            <w:div w:id="1963615180">
              <w:marLeft w:val="0"/>
              <w:marRight w:val="0"/>
              <w:marTop w:val="0"/>
              <w:marBottom w:val="0"/>
              <w:divBdr>
                <w:top w:val="none" w:sz="0" w:space="0" w:color="auto"/>
                <w:left w:val="none" w:sz="0" w:space="0" w:color="auto"/>
                <w:bottom w:val="none" w:sz="0" w:space="0" w:color="auto"/>
                <w:right w:val="none" w:sz="0" w:space="0" w:color="auto"/>
              </w:divBdr>
            </w:div>
          </w:divsChild>
        </w:div>
        <w:div w:id="968165262">
          <w:marLeft w:val="0"/>
          <w:marRight w:val="0"/>
          <w:marTop w:val="0"/>
          <w:marBottom w:val="0"/>
          <w:divBdr>
            <w:top w:val="none" w:sz="0" w:space="0" w:color="auto"/>
            <w:left w:val="none" w:sz="0" w:space="0" w:color="auto"/>
            <w:bottom w:val="none" w:sz="0" w:space="0" w:color="auto"/>
            <w:right w:val="none" w:sz="0" w:space="0" w:color="auto"/>
          </w:divBdr>
          <w:divsChild>
            <w:div w:id="475030089">
              <w:marLeft w:val="0"/>
              <w:marRight w:val="0"/>
              <w:marTop w:val="0"/>
              <w:marBottom w:val="0"/>
              <w:divBdr>
                <w:top w:val="none" w:sz="0" w:space="0" w:color="auto"/>
                <w:left w:val="none" w:sz="0" w:space="0" w:color="auto"/>
                <w:bottom w:val="none" w:sz="0" w:space="0" w:color="auto"/>
                <w:right w:val="none" w:sz="0" w:space="0" w:color="auto"/>
              </w:divBdr>
            </w:div>
          </w:divsChild>
        </w:div>
        <w:div w:id="1119180700">
          <w:marLeft w:val="0"/>
          <w:marRight w:val="0"/>
          <w:marTop w:val="0"/>
          <w:marBottom w:val="0"/>
          <w:divBdr>
            <w:top w:val="none" w:sz="0" w:space="0" w:color="auto"/>
            <w:left w:val="none" w:sz="0" w:space="0" w:color="auto"/>
            <w:bottom w:val="none" w:sz="0" w:space="0" w:color="auto"/>
            <w:right w:val="none" w:sz="0" w:space="0" w:color="auto"/>
          </w:divBdr>
          <w:divsChild>
            <w:div w:id="485053738">
              <w:marLeft w:val="0"/>
              <w:marRight w:val="0"/>
              <w:marTop w:val="0"/>
              <w:marBottom w:val="0"/>
              <w:divBdr>
                <w:top w:val="none" w:sz="0" w:space="0" w:color="auto"/>
                <w:left w:val="none" w:sz="0" w:space="0" w:color="auto"/>
                <w:bottom w:val="none" w:sz="0" w:space="0" w:color="auto"/>
                <w:right w:val="none" w:sz="0" w:space="0" w:color="auto"/>
              </w:divBdr>
              <w:divsChild>
                <w:div w:id="20578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1542">
          <w:marLeft w:val="0"/>
          <w:marRight w:val="0"/>
          <w:marTop w:val="0"/>
          <w:marBottom w:val="0"/>
          <w:divBdr>
            <w:top w:val="none" w:sz="0" w:space="0" w:color="auto"/>
            <w:left w:val="none" w:sz="0" w:space="0" w:color="auto"/>
            <w:bottom w:val="none" w:sz="0" w:space="0" w:color="auto"/>
            <w:right w:val="none" w:sz="0" w:space="0" w:color="auto"/>
          </w:divBdr>
          <w:divsChild>
            <w:div w:id="823619994">
              <w:marLeft w:val="0"/>
              <w:marRight w:val="0"/>
              <w:marTop w:val="0"/>
              <w:marBottom w:val="0"/>
              <w:divBdr>
                <w:top w:val="none" w:sz="0" w:space="0" w:color="auto"/>
                <w:left w:val="none" w:sz="0" w:space="0" w:color="auto"/>
                <w:bottom w:val="none" w:sz="0" w:space="0" w:color="auto"/>
                <w:right w:val="none" w:sz="0" w:space="0" w:color="auto"/>
              </w:divBdr>
              <w:divsChild>
                <w:div w:id="20785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93384">
          <w:marLeft w:val="0"/>
          <w:marRight w:val="0"/>
          <w:marTop w:val="0"/>
          <w:marBottom w:val="0"/>
          <w:divBdr>
            <w:top w:val="none" w:sz="0" w:space="0" w:color="auto"/>
            <w:left w:val="none" w:sz="0" w:space="0" w:color="auto"/>
            <w:bottom w:val="none" w:sz="0" w:space="0" w:color="auto"/>
            <w:right w:val="none" w:sz="0" w:space="0" w:color="auto"/>
          </w:divBdr>
          <w:divsChild>
            <w:div w:id="1207061521">
              <w:marLeft w:val="0"/>
              <w:marRight w:val="0"/>
              <w:marTop w:val="0"/>
              <w:marBottom w:val="0"/>
              <w:divBdr>
                <w:top w:val="none" w:sz="0" w:space="0" w:color="auto"/>
                <w:left w:val="none" w:sz="0" w:space="0" w:color="auto"/>
                <w:bottom w:val="none" w:sz="0" w:space="0" w:color="auto"/>
                <w:right w:val="none" w:sz="0" w:space="0" w:color="auto"/>
              </w:divBdr>
            </w:div>
          </w:divsChild>
        </w:div>
        <w:div w:id="1175339154">
          <w:marLeft w:val="0"/>
          <w:marRight w:val="0"/>
          <w:marTop w:val="0"/>
          <w:marBottom w:val="0"/>
          <w:divBdr>
            <w:top w:val="none" w:sz="0" w:space="0" w:color="auto"/>
            <w:left w:val="none" w:sz="0" w:space="0" w:color="auto"/>
            <w:bottom w:val="none" w:sz="0" w:space="0" w:color="auto"/>
            <w:right w:val="none" w:sz="0" w:space="0" w:color="auto"/>
          </w:divBdr>
          <w:divsChild>
            <w:div w:id="1152987852">
              <w:marLeft w:val="0"/>
              <w:marRight w:val="0"/>
              <w:marTop w:val="0"/>
              <w:marBottom w:val="0"/>
              <w:divBdr>
                <w:top w:val="none" w:sz="0" w:space="0" w:color="auto"/>
                <w:left w:val="none" w:sz="0" w:space="0" w:color="auto"/>
                <w:bottom w:val="none" w:sz="0" w:space="0" w:color="auto"/>
                <w:right w:val="none" w:sz="0" w:space="0" w:color="auto"/>
              </w:divBdr>
            </w:div>
          </w:divsChild>
        </w:div>
        <w:div w:id="1252543326">
          <w:marLeft w:val="0"/>
          <w:marRight w:val="0"/>
          <w:marTop w:val="0"/>
          <w:marBottom w:val="0"/>
          <w:divBdr>
            <w:top w:val="none" w:sz="0" w:space="0" w:color="auto"/>
            <w:left w:val="none" w:sz="0" w:space="0" w:color="auto"/>
            <w:bottom w:val="none" w:sz="0" w:space="0" w:color="auto"/>
            <w:right w:val="none" w:sz="0" w:space="0" w:color="auto"/>
          </w:divBdr>
          <w:divsChild>
            <w:div w:id="1419407036">
              <w:marLeft w:val="0"/>
              <w:marRight w:val="0"/>
              <w:marTop w:val="0"/>
              <w:marBottom w:val="0"/>
              <w:divBdr>
                <w:top w:val="none" w:sz="0" w:space="0" w:color="auto"/>
                <w:left w:val="none" w:sz="0" w:space="0" w:color="auto"/>
                <w:bottom w:val="none" w:sz="0" w:space="0" w:color="auto"/>
                <w:right w:val="none" w:sz="0" w:space="0" w:color="auto"/>
              </w:divBdr>
              <w:divsChild>
                <w:div w:id="126145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3911">
          <w:marLeft w:val="0"/>
          <w:marRight w:val="0"/>
          <w:marTop w:val="0"/>
          <w:marBottom w:val="0"/>
          <w:divBdr>
            <w:top w:val="none" w:sz="0" w:space="0" w:color="auto"/>
            <w:left w:val="none" w:sz="0" w:space="0" w:color="auto"/>
            <w:bottom w:val="none" w:sz="0" w:space="0" w:color="auto"/>
            <w:right w:val="none" w:sz="0" w:space="0" w:color="auto"/>
          </w:divBdr>
          <w:divsChild>
            <w:div w:id="2042782338">
              <w:marLeft w:val="0"/>
              <w:marRight w:val="0"/>
              <w:marTop w:val="0"/>
              <w:marBottom w:val="0"/>
              <w:divBdr>
                <w:top w:val="none" w:sz="0" w:space="0" w:color="auto"/>
                <w:left w:val="none" w:sz="0" w:space="0" w:color="auto"/>
                <w:bottom w:val="none" w:sz="0" w:space="0" w:color="auto"/>
                <w:right w:val="none" w:sz="0" w:space="0" w:color="auto"/>
              </w:divBdr>
              <w:divsChild>
                <w:div w:id="5877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3652">
          <w:marLeft w:val="0"/>
          <w:marRight w:val="0"/>
          <w:marTop w:val="0"/>
          <w:marBottom w:val="0"/>
          <w:divBdr>
            <w:top w:val="none" w:sz="0" w:space="0" w:color="auto"/>
            <w:left w:val="none" w:sz="0" w:space="0" w:color="auto"/>
            <w:bottom w:val="none" w:sz="0" w:space="0" w:color="auto"/>
            <w:right w:val="none" w:sz="0" w:space="0" w:color="auto"/>
          </w:divBdr>
          <w:divsChild>
            <w:div w:id="1113746802">
              <w:marLeft w:val="0"/>
              <w:marRight w:val="0"/>
              <w:marTop w:val="0"/>
              <w:marBottom w:val="0"/>
              <w:divBdr>
                <w:top w:val="none" w:sz="0" w:space="0" w:color="auto"/>
                <w:left w:val="none" w:sz="0" w:space="0" w:color="auto"/>
                <w:bottom w:val="none" w:sz="0" w:space="0" w:color="auto"/>
                <w:right w:val="none" w:sz="0" w:space="0" w:color="auto"/>
              </w:divBdr>
            </w:div>
          </w:divsChild>
        </w:div>
        <w:div w:id="1307508796">
          <w:marLeft w:val="0"/>
          <w:marRight w:val="0"/>
          <w:marTop w:val="0"/>
          <w:marBottom w:val="0"/>
          <w:divBdr>
            <w:top w:val="none" w:sz="0" w:space="0" w:color="auto"/>
            <w:left w:val="none" w:sz="0" w:space="0" w:color="auto"/>
            <w:bottom w:val="none" w:sz="0" w:space="0" w:color="auto"/>
            <w:right w:val="none" w:sz="0" w:space="0" w:color="auto"/>
          </w:divBdr>
        </w:div>
        <w:div w:id="1340502363">
          <w:marLeft w:val="0"/>
          <w:marRight w:val="0"/>
          <w:marTop w:val="0"/>
          <w:marBottom w:val="0"/>
          <w:divBdr>
            <w:top w:val="none" w:sz="0" w:space="0" w:color="auto"/>
            <w:left w:val="none" w:sz="0" w:space="0" w:color="auto"/>
            <w:bottom w:val="none" w:sz="0" w:space="0" w:color="auto"/>
            <w:right w:val="none" w:sz="0" w:space="0" w:color="auto"/>
          </w:divBdr>
          <w:divsChild>
            <w:div w:id="1787314506">
              <w:marLeft w:val="0"/>
              <w:marRight w:val="0"/>
              <w:marTop w:val="0"/>
              <w:marBottom w:val="0"/>
              <w:divBdr>
                <w:top w:val="none" w:sz="0" w:space="0" w:color="auto"/>
                <w:left w:val="none" w:sz="0" w:space="0" w:color="auto"/>
                <w:bottom w:val="none" w:sz="0" w:space="0" w:color="auto"/>
                <w:right w:val="none" w:sz="0" w:space="0" w:color="auto"/>
              </w:divBdr>
            </w:div>
          </w:divsChild>
        </w:div>
        <w:div w:id="1389307585">
          <w:marLeft w:val="0"/>
          <w:marRight w:val="0"/>
          <w:marTop w:val="0"/>
          <w:marBottom w:val="0"/>
          <w:divBdr>
            <w:top w:val="none" w:sz="0" w:space="0" w:color="auto"/>
            <w:left w:val="none" w:sz="0" w:space="0" w:color="auto"/>
            <w:bottom w:val="none" w:sz="0" w:space="0" w:color="auto"/>
            <w:right w:val="none" w:sz="0" w:space="0" w:color="auto"/>
          </w:divBdr>
          <w:divsChild>
            <w:div w:id="82915213">
              <w:marLeft w:val="0"/>
              <w:marRight w:val="0"/>
              <w:marTop w:val="0"/>
              <w:marBottom w:val="0"/>
              <w:divBdr>
                <w:top w:val="none" w:sz="0" w:space="0" w:color="auto"/>
                <w:left w:val="none" w:sz="0" w:space="0" w:color="auto"/>
                <w:bottom w:val="none" w:sz="0" w:space="0" w:color="auto"/>
                <w:right w:val="none" w:sz="0" w:space="0" w:color="auto"/>
              </w:divBdr>
            </w:div>
          </w:divsChild>
        </w:div>
        <w:div w:id="1404140236">
          <w:marLeft w:val="0"/>
          <w:marRight w:val="0"/>
          <w:marTop w:val="0"/>
          <w:marBottom w:val="0"/>
          <w:divBdr>
            <w:top w:val="none" w:sz="0" w:space="0" w:color="auto"/>
            <w:left w:val="none" w:sz="0" w:space="0" w:color="auto"/>
            <w:bottom w:val="none" w:sz="0" w:space="0" w:color="auto"/>
            <w:right w:val="none" w:sz="0" w:space="0" w:color="auto"/>
          </w:divBdr>
          <w:divsChild>
            <w:div w:id="1475564579">
              <w:marLeft w:val="0"/>
              <w:marRight w:val="0"/>
              <w:marTop w:val="0"/>
              <w:marBottom w:val="0"/>
              <w:divBdr>
                <w:top w:val="none" w:sz="0" w:space="0" w:color="auto"/>
                <w:left w:val="none" w:sz="0" w:space="0" w:color="auto"/>
                <w:bottom w:val="none" w:sz="0" w:space="0" w:color="auto"/>
                <w:right w:val="none" w:sz="0" w:space="0" w:color="auto"/>
              </w:divBdr>
            </w:div>
          </w:divsChild>
        </w:div>
        <w:div w:id="1436945893">
          <w:marLeft w:val="0"/>
          <w:marRight w:val="0"/>
          <w:marTop w:val="0"/>
          <w:marBottom w:val="0"/>
          <w:divBdr>
            <w:top w:val="none" w:sz="0" w:space="0" w:color="auto"/>
            <w:left w:val="none" w:sz="0" w:space="0" w:color="auto"/>
            <w:bottom w:val="none" w:sz="0" w:space="0" w:color="auto"/>
            <w:right w:val="none" w:sz="0" w:space="0" w:color="auto"/>
          </w:divBdr>
          <w:divsChild>
            <w:div w:id="2059939799">
              <w:marLeft w:val="0"/>
              <w:marRight w:val="0"/>
              <w:marTop w:val="0"/>
              <w:marBottom w:val="0"/>
              <w:divBdr>
                <w:top w:val="none" w:sz="0" w:space="0" w:color="auto"/>
                <w:left w:val="none" w:sz="0" w:space="0" w:color="auto"/>
                <w:bottom w:val="none" w:sz="0" w:space="0" w:color="auto"/>
                <w:right w:val="none" w:sz="0" w:space="0" w:color="auto"/>
              </w:divBdr>
            </w:div>
          </w:divsChild>
        </w:div>
        <w:div w:id="1514566035">
          <w:marLeft w:val="0"/>
          <w:marRight w:val="0"/>
          <w:marTop w:val="0"/>
          <w:marBottom w:val="0"/>
          <w:divBdr>
            <w:top w:val="none" w:sz="0" w:space="0" w:color="auto"/>
            <w:left w:val="none" w:sz="0" w:space="0" w:color="auto"/>
            <w:bottom w:val="none" w:sz="0" w:space="0" w:color="auto"/>
            <w:right w:val="none" w:sz="0" w:space="0" w:color="auto"/>
          </w:divBdr>
        </w:div>
        <w:div w:id="1551187038">
          <w:marLeft w:val="0"/>
          <w:marRight w:val="0"/>
          <w:marTop w:val="0"/>
          <w:marBottom w:val="0"/>
          <w:divBdr>
            <w:top w:val="none" w:sz="0" w:space="0" w:color="auto"/>
            <w:left w:val="none" w:sz="0" w:space="0" w:color="auto"/>
            <w:bottom w:val="none" w:sz="0" w:space="0" w:color="auto"/>
            <w:right w:val="none" w:sz="0" w:space="0" w:color="auto"/>
          </w:divBdr>
          <w:divsChild>
            <w:div w:id="344207859">
              <w:marLeft w:val="0"/>
              <w:marRight w:val="0"/>
              <w:marTop w:val="0"/>
              <w:marBottom w:val="0"/>
              <w:divBdr>
                <w:top w:val="none" w:sz="0" w:space="0" w:color="auto"/>
                <w:left w:val="none" w:sz="0" w:space="0" w:color="auto"/>
                <w:bottom w:val="none" w:sz="0" w:space="0" w:color="auto"/>
                <w:right w:val="none" w:sz="0" w:space="0" w:color="auto"/>
              </w:divBdr>
            </w:div>
          </w:divsChild>
        </w:div>
        <w:div w:id="1582182652">
          <w:marLeft w:val="0"/>
          <w:marRight w:val="0"/>
          <w:marTop w:val="0"/>
          <w:marBottom w:val="0"/>
          <w:divBdr>
            <w:top w:val="none" w:sz="0" w:space="0" w:color="auto"/>
            <w:left w:val="none" w:sz="0" w:space="0" w:color="auto"/>
            <w:bottom w:val="none" w:sz="0" w:space="0" w:color="auto"/>
            <w:right w:val="none" w:sz="0" w:space="0" w:color="auto"/>
          </w:divBdr>
          <w:divsChild>
            <w:div w:id="2042199198">
              <w:marLeft w:val="0"/>
              <w:marRight w:val="0"/>
              <w:marTop w:val="0"/>
              <w:marBottom w:val="0"/>
              <w:divBdr>
                <w:top w:val="none" w:sz="0" w:space="0" w:color="auto"/>
                <w:left w:val="none" w:sz="0" w:space="0" w:color="auto"/>
                <w:bottom w:val="none" w:sz="0" w:space="0" w:color="auto"/>
                <w:right w:val="none" w:sz="0" w:space="0" w:color="auto"/>
              </w:divBdr>
            </w:div>
          </w:divsChild>
        </w:div>
        <w:div w:id="1604415286">
          <w:marLeft w:val="0"/>
          <w:marRight w:val="0"/>
          <w:marTop w:val="0"/>
          <w:marBottom w:val="0"/>
          <w:divBdr>
            <w:top w:val="none" w:sz="0" w:space="0" w:color="auto"/>
            <w:left w:val="none" w:sz="0" w:space="0" w:color="auto"/>
            <w:bottom w:val="none" w:sz="0" w:space="0" w:color="auto"/>
            <w:right w:val="none" w:sz="0" w:space="0" w:color="auto"/>
          </w:divBdr>
          <w:divsChild>
            <w:div w:id="1737439455">
              <w:marLeft w:val="0"/>
              <w:marRight w:val="0"/>
              <w:marTop w:val="0"/>
              <w:marBottom w:val="0"/>
              <w:divBdr>
                <w:top w:val="none" w:sz="0" w:space="0" w:color="auto"/>
                <w:left w:val="none" w:sz="0" w:space="0" w:color="auto"/>
                <w:bottom w:val="none" w:sz="0" w:space="0" w:color="auto"/>
                <w:right w:val="none" w:sz="0" w:space="0" w:color="auto"/>
              </w:divBdr>
            </w:div>
          </w:divsChild>
        </w:div>
        <w:div w:id="1655530189">
          <w:marLeft w:val="0"/>
          <w:marRight w:val="0"/>
          <w:marTop w:val="0"/>
          <w:marBottom w:val="0"/>
          <w:divBdr>
            <w:top w:val="none" w:sz="0" w:space="0" w:color="auto"/>
            <w:left w:val="none" w:sz="0" w:space="0" w:color="auto"/>
            <w:bottom w:val="none" w:sz="0" w:space="0" w:color="auto"/>
            <w:right w:val="none" w:sz="0" w:space="0" w:color="auto"/>
          </w:divBdr>
        </w:div>
        <w:div w:id="1692800992">
          <w:marLeft w:val="0"/>
          <w:marRight w:val="0"/>
          <w:marTop w:val="0"/>
          <w:marBottom w:val="0"/>
          <w:divBdr>
            <w:top w:val="none" w:sz="0" w:space="0" w:color="auto"/>
            <w:left w:val="none" w:sz="0" w:space="0" w:color="auto"/>
            <w:bottom w:val="none" w:sz="0" w:space="0" w:color="auto"/>
            <w:right w:val="none" w:sz="0" w:space="0" w:color="auto"/>
          </w:divBdr>
          <w:divsChild>
            <w:div w:id="715471955">
              <w:marLeft w:val="0"/>
              <w:marRight w:val="0"/>
              <w:marTop w:val="0"/>
              <w:marBottom w:val="0"/>
              <w:divBdr>
                <w:top w:val="none" w:sz="0" w:space="0" w:color="auto"/>
                <w:left w:val="none" w:sz="0" w:space="0" w:color="auto"/>
                <w:bottom w:val="none" w:sz="0" w:space="0" w:color="auto"/>
                <w:right w:val="none" w:sz="0" w:space="0" w:color="auto"/>
              </w:divBdr>
            </w:div>
          </w:divsChild>
        </w:div>
        <w:div w:id="1702432926">
          <w:marLeft w:val="0"/>
          <w:marRight w:val="0"/>
          <w:marTop w:val="0"/>
          <w:marBottom w:val="0"/>
          <w:divBdr>
            <w:top w:val="none" w:sz="0" w:space="0" w:color="auto"/>
            <w:left w:val="none" w:sz="0" w:space="0" w:color="auto"/>
            <w:bottom w:val="none" w:sz="0" w:space="0" w:color="auto"/>
            <w:right w:val="none" w:sz="0" w:space="0" w:color="auto"/>
          </w:divBdr>
          <w:divsChild>
            <w:div w:id="1794246058">
              <w:marLeft w:val="0"/>
              <w:marRight w:val="0"/>
              <w:marTop w:val="0"/>
              <w:marBottom w:val="0"/>
              <w:divBdr>
                <w:top w:val="none" w:sz="0" w:space="0" w:color="auto"/>
                <w:left w:val="none" w:sz="0" w:space="0" w:color="auto"/>
                <w:bottom w:val="none" w:sz="0" w:space="0" w:color="auto"/>
                <w:right w:val="none" w:sz="0" w:space="0" w:color="auto"/>
              </w:divBdr>
            </w:div>
          </w:divsChild>
        </w:div>
        <w:div w:id="1738430449">
          <w:marLeft w:val="0"/>
          <w:marRight w:val="0"/>
          <w:marTop w:val="0"/>
          <w:marBottom w:val="0"/>
          <w:divBdr>
            <w:top w:val="none" w:sz="0" w:space="0" w:color="auto"/>
            <w:left w:val="none" w:sz="0" w:space="0" w:color="auto"/>
            <w:bottom w:val="none" w:sz="0" w:space="0" w:color="auto"/>
            <w:right w:val="none" w:sz="0" w:space="0" w:color="auto"/>
          </w:divBdr>
          <w:divsChild>
            <w:div w:id="1360857505">
              <w:marLeft w:val="0"/>
              <w:marRight w:val="0"/>
              <w:marTop w:val="0"/>
              <w:marBottom w:val="0"/>
              <w:divBdr>
                <w:top w:val="none" w:sz="0" w:space="0" w:color="auto"/>
                <w:left w:val="none" w:sz="0" w:space="0" w:color="auto"/>
                <w:bottom w:val="none" w:sz="0" w:space="0" w:color="auto"/>
                <w:right w:val="none" w:sz="0" w:space="0" w:color="auto"/>
              </w:divBdr>
            </w:div>
          </w:divsChild>
        </w:div>
        <w:div w:id="1798910762">
          <w:marLeft w:val="0"/>
          <w:marRight w:val="0"/>
          <w:marTop w:val="0"/>
          <w:marBottom w:val="0"/>
          <w:divBdr>
            <w:top w:val="none" w:sz="0" w:space="0" w:color="auto"/>
            <w:left w:val="none" w:sz="0" w:space="0" w:color="auto"/>
            <w:bottom w:val="none" w:sz="0" w:space="0" w:color="auto"/>
            <w:right w:val="none" w:sz="0" w:space="0" w:color="auto"/>
          </w:divBdr>
          <w:divsChild>
            <w:div w:id="868108166">
              <w:marLeft w:val="0"/>
              <w:marRight w:val="0"/>
              <w:marTop w:val="0"/>
              <w:marBottom w:val="0"/>
              <w:divBdr>
                <w:top w:val="none" w:sz="0" w:space="0" w:color="auto"/>
                <w:left w:val="none" w:sz="0" w:space="0" w:color="auto"/>
                <w:bottom w:val="none" w:sz="0" w:space="0" w:color="auto"/>
                <w:right w:val="none" w:sz="0" w:space="0" w:color="auto"/>
              </w:divBdr>
            </w:div>
          </w:divsChild>
        </w:div>
        <w:div w:id="1812626548">
          <w:marLeft w:val="0"/>
          <w:marRight w:val="0"/>
          <w:marTop w:val="0"/>
          <w:marBottom w:val="0"/>
          <w:divBdr>
            <w:top w:val="none" w:sz="0" w:space="0" w:color="auto"/>
            <w:left w:val="none" w:sz="0" w:space="0" w:color="auto"/>
            <w:bottom w:val="none" w:sz="0" w:space="0" w:color="auto"/>
            <w:right w:val="none" w:sz="0" w:space="0" w:color="auto"/>
          </w:divBdr>
          <w:divsChild>
            <w:div w:id="828903795">
              <w:marLeft w:val="0"/>
              <w:marRight w:val="0"/>
              <w:marTop w:val="0"/>
              <w:marBottom w:val="0"/>
              <w:divBdr>
                <w:top w:val="none" w:sz="0" w:space="0" w:color="auto"/>
                <w:left w:val="none" w:sz="0" w:space="0" w:color="auto"/>
                <w:bottom w:val="none" w:sz="0" w:space="0" w:color="auto"/>
                <w:right w:val="none" w:sz="0" w:space="0" w:color="auto"/>
              </w:divBdr>
            </w:div>
          </w:divsChild>
        </w:div>
        <w:div w:id="1916283856">
          <w:marLeft w:val="0"/>
          <w:marRight w:val="0"/>
          <w:marTop w:val="0"/>
          <w:marBottom w:val="0"/>
          <w:divBdr>
            <w:top w:val="none" w:sz="0" w:space="0" w:color="auto"/>
            <w:left w:val="none" w:sz="0" w:space="0" w:color="auto"/>
            <w:bottom w:val="none" w:sz="0" w:space="0" w:color="auto"/>
            <w:right w:val="none" w:sz="0" w:space="0" w:color="auto"/>
          </w:divBdr>
          <w:divsChild>
            <w:div w:id="1136918804">
              <w:marLeft w:val="0"/>
              <w:marRight w:val="0"/>
              <w:marTop w:val="0"/>
              <w:marBottom w:val="0"/>
              <w:divBdr>
                <w:top w:val="none" w:sz="0" w:space="0" w:color="auto"/>
                <w:left w:val="none" w:sz="0" w:space="0" w:color="auto"/>
                <w:bottom w:val="none" w:sz="0" w:space="0" w:color="auto"/>
                <w:right w:val="none" w:sz="0" w:space="0" w:color="auto"/>
              </w:divBdr>
            </w:div>
          </w:divsChild>
        </w:div>
        <w:div w:id="2007172585">
          <w:marLeft w:val="0"/>
          <w:marRight w:val="0"/>
          <w:marTop w:val="0"/>
          <w:marBottom w:val="0"/>
          <w:divBdr>
            <w:top w:val="none" w:sz="0" w:space="0" w:color="auto"/>
            <w:left w:val="none" w:sz="0" w:space="0" w:color="auto"/>
            <w:bottom w:val="none" w:sz="0" w:space="0" w:color="auto"/>
            <w:right w:val="none" w:sz="0" w:space="0" w:color="auto"/>
          </w:divBdr>
          <w:divsChild>
            <w:div w:id="481652690">
              <w:marLeft w:val="0"/>
              <w:marRight w:val="0"/>
              <w:marTop w:val="0"/>
              <w:marBottom w:val="0"/>
              <w:divBdr>
                <w:top w:val="none" w:sz="0" w:space="0" w:color="auto"/>
                <w:left w:val="none" w:sz="0" w:space="0" w:color="auto"/>
                <w:bottom w:val="none" w:sz="0" w:space="0" w:color="auto"/>
                <w:right w:val="none" w:sz="0" w:space="0" w:color="auto"/>
              </w:divBdr>
            </w:div>
          </w:divsChild>
        </w:div>
        <w:div w:id="2031179687">
          <w:marLeft w:val="0"/>
          <w:marRight w:val="0"/>
          <w:marTop w:val="0"/>
          <w:marBottom w:val="0"/>
          <w:divBdr>
            <w:top w:val="none" w:sz="0" w:space="0" w:color="auto"/>
            <w:left w:val="none" w:sz="0" w:space="0" w:color="auto"/>
            <w:bottom w:val="none" w:sz="0" w:space="0" w:color="auto"/>
            <w:right w:val="none" w:sz="0" w:space="0" w:color="auto"/>
          </w:divBdr>
          <w:divsChild>
            <w:div w:id="264650499">
              <w:marLeft w:val="0"/>
              <w:marRight w:val="0"/>
              <w:marTop w:val="0"/>
              <w:marBottom w:val="0"/>
              <w:divBdr>
                <w:top w:val="none" w:sz="0" w:space="0" w:color="auto"/>
                <w:left w:val="none" w:sz="0" w:space="0" w:color="auto"/>
                <w:bottom w:val="none" w:sz="0" w:space="0" w:color="auto"/>
                <w:right w:val="none" w:sz="0" w:space="0" w:color="auto"/>
              </w:divBdr>
            </w:div>
          </w:divsChild>
        </w:div>
        <w:div w:id="2095931702">
          <w:marLeft w:val="0"/>
          <w:marRight w:val="0"/>
          <w:marTop w:val="0"/>
          <w:marBottom w:val="0"/>
          <w:divBdr>
            <w:top w:val="none" w:sz="0" w:space="0" w:color="auto"/>
            <w:left w:val="none" w:sz="0" w:space="0" w:color="auto"/>
            <w:bottom w:val="none" w:sz="0" w:space="0" w:color="auto"/>
            <w:right w:val="none" w:sz="0" w:space="0" w:color="auto"/>
          </w:divBdr>
          <w:divsChild>
            <w:div w:id="511994761">
              <w:marLeft w:val="0"/>
              <w:marRight w:val="0"/>
              <w:marTop w:val="0"/>
              <w:marBottom w:val="0"/>
              <w:divBdr>
                <w:top w:val="none" w:sz="0" w:space="0" w:color="auto"/>
                <w:left w:val="none" w:sz="0" w:space="0" w:color="auto"/>
                <w:bottom w:val="none" w:sz="0" w:space="0" w:color="auto"/>
                <w:right w:val="none" w:sz="0" w:space="0" w:color="auto"/>
              </w:divBdr>
            </w:div>
          </w:divsChild>
        </w:div>
        <w:div w:id="2132286439">
          <w:marLeft w:val="0"/>
          <w:marRight w:val="0"/>
          <w:marTop w:val="0"/>
          <w:marBottom w:val="0"/>
          <w:divBdr>
            <w:top w:val="none" w:sz="0" w:space="0" w:color="auto"/>
            <w:left w:val="none" w:sz="0" w:space="0" w:color="auto"/>
            <w:bottom w:val="none" w:sz="0" w:space="0" w:color="auto"/>
            <w:right w:val="none" w:sz="0" w:space="0" w:color="auto"/>
          </w:divBdr>
          <w:divsChild>
            <w:div w:id="13010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4789">
      <w:bodyDiv w:val="1"/>
      <w:marLeft w:val="0"/>
      <w:marRight w:val="0"/>
      <w:marTop w:val="0"/>
      <w:marBottom w:val="0"/>
      <w:divBdr>
        <w:top w:val="none" w:sz="0" w:space="0" w:color="auto"/>
        <w:left w:val="none" w:sz="0" w:space="0" w:color="auto"/>
        <w:bottom w:val="none" w:sz="0" w:space="0" w:color="auto"/>
        <w:right w:val="none" w:sz="0" w:space="0" w:color="auto"/>
      </w:divBdr>
      <w:divsChild>
        <w:div w:id="962150049">
          <w:marLeft w:val="0"/>
          <w:marRight w:val="0"/>
          <w:marTop w:val="0"/>
          <w:marBottom w:val="0"/>
          <w:divBdr>
            <w:top w:val="none" w:sz="0" w:space="0" w:color="auto"/>
            <w:left w:val="none" w:sz="0" w:space="0" w:color="auto"/>
            <w:bottom w:val="none" w:sz="0" w:space="0" w:color="auto"/>
            <w:right w:val="none" w:sz="0" w:space="0" w:color="auto"/>
          </w:divBdr>
        </w:div>
        <w:div w:id="1659572687">
          <w:marLeft w:val="0"/>
          <w:marRight w:val="0"/>
          <w:marTop w:val="0"/>
          <w:marBottom w:val="0"/>
          <w:divBdr>
            <w:top w:val="none" w:sz="0" w:space="0" w:color="auto"/>
            <w:left w:val="none" w:sz="0" w:space="0" w:color="auto"/>
            <w:bottom w:val="none" w:sz="0" w:space="0" w:color="auto"/>
            <w:right w:val="none" w:sz="0" w:space="0" w:color="auto"/>
          </w:divBdr>
        </w:div>
      </w:divsChild>
    </w:div>
    <w:div w:id="1255894206">
      <w:bodyDiv w:val="1"/>
      <w:marLeft w:val="0"/>
      <w:marRight w:val="0"/>
      <w:marTop w:val="0"/>
      <w:marBottom w:val="0"/>
      <w:divBdr>
        <w:top w:val="none" w:sz="0" w:space="0" w:color="auto"/>
        <w:left w:val="none" w:sz="0" w:space="0" w:color="auto"/>
        <w:bottom w:val="none" w:sz="0" w:space="0" w:color="auto"/>
        <w:right w:val="none" w:sz="0" w:space="0" w:color="auto"/>
      </w:divBdr>
    </w:div>
    <w:div w:id="1258366659">
      <w:bodyDiv w:val="1"/>
      <w:marLeft w:val="0"/>
      <w:marRight w:val="0"/>
      <w:marTop w:val="0"/>
      <w:marBottom w:val="0"/>
      <w:divBdr>
        <w:top w:val="none" w:sz="0" w:space="0" w:color="auto"/>
        <w:left w:val="none" w:sz="0" w:space="0" w:color="auto"/>
        <w:bottom w:val="none" w:sz="0" w:space="0" w:color="auto"/>
        <w:right w:val="none" w:sz="0" w:space="0" w:color="auto"/>
      </w:divBdr>
    </w:div>
    <w:div w:id="1356811952">
      <w:bodyDiv w:val="1"/>
      <w:marLeft w:val="0"/>
      <w:marRight w:val="0"/>
      <w:marTop w:val="0"/>
      <w:marBottom w:val="0"/>
      <w:divBdr>
        <w:top w:val="none" w:sz="0" w:space="0" w:color="auto"/>
        <w:left w:val="none" w:sz="0" w:space="0" w:color="auto"/>
        <w:bottom w:val="none" w:sz="0" w:space="0" w:color="auto"/>
        <w:right w:val="none" w:sz="0" w:space="0" w:color="auto"/>
      </w:divBdr>
    </w:div>
    <w:div w:id="1380474565">
      <w:bodyDiv w:val="1"/>
      <w:marLeft w:val="0"/>
      <w:marRight w:val="0"/>
      <w:marTop w:val="0"/>
      <w:marBottom w:val="0"/>
      <w:divBdr>
        <w:top w:val="none" w:sz="0" w:space="0" w:color="auto"/>
        <w:left w:val="none" w:sz="0" w:space="0" w:color="auto"/>
        <w:bottom w:val="none" w:sz="0" w:space="0" w:color="auto"/>
        <w:right w:val="none" w:sz="0" w:space="0" w:color="auto"/>
      </w:divBdr>
      <w:divsChild>
        <w:div w:id="623268487">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690885685">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985671745">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1540238797">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sChild>
    </w:div>
    <w:div w:id="1413509326">
      <w:bodyDiv w:val="1"/>
      <w:marLeft w:val="0"/>
      <w:marRight w:val="0"/>
      <w:marTop w:val="0"/>
      <w:marBottom w:val="0"/>
      <w:divBdr>
        <w:top w:val="none" w:sz="0" w:space="0" w:color="auto"/>
        <w:left w:val="none" w:sz="0" w:space="0" w:color="auto"/>
        <w:bottom w:val="none" w:sz="0" w:space="0" w:color="auto"/>
        <w:right w:val="none" w:sz="0" w:space="0" w:color="auto"/>
      </w:divBdr>
    </w:div>
    <w:div w:id="1431119941">
      <w:bodyDiv w:val="1"/>
      <w:marLeft w:val="0"/>
      <w:marRight w:val="0"/>
      <w:marTop w:val="0"/>
      <w:marBottom w:val="0"/>
      <w:divBdr>
        <w:top w:val="none" w:sz="0" w:space="0" w:color="auto"/>
        <w:left w:val="none" w:sz="0" w:space="0" w:color="auto"/>
        <w:bottom w:val="none" w:sz="0" w:space="0" w:color="auto"/>
        <w:right w:val="none" w:sz="0" w:space="0" w:color="auto"/>
      </w:divBdr>
    </w:div>
    <w:div w:id="1440836348">
      <w:bodyDiv w:val="1"/>
      <w:marLeft w:val="0"/>
      <w:marRight w:val="0"/>
      <w:marTop w:val="0"/>
      <w:marBottom w:val="0"/>
      <w:divBdr>
        <w:top w:val="none" w:sz="0" w:space="0" w:color="auto"/>
        <w:left w:val="none" w:sz="0" w:space="0" w:color="auto"/>
        <w:bottom w:val="none" w:sz="0" w:space="0" w:color="auto"/>
        <w:right w:val="none" w:sz="0" w:space="0" w:color="auto"/>
      </w:divBdr>
    </w:div>
    <w:div w:id="1494680684">
      <w:bodyDiv w:val="1"/>
      <w:marLeft w:val="0"/>
      <w:marRight w:val="0"/>
      <w:marTop w:val="0"/>
      <w:marBottom w:val="0"/>
      <w:divBdr>
        <w:top w:val="none" w:sz="0" w:space="0" w:color="auto"/>
        <w:left w:val="none" w:sz="0" w:space="0" w:color="auto"/>
        <w:bottom w:val="none" w:sz="0" w:space="0" w:color="auto"/>
        <w:right w:val="none" w:sz="0" w:space="0" w:color="auto"/>
      </w:divBdr>
    </w:div>
    <w:div w:id="1513951809">
      <w:bodyDiv w:val="1"/>
      <w:marLeft w:val="0"/>
      <w:marRight w:val="0"/>
      <w:marTop w:val="0"/>
      <w:marBottom w:val="0"/>
      <w:divBdr>
        <w:top w:val="none" w:sz="0" w:space="0" w:color="auto"/>
        <w:left w:val="none" w:sz="0" w:space="0" w:color="auto"/>
        <w:bottom w:val="none" w:sz="0" w:space="0" w:color="auto"/>
        <w:right w:val="none" w:sz="0" w:space="0" w:color="auto"/>
      </w:divBdr>
    </w:div>
    <w:div w:id="1543709548">
      <w:bodyDiv w:val="1"/>
      <w:marLeft w:val="0"/>
      <w:marRight w:val="0"/>
      <w:marTop w:val="0"/>
      <w:marBottom w:val="0"/>
      <w:divBdr>
        <w:top w:val="none" w:sz="0" w:space="0" w:color="auto"/>
        <w:left w:val="none" w:sz="0" w:space="0" w:color="auto"/>
        <w:bottom w:val="none" w:sz="0" w:space="0" w:color="auto"/>
        <w:right w:val="none" w:sz="0" w:space="0" w:color="auto"/>
      </w:divBdr>
    </w:div>
    <w:div w:id="1671562117">
      <w:bodyDiv w:val="1"/>
      <w:marLeft w:val="0"/>
      <w:marRight w:val="0"/>
      <w:marTop w:val="0"/>
      <w:marBottom w:val="0"/>
      <w:divBdr>
        <w:top w:val="none" w:sz="0" w:space="0" w:color="auto"/>
        <w:left w:val="none" w:sz="0" w:space="0" w:color="auto"/>
        <w:bottom w:val="none" w:sz="0" w:space="0" w:color="auto"/>
        <w:right w:val="none" w:sz="0" w:space="0" w:color="auto"/>
      </w:divBdr>
    </w:div>
    <w:div w:id="1684747040">
      <w:bodyDiv w:val="1"/>
      <w:marLeft w:val="0"/>
      <w:marRight w:val="0"/>
      <w:marTop w:val="0"/>
      <w:marBottom w:val="0"/>
      <w:divBdr>
        <w:top w:val="none" w:sz="0" w:space="0" w:color="auto"/>
        <w:left w:val="none" w:sz="0" w:space="0" w:color="auto"/>
        <w:bottom w:val="none" w:sz="0" w:space="0" w:color="auto"/>
        <w:right w:val="none" w:sz="0" w:space="0" w:color="auto"/>
      </w:divBdr>
    </w:div>
    <w:div w:id="1699743794">
      <w:bodyDiv w:val="1"/>
      <w:marLeft w:val="0"/>
      <w:marRight w:val="0"/>
      <w:marTop w:val="0"/>
      <w:marBottom w:val="0"/>
      <w:divBdr>
        <w:top w:val="none" w:sz="0" w:space="0" w:color="auto"/>
        <w:left w:val="none" w:sz="0" w:space="0" w:color="auto"/>
        <w:bottom w:val="none" w:sz="0" w:space="0" w:color="auto"/>
        <w:right w:val="none" w:sz="0" w:space="0" w:color="auto"/>
      </w:divBdr>
      <w:divsChild>
        <w:div w:id="122309726">
          <w:marLeft w:val="0"/>
          <w:marRight w:val="0"/>
          <w:marTop w:val="0"/>
          <w:marBottom w:val="0"/>
          <w:divBdr>
            <w:top w:val="none" w:sz="0" w:space="0" w:color="auto"/>
            <w:left w:val="none" w:sz="0" w:space="0" w:color="auto"/>
            <w:bottom w:val="none" w:sz="0" w:space="0" w:color="auto"/>
            <w:right w:val="none" w:sz="0" w:space="0" w:color="auto"/>
          </w:divBdr>
        </w:div>
        <w:div w:id="841165658">
          <w:marLeft w:val="0"/>
          <w:marRight w:val="0"/>
          <w:marTop w:val="0"/>
          <w:marBottom w:val="225"/>
          <w:divBdr>
            <w:top w:val="none" w:sz="0" w:space="0" w:color="auto"/>
            <w:left w:val="none" w:sz="0" w:space="0" w:color="auto"/>
            <w:bottom w:val="none" w:sz="0" w:space="0" w:color="auto"/>
            <w:right w:val="none" w:sz="0" w:space="0" w:color="auto"/>
          </w:divBdr>
        </w:div>
        <w:div w:id="915088766">
          <w:marLeft w:val="0"/>
          <w:marRight w:val="0"/>
          <w:marTop w:val="0"/>
          <w:marBottom w:val="225"/>
          <w:divBdr>
            <w:top w:val="none" w:sz="0" w:space="0" w:color="auto"/>
            <w:left w:val="none" w:sz="0" w:space="0" w:color="auto"/>
            <w:bottom w:val="none" w:sz="0" w:space="0" w:color="auto"/>
            <w:right w:val="none" w:sz="0" w:space="0" w:color="auto"/>
          </w:divBdr>
        </w:div>
        <w:div w:id="1137796515">
          <w:marLeft w:val="0"/>
          <w:marRight w:val="0"/>
          <w:marTop w:val="0"/>
          <w:marBottom w:val="225"/>
          <w:divBdr>
            <w:top w:val="none" w:sz="0" w:space="0" w:color="auto"/>
            <w:left w:val="none" w:sz="0" w:space="0" w:color="auto"/>
            <w:bottom w:val="none" w:sz="0" w:space="0" w:color="auto"/>
            <w:right w:val="none" w:sz="0" w:space="0" w:color="auto"/>
          </w:divBdr>
        </w:div>
        <w:div w:id="1174538922">
          <w:marLeft w:val="0"/>
          <w:marRight w:val="0"/>
          <w:marTop w:val="0"/>
          <w:marBottom w:val="0"/>
          <w:divBdr>
            <w:top w:val="none" w:sz="0" w:space="0" w:color="auto"/>
            <w:left w:val="none" w:sz="0" w:space="0" w:color="auto"/>
            <w:bottom w:val="none" w:sz="0" w:space="0" w:color="auto"/>
            <w:right w:val="none" w:sz="0" w:space="0" w:color="auto"/>
          </w:divBdr>
          <w:divsChild>
            <w:div w:id="531235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37210">
      <w:bodyDiv w:val="1"/>
      <w:marLeft w:val="0"/>
      <w:marRight w:val="0"/>
      <w:marTop w:val="0"/>
      <w:marBottom w:val="0"/>
      <w:divBdr>
        <w:top w:val="none" w:sz="0" w:space="0" w:color="auto"/>
        <w:left w:val="none" w:sz="0" w:space="0" w:color="auto"/>
        <w:bottom w:val="none" w:sz="0" w:space="0" w:color="auto"/>
        <w:right w:val="none" w:sz="0" w:space="0" w:color="auto"/>
      </w:divBdr>
    </w:div>
    <w:div w:id="1844276696">
      <w:bodyDiv w:val="1"/>
      <w:marLeft w:val="0"/>
      <w:marRight w:val="0"/>
      <w:marTop w:val="0"/>
      <w:marBottom w:val="0"/>
      <w:divBdr>
        <w:top w:val="none" w:sz="0" w:space="0" w:color="auto"/>
        <w:left w:val="none" w:sz="0" w:space="0" w:color="auto"/>
        <w:bottom w:val="none" w:sz="0" w:space="0" w:color="auto"/>
        <w:right w:val="none" w:sz="0" w:space="0" w:color="auto"/>
      </w:divBdr>
    </w:div>
    <w:div w:id="1876693852">
      <w:bodyDiv w:val="1"/>
      <w:marLeft w:val="0"/>
      <w:marRight w:val="0"/>
      <w:marTop w:val="0"/>
      <w:marBottom w:val="0"/>
      <w:divBdr>
        <w:top w:val="none" w:sz="0" w:space="0" w:color="auto"/>
        <w:left w:val="none" w:sz="0" w:space="0" w:color="auto"/>
        <w:bottom w:val="none" w:sz="0" w:space="0" w:color="auto"/>
        <w:right w:val="none" w:sz="0" w:space="0" w:color="auto"/>
      </w:divBdr>
    </w:div>
    <w:div w:id="1938975907">
      <w:bodyDiv w:val="1"/>
      <w:marLeft w:val="0"/>
      <w:marRight w:val="0"/>
      <w:marTop w:val="0"/>
      <w:marBottom w:val="0"/>
      <w:divBdr>
        <w:top w:val="none" w:sz="0" w:space="0" w:color="auto"/>
        <w:left w:val="none" w:sz="0" w:space="0" w:color="auto"/>
        <w:bottom w:val="none" w:sz="0" w:space="0" w:color="auto"/>
        <w:right w:val="none" w:sz="0" w:space="0" w:color="auto"/>
      </w:divBdr>
      <w:divsChild>
        <w:div w:id="576935364">
          <w:marLeft w:val="0"/>
          <w:marRight w:val="0"/>
          <w:marTop w:val="0"/>
          <w:marBottom w:val="0"/>
          <w:divBdr>
            <w:top w:val="none" w:sz="0" w:space="0" w:color="auto"/>
            <w:left w:val="none" w:sz="0" w:space="0" w:color="auto"/>
            <w:bottom w:val="none" w:sz="0" w:space="0" w:color="auto"/>
            <w:right w:val="none" w:sz="0" w:space="0" w:color="auto"/>
          </w:divBdr>
          <w:divsChild>
            <w:div w:id="935365">
              <w:marLeft w:val="567"/>
              <w:marRight w:val="0"/>
              <w:marTop w:val="0"/>
              <w:marBottom w:val="0"/>
              <w:divBdr>
                <w:top w:val="none" w:sz="0" w:space="0" w:color="auto"/>
                <w:left w:val="none" w:sz="0" w:space="0" w:color="auto"/>
                <w:bottom w:val="none" w:sz="0" w:space="0" w:color="auto"/>
                <w:right w:val="none" w:sz="0" w:space="0" w:color="auto"/>
              </w:divBdr>
            </w:div>
          </w:divsChild>
        </w:div>
        <w:div w:id="1587693329">
          <w:marLeft w:val="567"/>
          <w:marRight w:val="0"/>
          <w:marTop w:val="0"/>
          <w:marBottom w:val="0"/>
          <w:divBdr>
            <w:top w:val="none" w:sz="0" w:space="0" w:color="auto"/>
            <w:left w:val="none" w:sz="0" w:space="0" w:color="auto"/>
            <w:bottom w:val="none" w:sz="0" w:space="0" w:color="auto"/>
            <w:right w:val="none" w:sz="0" w:space="0" w:color="auto"/>
          </w:divBdr>
        </w:div>
      </w:divsChild>
    </w:div>
    <w:div w:id="1990086514">
      <w:bodyDiv w:val="1"/>
      <w:marLeft w:val="0"/>
      <w:marRight w:val="0"/>
      <w:marTop w:val="0"/>
      <w:marBottom w:val="0"/>
      <w:divBdr>
        <w:top w:val="none" w:sz="0" w:space="0" w:color="auto"/>
        <w:left w:val="none" w:sz="0" w:space="0" w:color="auto"/>
        <w:bottom w:val="none" w:sz="0" w:space="0" w:color="auto"/>
        <w:right w:val="none" w:sz="0" w:space="0" w:color="auto"/>
      </w:divBdr>
    </w:div>
    <w:div w:id="2003853687">
      <w:bodyDiv w:val="1"/>
      <w:marLeft w:val="0"/>
      <w:marRight w:val="0"/>
      <w:marTop w:val="0"/>
      <w:marBottom w:val="0"/>
      <w:divBdr>
        <w:top w:val="none" w:sz="0" w:space="0" w:color="auto"/>
        <w:left w:val="none" w:sz="0" w:space="0" w:color="auto"/>
        <w:bottom w:val="none" w:sz="0" w:space="0" w:color="auto"/>
        <w:right w:val="none" w:sz="0" w:space="0" w:color="auto"/>
      </w:divBdr>
    </w:div>
    <w:div w:id="2026520307">
      <w:bodyDiv w:val="1"/>
      <w:marLeft w:val="0"/>
      <w:marRight w:val="0"/>
      <w:marTop w:val="0"/>
      <w:marBottom w:val="0"/>
      <w:divBdr>
        <w:top w:val="none" w:sz="0" w:space="0" w:color="auto"/>
        <w:left w:val="none" w:sz="0" w:space="0" w:color="auto"/>
        <w:bottom w:val="none" w:sz="0" w:space="0" w:color="auto"/>
        <w:right w:val="none" w:sz="0" w:space="0" w:color="auto"/>
      </w:divBdr>
    </w:div>
    <w:div w:id="2056421279">
      <w:bodyDiv w:val="1"/>
      <w:marLeft w:val="0"/>
      <w:marRight w:val="0"/>
      <w:marTop w:val="0"/>
      <w:marBottom w:val="0"/>
      <w:divBdr>
        <w:top w:val="none" w:sz="0" w:space="0" w:color="auto"/>
        <w:left w:val="none" w:sz="0" w:space="0" w:color="auto"/>
        <w:bottom w:val="none" w:sz="0" w:space="0" w:color="auto"/>
        <w:right w:val="none" w:sz="0" w:space="0" w:color="auto"/>
      </w:divBdr>
    </w:div>
    <w:div w:id="2082364618">
      <w:bodyDiv w:val="1"/>
      <w:marLeft w:val="0"/>
      <w:marRight w:val="0"/>
      <w:marTop w:val="0"/>
      <w:marBottom w:val="0"/>
      <w:divBdr>
        <w:top w:val="none" w:sz="0" w:space="0" w:color="auto"/>
        <w:left w:val="none" w:sz="0" w:space="0" w:color="auto"/>
        <w:bottom w:val="none" w:sz="0" w:space="0" w:color="auto"/>
        <w:right w:val="none" w:sz="0" w:space="0" w:color="auto"/>
      </w:divBdr>
    </w:div>
    <w:div w:id="211735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GcOuxGjcF8g" TargetMode="External"/><Relationship Id="rId26" Type="http://schemas.openxmlformats.org/officeDocument/2006/relationships/hyperlink" Target="https://med.stanford.edu/profiles/tait-shanafelt" TargetMode="External"/><Relationship Id="rId21" Type="http://schemas.openxmlformats.org/officeDocument/2006/relationships/hyperlink" Target="https://www.youtube.com/watch?v=aUM4kv0HnG0&amp;t=1610s"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KjB6r-HDDI0" TargetMode="External"/><Relationship Id="rId25" Type="http://schemas.openxmlformats.org/officeDocument/2006/relationships/hyperlink" Target="https://med.stanford.edu/" TargetMode="External"/><Relationship Id="rId33" Type="http://schemas.openxmlformats.org/officeDocument/2006/relationships/hyperlink" Target="https://www.sciencedirect.com/science/article/abs/pii/S0140673608616906" TargetMode="External"/><Relationship Id="rId2" Type="http://schemas.openxmlformats.org/officeDocument/2006/relationships/numbering" Target="numbering.xml"/><Relationship Id="rId16" Type="http://schemas.openxmlformats.org/officeDocument/2006/relationships/hyperlink" Target="https://www.marxists.org/archive/marx/works/1867-c1/ch02.htm" TargetMode="External"/><Relationship Id="rId20" Type="http://schemas.openxmlformats.org/officeDocument/2006/relationships/image" Target="media/image5.png"/><Relationship Id="rId29" Type="http://schemas.openxmlformats.org/officeDocument/2006/relationships/hyperlink" Target="https://www.jstor.org/stable/j.ctt1pwt8bd%5d/Kank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manchester.ac.uk/discover/news/gp-burnout-linked-to-higher-opioid-and-antibiotic-prescribing-in-england/" TargetMode="External"/><Relationship Id="rId32" Type="http://schemas.openxmlformats.org/officeDocument/2006/relationships/hyperlink" Target="https://pmc.ncbi.nlm.nih.gov/articles/PMC3882205/?utm_source=chatgpt.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arxists.org/archive/marx/works/1867-c1/ch03.htm" TargetMode="External"/><Relationship Id="rId23" Type="http://schemas.openxmlformats.org/officeDocument/2006/relationships/hyperlink" Target="https://www.ama-assn.org/about/events/ama-physician-burnout-webinar" TargetMode="External"/><Relationship Id="rId28" Type="http://schemas.openxmlformats.org/officeDocument/2006/relationships/hyperlink" Target="https://www.mayoclinicproceedings.org/" TargetMode="External"/><Relationship Id="rId36" Type="http://schemas.openxmlformats.org/officeDocument/2006/relationships/fontTable" Target="fontTable.xml"/><Relationship Id="rId10" Type="http://schemas.openxmlformats.org/officeDocument/2006/relationships/hyperlink" Target="mailto:karkingkankee@gmail.com" TargetMode="External"/><Relationship Id="rId19" Type="http://schemas.openxmlformats.org/officeDocument/2006/relationships/hyperlink" Target="https://finance.yahoo.com/research-hub/screener/sec-ind_sec-largest-equities_healthcare/" TargetMode="External"/><Relationship Id="rId31" Type="http://schemas.openxmlformats.org/officeDocument/2006/relationships/hyperlink" Target="https://pmc.ncbi.nlm.nih.gov/articles/PMC5295692/" TargetMode="External"/><Relationship Id="rId4" Type="http://schemas.openxmlformats.org/officeDocument/2006/relationships/settings" Target="settings.xml"/><Relationship Id="rId9" Type="http://schemas.openxmlformats.org/officeDocument/2006/relationships/hyperlink" Target="https://docs.google.com/forms/d/e/1FAIpQLScgb24XvQe1SAQb4med2NkCEqD6BIsO3K7ERbuoCUGdjSKVBg/viewform" TargetMode="External"/><Relationship Id="rId14" Type="http://schemas.openxmlformats.org/officeDocument/2006/relationships/hyperlink" Target="https://www.marxists.org/archive/marx/works/1867-c1/ch01.htm" TargetMode="External"/><Relationship Id="rId22" Type="http://schemas.openxmlformats.org/officeDocument/2006/relationships/hyperlink" Target="https://pmc.ncbi.nlm.nih.gov/articles/PMC12963035/%5d/Kankee" TargetMode="External"/><Relationship Id="rId27" Type="http://schemas.openxmlformats.org/officeDocument/2006/relationships/hyperlink" Target="https://wellmd.stanford.edu/" TargetMode="External"/><Relationship Id="rId30" Type="http://schemas.openxmlformats.org/officeDocument/2006/relationships/hyperlink" Target="https://www.frontiersin.org/journals/medicine/articles/10.3389/fmed.2025.1665927/full?utm_source=chatgpt.com"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tt\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Debate.dotm</Template>
  <TotalTime>0</TotalTime>
  <Pages>1</Pages>
  <Words>309387</Words>
  <Characters>1763510</Characters>
  <Application>Microsoft Office Word</Application>
  <DocSecurity>0</DocSecurity>
  <Lines>14695</Lines>
  <Paragraphs>4137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2026-04-16T17:57:00Z</dcterms:created>
  <dcterms:modified xsi:type="dcterms:W3CDTF">2026-04-17T09:08:00Z</dcterms:modified>
</cp:coreProperties>
</file>